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A9B30">
      <w:pPr>
        <w:adjustRightInd w:val="0"/>
        <w:snapToGrid w:val="0"/>
        <w:jc w:val="center"/>
        <w:outlineLvl w:val="9"/>
        <w:rPr>
          <w:rFonts w:hint="eastAsia" w:ascii="Times New Roman" w:hAnsi="Times New Roman" w:eastAsia="宋体" w:cs="宋体"/>
          <w:bCs/>
          <w:color w:val="auto"/>
          <w:sz w:val="72"/>
          <w:szCs w:val="72"/>
          <w:highlight w:val="none"/>
          <w:lang w:eastAsia="zh-CN"/>
        </w:rPr>
      </w:pPr>
      <w:bookmarkStart w:id="0" w:name="_Toc18017"/>
    </w:p>
    <w:p w14:paraId="7AD23275">
      <w:pPr>
        <w:adjustRightInd w:val="0"/>
        <w:snapToGrid w:val="0"/>
        <w:jc w:val="center"/>
        <w:outlineLvl w:val="9"/>
        <w:rPr>
          <w:rFonts w:hint="eastAsia" w:ascii="Times New Roman" w:hAnsi="Times New Roman" w:eastAsia="宋体" w:cs="宋体"/>
          <w:bCs/>
          <w:color w:val="auto"/>
          <w:sz w:val="72"/>
          <w:szCs w:val="72"/>
          <w:highlight w:val="none"/>
        </w:rPr>
      </w:pPr>
    </w:p>
    <w:p w14:paraId="682B5BB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宋体"/>
          <w:bCs/>
          <w:color w:val="auto"/>
          <w:sz w:val="72"/>
          <w:szCs w:val="72"/>
          <w:highlight w:val="none"/>
        </w:rPr>
      </w:pPr>
      <w:r>
        <w:rPr>
          <w:rFonts w:hint="eastAsia" w:ascii="Times New Roman" w:hAnsi="Times New Roman" w:eastAsia="宋体" w:cs="宋体"/>
          <w:bCs/>
          <w:color w:val="auto"/>
          <w:sz w:val="72"/>
          <w:szCs w:val="72"/>
          <w:highlight w:val="none"/>
        </w:rPr>
        <w:t>建设项目环境影响报告表</w:t>
      </w:r>
      <w:bookmarkEnd w:id="0"/>
    </w:p>
    <w:p w14:paraId="3BC3A00E">
      <w:pPr>
        <w:adjustRightInd w:val="0"/>
        <w:snapToGrid w:val="0"/>
        <w:spacing w:before="192" w:beforeLines="80"/>
        <w:jc w:val="center"/>
        <w:rPr>
          <w:rFonts w:hint="eastAsia" w:ascii="Times New Roman" w:hAnsi="Times New Roman" w:eastAsia="宋体" w:cs="宋体"/>
          <w:bCs/>
          <w:color w:val="auto"/>
          <w:sz w:val="48"/>
          <w:szCs w:val="48"/>
          <w:highlight w:val="none"/>
        </w:rPr>
      </w:pPr>
      <w:r>
        <w:rPr>
          <w:rFonts w:hint="eastAsia" w:ascii="Times New Roman" w:hAnsi="Times New Roman" w:eastAsia="宋体" w:cs="宋体"/>
          <w:bCs/>
          <w:color w:val="auto"/>
          <w:sz w:val="48"/>
          <w:szCs w:val="48"/>
          <w:highlight w:val="none"/>
        </w:rPr>
        <w:t>（污染影响类）</w:t>
      </w:r>
    </w:p>
    <w:p w14:paraId="151294D9">
      <w:pPr>
        <w:adjustRightInd w:val="0"/>
        <w:snapToGrid w:val="0"/>
        <w:spacing w:line="288" w:lineRule="auto"/>
        <w:jc w:val="center"/>
        <w:rPr>
          <w:rFonts w:hint="eastAsia" w:ascii="Times New Roman" w:hAnsi="Times New Roman" w:eastAsia="宋体" w:cs="宋体"/>
          <w:color w:val="auto"/>
          <w:kern w:val="44"/>
          <w:sz w:val="44"/>
          <w:szCs w:val="44"/>
          <w:highlight w:val="none"/>
        </w:rPr>
      </w:pPr>
    </w:p>
    <w:p w14:paraId="09442428">
      <w:pPr>
        <w:jc w:val="center"/>
        <w:rPr>
          <w:rFonts w:hint="eastAsia" w:ascii="Times New Roman" w:hAnsi="Times New Roman" w:eastAsia="宋体" w:cs="宋体"/>
          <w:color w:val="auto"/>
          <w:sz w:val="52"/>
          <w:szCs w:val="52"/>
          <w:highlight w:val="none"/>
        </w:rPr>
      </w:pPr>
    </w:p>
    <w:p w14:paraId="1AFF17D7">
      <w:pPr>
        <w:ind w:firstLine="1040"/>
        <w:rPr>
          <w:rFonts w:hint="eastAsia" w:ascii="Times New Roman" w:hAnsi="Times New Roman" w:eastAsia="宋体" w:cs="宋体"/>
          <w:color w:val="auto"/>
          <w:sz w:val="44"/>
          <w:szCs w:val="44"/>
          <w:highlight w:val="none"/>
        </w:rPr>
      </w:pPr>
    </w:p>
    <w:p w14:paraId="7812203F">
      <w:pPr>
        <w:ind w:firstLine="1040"/>
        <w:rPr>
          <w:rFonts w:hint="eastAsia" w:ascii="Times New Roman" w:hAnsi="Times New Roman" w:eastAsia="宋体" w:cs="宋体"/>
          <w:color w:val="auto"/>
          <w:sz w:val="44"/>
          <w:szCs w:val="44"/>
          <w:highlight w:val="none"/>
        </w:rPr>
      </w:pPr>
    </w:p>
    <w:p w14:paraId="609DFB2F">
      <w:pPr>
        <w:ind w:firstLine="1040"/>
        <w:rPr>
          <w:rFonts w:hint="eastAsia" w:ascii="Times New Roman" w:hAnsi="Times New Roman" w:eastAsia="宋体" w:cs="宋体"/>
          <w:color w:val="auto"/>
          <w:sz w:val="44"/>
          <w:szCs w:val="44"/>
          <w:highlight w:val="none"/>
        </w:rPr>
      </w:pPr>
    </w:p>
    <w:p w14:paraId="69C66FBF">
      <w:pPr>
        <w:adjustRightInd w:val="0"/>
        <w:snapToGrid w:val="0"/>
        <w:spacing w:line="360" w:lineRule="auto"/>
        <w:ind w:left="1600" w:hanging="1600" w:hangingChars="500"/>
        <w:jc w:val="left"/>
        <w:rPr>
          <w:rFonts w:hint="default" w:ascii="Times New Roman" w:hAnsi="Times New Roman" w:eastAsia="宋体" w:cs="宋体"/>
          <w:color w:val="auto"/>
          <w:sz w:val="32"/>
          <w:szCs w:val="32"/>
          <w:highlight w:val="none"/>
          <w:u w:val="single"/>
          <w:lang w:val="en-US" w:eastAsia="zh-CN"/>
        </w:rPr>
      </w:pPr>
      <w:r>
        <w:rPr>
          <w:rFonts w:hint="eastAsia" w:ascii="Times New Roman" w:hAnsi="Times New Roman" w:eastAsia="宋体" w:cs="宋体"/>
          <w:color w:val="auto"/>
          <w:sz w:val="32"/>
          <w:szCs w:val="32"/>
          <w:highlight w:val="none"/>
        </w:rPr>
        <w:t>项目名称：</w:t>
      </w:r>
      <w:r>
        <w:rPr>
          <w:rFonts w:hint="eastAsia" w:ascii="Times New Roman" w:hAnsi="Times New Roman" w:eastAsia="宋体" w:cs="宋体"/>
          <w:color w:val="auto"/>
          <w:sz w:val="32"/>
          <w:szCs w:val="32"/>
          <w:highlight w:val="none"/>
          <w:u w:val="single"/>
          <w:lang w:val="en-US" w:eastAsia="zh-CN"/>
        </w:rPr>
        <w:t xml:space="preserve">年产一亿个口腔隐形正畸产品的3D打印后处理工艺技术升级改造项目        </w:t>
      </w:r>
    </w:p>
    <w:p w14:paraId="202F631D">
      <w:pPr>
        <w:adjustRightInd w:val="0"/>
        <w:snapToGrid w:val="0"/>
        <w:spacing w:line="360" w:lineRule="auto"/>
        <w:jc w:val="left"/>
        <w:rPr>
          <w:rFonts w:hint="default" w:ascii="Times New Roman" w:hAnsi="Times New Roman" w:eastAsia="宋体" w:cs="宋体"/>
          <w:color w:val="auto"/>
          <w:sz w:val="32"/>
          <w:szCs w:val="32"/>
          <w:highlight w:val="none"/>
          <w:u w:val="single"/>
          <w:lang w:val="en-US" w:eastAsia="zh-CN"/>
        </w:rPr>
      </w:pPr>
      <w:r>
        <w:rPr>
          <w:rFonts w:hint="eastAsia" w:ascii="Times New Roman" w:hAnsi="Times New Roman" w:eastAsia="宋体" w:cs="宋体"/>
          <w:color w:val="auto"/>
          <w:sz w:val="32"/>
          <w:szCs w:val="32"/>
          <w:highlight w:val="none"/>
        </w:rPr>
        <w:t>建设单位（盖章）：</w:t>
      </w:r>
      <w:r>
        <w:rPr>
          <w:rFonts w:hint="eastAsia" w:ascii="Times New Roman" w:hAnsi="Times New Roman" w:eastAsia="宋体" w:cs="宋体"/>
          <w:color w:val="auto"/>
          <w:sz w:val="32"/>
          <w:szCs w:val="32"/>
          <w:highlight w:val="none"/>
          <w:u w:val="single"/>
          <w:lang w:val="en-US" w:eastAsia="zh-CN"/>
        </w:rPr>
        <w:t xml:space="preserve">       无锡时代天使生物科技有限公司               </w:t>
      </w:r>
    </w:p>
    <w:p w14:paraId="231683FC">
      <w:pPr>
        <w:adjustRightInd w:val="0"/>
        <w:snapToGrid w:val="0"/>
        <w:spacing w:line="360" w:lineRule="auto"/>
        <w:jc w:val="left"/>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2"/>
          <w:szCs w:val="32"/>
          <w:highlight w:val="none"/>
        </w:rPr>
        <w:t>编制日期：</w:t>
      </w:r>
      <w:r>
        <w:rPr>
          <w:rFonts w:hint="default" w:ascii="Times New Roman" w:hAnsi="Times New Roman" w:eastAsia="宋体" w:cs="Times New Roman"/>
          <w:color w:val="auto"/>
          <w:sz w:val="32"/>
          <w:szCs w:val="32"/>
          <w:highlight w:val="none"/>
          <w:u w:val="single"/>
          <w:lang w:val="en-US" w:eastAsia="zh-CN"/>
        </w:rPr>
        <w:t xml:space="preserve">                 2025</w:t>
      </w:r>
      <w:r>
        <w:rPr>
          <w:rFonts w:hint="default" w:ascii="Times New Roman" w:hAnsi="Times New Roman" w:eastAsia="宋体" w:cs="Times New Roman"/>
          <w:color w:val="auto"/>
          <w:sz w:val="32"/>
          <w:szCs w:val="32"/>
          <w:highlight w:val="none"/>
          <w:u w:val="single"/>
        </w:rPr>
        <w:t>年</w:t>
      </w:r>
      <w:r>
        <w:rPr>
          <w:rFonts w:hint="eastAsia" w:cs="Times New Roman"/>
          <w:color w:val="auto"/>
          <w:sz w:val="32"/>
          <w:szCs w:val="32"/>
          <w:highlight w:val="none"/>
          <w:u w:val="single"/>
          <w:lang w:val="en-US" w:eastAsia="zh-CN"/>
        </w:rPr>
        <w:t>7</w:t>
      </w:r>
      <w:r>
        <w:rPr>
          <w:rFonts w:hint="default" w:ascii="Times New Roman" w:hAnsi="Times New Roman" w:eastAsia="宋体" w:cs="Times New Roman"/>
          <w:color w:val="auto"/>
          <w:sz w:val="32"/>
          <w:szCs w:val="32"/>
          <w:highlight w:val="none"/>
          <w:u w:val="single"/>
        </w:rPr>
        <w:t>月</w:t>
      </w:r>
      <w:r>
        <w:rPr>
          <w:rFonts w:hint="default" w:ascii="Times New Roman" w:hAnsi="Times New Roman" w:eastAsia="宋体" w:cs="Times New Roman"/>
          <w:color w:val="auto"/>
          <w:sz w:val="32"/>
          <w:szCs w:val="32"/>
          <w:highlight w:val="none"/>
          <w:u w:val="single"/>
          <w:lang w:val="en-US" w:eastAsia="zh-CN"/>
        </w:rPr>
        <w:t xml:space="preserve">                        </w:t>
      </w:r>
    </w:p>
    <w:p w14:paraId="188A1790">
      <w:pPr>
        <w:adjustRightInd w:val="0"/>
        <w:snapToGrid w:val="0"/>
        <w:spacing w:line="288" w:lineRule="auto"/>
        <w:ind w:firstLine="1040"/>
        <w:rPr>
          <w:rFonts w:hint="eastAsia" w:ascii="Times New Roman" w:hAnsi="Times New Roman" w:eastAsia="宋体" w:cs="宋体"/>
          <w:color w:val="auto"/>
          <w:sz w:val="36"/>
          <w:szCs w:val="36"/>
          <w:highlight w:val="none"/>
          <w:u w:val="single"/>
        </w:rPr>
      </w:pPr>
      <w:bookmarkStart w:id="1" w:name="_Hlk57884087"/>
    </w:p>
    <w:p w14:paraId="7C6477FC">
      <w:pPr>
        <w:adjustRightInd w:val="0"/>
        <w:snapToGrid w:val="0"/>
        <w:spacing w:line="288" w:lineRule="auto"/>
        <w:ind w:firstLine="1040"/>
        <w:rPr>
          <w:rFonts w:hint="eastAsia" w:ascii="Times New Roman" w:hAnsi="Times New Roman" w:eastAsia="宋体" w:cs="宋体"/>
          <w:color w:val="auto"/>
          <w:sz w:val="36"/>
          <w:szCs w:val="36"/>
          <w:highlight w:val="none"/>
        </w:rPr>
      </w:pPr>
    </w:p>
    <w:p w14:paraId="2163A6C7">
      <w:pPr>
        <w:adjustRightInd w:val="0"/>
        <w:snapToGrid w:val="0"/>
        <w:spacing w:line="288" w:lineRule="auto"/>
        <w:ind w:firstLine="1040"/>
        <w:rPr>
          <w:rFonts w:hint="eastAsia" w:ascii="Times New Roman" w:hAnsi="Times New Roman" w:eastAsia="宋体" w:cs="宋体"/>
          <w:color w:val="auto"/>
          <w:sz w:val="36"/>
          <w:szCs w:val="36"/>
          <w:highlight w:val="none"/>
        </w:rPr>
      </w:pPr>
    </w:p>
    <w:p w14:paraId="12DD9C89">
      <w:pPr>
        <w:adjustRightInd w:val="0"/>
        <w:snapToGrid w:val="0"/>
        <w:spacing w:line="288" w:lineRule="auto"/>
        <w:ind w:firstLine="1040"/>
        <w:rPr>
          <w:rFonts w:hint="eastAsia" w:ascii="Times New Roman" w:hAnsi="Times New Roman" w:eastAsia="宋体" w:cs="宋体"/>
          <w:color w:val="auto"/>
          <w:sz w:val="36"/>
          <w:szCs w:val="36"/>
          <w:highlight w:val="none"/>
        </w:rPr>
      </w:pPr>
    </w:p>
    <w:bookmarkEnd w:id="1"/>
    <w:p w14:paraId="3CC1C9B6">
      <w:pPr>
        <w:adjustRightInd w:val="0"/>
        <w:snapToGrid w:val="0"/>
        <w:spacing w:line="288" w:lineRule="auto"/>
        <w:jc w:val="center"/>
        <w:rPr>
          <w:rFonts w:hint="eastAsia" w:ascii="Times New Roman" w:hAnsi="Times New Roman" w:eastAsia="宋体" w:cs="宋体"/>
          <w:color w:val="auto"/>
          <w:sz w:val="36"/>
          <w:szCs w:val="36"/>
          <w:highlight w:val="none"/>
        </w:rPr>
      </w:pPr>
      <w:r>
        <w:rPr>
          <w:rFonts w:hint="eastAsia" w:ascii="Times New Roman" w:hAnsi="Times New Roman" w:eastAsia="宋体" w:cs="宋体"/>
          <w:color w:val="auto"/>
          <w:sz w:val="36"/>
          <w:szCs w:val="36"/>
          <w:highlight w:val="none"/>
        </w:rPr>
        <w:t>中华人民共和国生态环境部制</w:t>
      </w:r>
    </w:p>
    <w:p w14:paraId="5E0B958F">
      <w:pPr>
        <w:adjustRightInd w:val="0"/>
        <w:snapToGrid w:val="0"/>
        <w:spacing w:line="288" w:lineRule="auto"/>
        <w:ind w:firstLine="1040"/>
        <w:rPr>
          <w:rFonts w:ascii="Times New Roman" w:hAnsi="Times New Roman" w:eastAsia="宋体"/>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2057BD18">
      <w:pPr>
        <w:pStyle w:val="21"/>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39D367C6">
      <w:pPr>
        <w:pStyle w:val="21"/>
        <w:tabs>
          <w:tab w:val="right" w:leader="dot" w:pos="8844"/>
        </w:tabs>
        <w:jc w:val="center"/>
        <w:rPr>
          <w:rFonts w:hint="eastAsia" w:ascii="Times New Roman" w:hAnsi="Times New Roman" w:eastAsia="宋体" w:cs="Times New Roman"/>
          <w:b/>
          <w:bCs/>
          <w:color w:val="auto"/>
          <w:sz w:val="30"/>
          <w:szCs w:val="30"/>
          <w:highlight w:val="none"/>
          <w:lang w:eastAsia="zh-CN"/>
        </w:rPr>
      </w:pPr>
      <w:r>
        <w:rPr>
          <w:rFonts w:hint="eastAsia" w:ascii="Times New Roman" w:hAnsi="Times New Roman" w:eastAsia="宋体" w:cs="Times New Roman"/>
          <w:b/>
          <w:bCs/>
          <w:color w:val="auto"/>
          <w:sz w:val="30"/>
          <w:szCs w:val="30"/>
          <w:highlight w:val="none"/>
          <w:lang w:eastAsia="zh-CN"/>
        </w:rPr>
        <w:t>目</w:t>
      </w:r>
      <w:r>
        <w:rPr>
          <w:rFonts w:hint="eastAsia"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eastAsia="zh-CN"/>
        </w:rPr>
        <w:t>录</w:t>
      </w:r>
    </w:p>
    <w:p w14:paraId="41AB63E5">
      <w:pPr>
        <w:pStyle w:val="21"/>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771E0F6F">
      <w:pPr>
        <w:pStyle w:val="21"/>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635A59B7">
      <w:pPr>
        <w:pStyle w:val="21"/>
        <w:tabs>
          <w:tab w:val="right" w:leader="dot" w:pos="8844"/>
        </w:tabs>
        <w:jc w:val="center"/>
        <w:rPr>
          <w:rFonts w:hint="eastAsia" w:ascii="Times New Roman" w:hAnsi="Times New Roman" w:eastAsia="宋体" w:cs="Times New Roman"/>
          <w:b/>
          <w:bCs/>
          <w:color w:val="auto"/>
          <w:sz w:val="30"/>
          <w:szCs w:val="30"/>
          <w:highlight w:val="none"/>
          <w:lang w:eastAsia="zh-CN"/>
        </w:rPr>
      </w:pPr>
    </w:p>
    <w:p w14:paraId="5CB6DB7E">
      <w:pPr>
        <w:pStyle w:val="21"/>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30"/>
          <w:szCs w:val="30"/>
          <w:highlight w:val="none"/>
          <w:lang w:eastAsia="zh-CN"/>
        </w:rPr>
        <w:fldChar w:fldCharType="begin"/>
      </w:r>
      <w:r>
        <w:rPr>
          <w:rFonts w:hint="eastAsia" w:ascii="Times New Roman" w:hAnsi="Times New Roman" w:eastAsia="宋体" w:cs="Times New Roman"/>
          <w:b/>
          <w:bCs/>
          <w:color w:val="auto"/>
          <w:sz w:val="30"/>
          <w:szCs w:val="30"/>
          <w:highlight w:val="none"/>
          <w:lang w:eastAsia="zh-CN"/>
        </w:rPr>
        <w:instrText xml:space="preserve">TOC \o "1-2" \h \u </w:instrText>
      </w:r>
      <w:r>
        <w:rPr>
          <w:rFonts w:hint="eastAsia" w:ascii="Times New Roman" w:hAnsi="Times New Roman" w:eastAsia="宋体" w:cs="Times New Roman"/>
          <w:b/>
          <w:bCs/>
          <w:color w:val="auto"/>
          <w:sz w:val="30"/>
          <w:szCs w:val="30"/>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_Toc14273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一、建设项目基本情况</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_Toc14273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14F672E3">
      <w:pPr>
        <w:pStyle w:val="21"/>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_Toc11677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二、建设项目工程分析</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_Toc11677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18</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4ECAE3E7">
      <w:pPr>
        <w:pStyle w:val="21"/>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_Toc23955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三、区域环境质量现状、环境保护目标及评价标准</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_Toc23955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57</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578C1A43">
      <w:pPr>
        <w:pStyle w:val="21"/>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_Toc6071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四、主要环境影响和保护措施</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_Toc6071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64</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35C289BC">
      <w:pPr>
        <w:pStyle w:val="21"/>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_Toc24968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五、环境保护措施监督检查清单</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_Toc24968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102</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2A0F90C3">
      <w:pPr>
        <w:pStyle w:val="21"/>
        <w:tabs>
          <w:tab w:val="right" w:leader="dot" w:pos="8844"/>
        </w:tabs>
        <w:spacing w:line="480" w:lineRule="auto"/>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HYPERLINK \l _Toc22989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六、结论</w:t>
      </w:r>
      <w:r>
        <w:rPr>
          <w:rFonts w:hint="eastAsia" w:ascii="Times New Roman" w:hAnsi="Times New Roman" w:eastAsia="宋体" w:cs="Times New Roman"/>
          <w:b/>
          <w:bCs/>
          <w:color w:val="auto"/>
          <w:sz w:val="28"/>
          <w:szCs w:val="28"/>
          <w:highlight w:val="none"/>
          <w:lang w:val="en-US" w:eastAsia="zh-CN"/>
        </w:rPr>
        <w:t xml:space="preserve"> </w:t>
      </w:r>
      <w:r>
        <w:rPr>
          <w:rFonts w:hint="eastAsia" w:ascii="Times New Roman" w:hAnsi="Times New Roman" w:eastAsia="宋体" w:cs="Times New Roman"/>
          <w:b/>
          <w:bCs/>
          <w:color w:val="auto"/>
          <w:sz w:val="28"/>
          <w:szCs w:val="28"/>
          <w:highlight w:val="none"/>
          <w:lang w:eastAsia="zh-CN"/>
        </w:rPr>
        <w:tab/>
      </w:r>
      <w:r>
        <w:rPr>
          <w:rFonts w:hint="eastAsia" w:ascii="Times New Roman" w:hAnsi="Times New Roman" w:eastAsia="宋体" w:cs="Times New Roman"/>
          <w:b/>
          <w:bCs/>
          <w:color w:val="auto"/>
          <w:sz w:val="28"/>
          <w:szCs w:val="28"/>
          <w:highlight w:val="none"/>
          <w:lang w:val="en-US" w:eastAsia="zh-CN"/>
        </w:rPr>
        <w:t xml:space="preserve"> </w:t>
      </w:r>
      <w:r>
        <w:rPr>
          <w:rFonts w:hint="eastAsia" w:ascii="Times New Roman" w:hAnsi="Times New Roman" w:eastAsia="宋体" w:cs="Times New Roman"/>
          <w:b/>
          <w:bCs/>
          <w:color w:val="auto"/>
          <w:sz w:val="28"/>
          <w:szCs w:val="28"/>
          <w:highlight w:val="none"/>
          <w:lang w:eastAsia="zh-CN"/>
        </w:rPr>
        <w:fldChar w:fldCharType="begin"/>
      </w:r>
      <w:r>
        <w:rPr>
          <w:rFonts w:hint="eastAsia" w:ascii="Times New Roman" w:hAnsi="Times New Roman" w:eastAsia="宋体" w:cs="Times New Roman"/>
          <w:b/>
          <w:bCs/>
          <w:color w:val="auto"/>
          <w:sz w:val="28"/>
          <w:szCs w:val="28"/>
          <w:highlight w:val="none"/>
          <w:lang w:eastAsia="zh-CN"/>
        </w:rPr>
        <w:instrText xml:space="preserve"> PAGEREF _Toc22989 \h </w:instrText>
      </w:r>
      <w:r>
        <w:rPr>
          <w:rFonts w:hint="eastAsia" w:ascii="Times New Roman" w:hAnsi="Times New Roman" w:eastAsia="宋体" w:cs="Times New Roman"/>
          <w:b/>
          <w:bCs/>
          <w:color w:val="auto"/>
          <w:sz w:val="28"/>
          <w:szCs w:val="28"/>
          <w:highlight w:val="none"/>
          <w:lang w:eastAsia="zh-CN"/>
        </w:rPr>
        <w:fldChar w:fldCharType="separate"/>
      </w:r>
      <w:r>
        <w:rPr>
          <w:rFonts w:hint="eastAsia" w:ascii="Times New Roman" w:hAnsi="Times New Roman" w:eastAsia="宋体" w:cs="Times New Roman"/>
          <w:b/>
          <w:bCs/>
          <w:color w:val="auto"/>
          <w:sz w:val="28"/>
          <w:szCs w:val="28"/>
          <w:highlight w:val="none"/>
          <w:lang w:eastAsia="zh-CN"/>
        </w:rPr>
        <w:t>105</w:t>
      </w:r>
      <w:r>
        <w:rPr>
          <w:rFonts w:hint="eastAsia" w:ascii="Times New Roman" w:hAnsi="Times New Roman" w:eastAsia="宋体" w:cs="Times New Roman"/>
          <w:b/>
          <w:bCs/>
          <w:color w:val="auto"/>
          <w:sz w:val="28"/>
          <w:szCs w:val="28"/>
          <w:highlight w:val="none"/>
          <w:lang w:eastAsia="zh-CN"/>
        </w:rPr>
        <w:fldChar w:fldCharType="end"/>
      </w:r>
      <w:r>
        <w:rPr>
          <w:rFonts w:hint="eastAsia" w:ascii="Times New Roman" w:hAnsi="Times New Roman" w:eastAsia="宋体" w:cs="Times New Roman"/>
          <w:b/>
          <w:bCs/>
          <w:color w:val="auto"/>
          <w:sz w:val="28"/>
          <w:szCs w:val="28"/>
          <w:highlight w:val="none"/>
          <w:lang w:eastAsia="zh-CN"/>
        </w:rPr>
        <w:fldChar w:fldCharType="end"/>
      </w:r>
    </w:p>
    <w:p w14:paraId="6A84D5CB">
      <w:pPr>
        <w:rPr>
          <w:rFonts w:hint="eastAsia" w:ascii="Times New Roman" w:hAnsi="Times New Roman" w:eastAsia="宋体" w:cs="Times New Roman"/>
          <w:b/>
          <w:bCs/>
          <w:color w:val="auto"/>
          <w:sz w:val="28"/>
          <w:szCs w:val="28"/>
          <w:highlight w:val="none"/>
          <w:lang w:eastAsia="zh-CN"/>
        </w:rPr>
      </w:pPr>
    </w:p>
    <w:p w14:paraId="1DAA5852">
      <w:pPr>
        <w:rPr>
          <w:rFonts w:hint="eastAsia" w:ascii="Times New Roman" w:hAnsi="Times New Roman" w:eastAsia="宋体" w:cs="Times New Roman"/>
          <w:b/>
          <w:bCs/>
          <w:color w:val="auto"/>
          <w:sz w:val="28"/>
          <w:szCs w:val="28"/>
          <w:highlight w:val="none"/>
          <w:lang w:eastAsia="zh-CN"/>
        </w:rPr>
      </w:pPr>
    </w:p>
    <w:p w14:paraId="786D428A">
      <w:pPr>
        <w:rPr>
          <w:rFonts w:hint="eastAsia" w:ascii="Times New Roman" w:hAnsi="Times New Roman" w:eastAsia="宋体" w:cs="Times New Roman"/>
          <w:b/>
          <w:bCs/>
          <w:color w:val="auto"/>
          <w:sz w:val="28"/>
          <w:szCs w:val="28"/>
          <w:highlight w:val="none"/>
          <w:lang w:eastAsia="zh-CN"/>
        </w:rPr>
      </w:pPr>
    </w:p>
    <w:p w14:paraId="56F6B5E2">
      <w:pPr>
        <w:rPr>
          <w:rFonts w:hint="eastAsia" w:ascii="Times New Roman" w:hAnsi="Times New Roman" w:eastAsia="宋体" w:cs="Times New Roman"/>
          <w:b/>
          <w:bCs/>
          <w:color w:val="auto"/>
          <w:sz w:val="28"/>
          <w:szCs w:val="28"/>
          <w:highlight w:val="none"/>
          <w:lang w:eastAsia="zh-CN"/>
        </w:rPr>
      </w:pPr>
    </w:p>
    <w:p w14:paraId="45144117">
      <w:pPr>
        <w:rPr>
          <w:rFonts w:hint="eastAsia" w:ascii="Times New Roman" w:hAnsi="Times New Roman" w:eastAsia="宋体" w:cs="Times New Roman"/>
          <w:b/>
          <w:bCs/>
          <w:color w:val="auto"/>
          <w:sz w:val="28"/>
          <w:szCs w:val="28"/>
          <w:highlight w:val="none"/>
          <w:lang w:eastAsia="zh-CN"/>
        </w:rPr>
      </w:pPr>
    </w:p>
    <w:p w14:paraId="7ABCD7A4">
      <w:pPr>
        <w:rPr>
          <w:rFonts w:hint="eastAsia" w:ascii="Times New Roman" w:hAnsi="Times New Roman" w:eastAsia="宋体" w:cs="Times New Roman"/>
          <w:b/>
          <w:bCs/>
          <w:color w:val="auto"/>
          <w:sz w:val="28"/>
          <w:szCs w:val="28"/>
          <w:highlight w:val="none"/>
          <w:lang w:eastAsia="zh-CN"/>
        </w:rPr>
      </w:pPr>
    </w:p>
    <w:p w14:paraId="6D2EE240">
      <w:pPr>
        <w:rPr>
          <w:rFonts w:hint="eastAsia" w:ascii="Times New Roman" w:hAnsi="Times New Roman" w:eastAsia="宋体" w:cs="Times New Roman"/>
          <w:b/>
          <w:bCs/>
          <w:color w:val="auto"/>
          <w:sz w:val="28"/>
          <w:szCs w:val="28"/>
          <w:highlight w:val="none"/>
          <w:lang w:eastAsia="zh-CN"/>
        </w:rPr>
      </w:pPr>
    </w:p>
    <w:p w14:paraId="47BCB419">
      <w:pPr>
        <w:rPr>
          <w:rFonts w:hint="eastAsia" w:ascii="Times New Roman" w:hAnsi="Times New Roman" w:eastAsia="宋体" w:cs="Times New Roman"/>
          <w:b/>
          <w:bCs/>
          <w:color w:val="auto"/>
          <w:sz w:val="28"/>
          <w:szCs w:val="28"/>
          <w:highlight w:val="none"/>
          <w:lang w:eastAsia="zh-CN"/>
        </w:rPr>
      </w:pPr>
    </w:p>
    <w:p w14:paraId="06B26F66">
      <w:pPr>
        <w:rPr>
          <w:rFonts w:hint="eastAsia" w:ascii="Times New Roman" w:hAnsi="Times New Roman" w:eastAsia="宋体" w:cs="Times New Roman"/>
          <w:b/>
          <w:bCs/>
          <w:color w:val="auto"/>
          <w:sz w:val="28"/>
          <w:szCs w:val="28"/>
          <w:highlight w:val="none"/>
          <w:lang w:eastAsia="zh-CN"/>
        </w:rPr>
      </w:pPr>
    </w:p>
    <w:p w14:paraId="7E298579">
      <w:pPr>
        <w:rPr>
          <w:rFonts w:hint="eastAsia" w:ascii="Times New Roman" w:hAnsi="Times New Roman" w:eastAsia="宋体" w:cs="Times New Roman"/>
          <w:b/>
          <w:bCs/>
          <w:color w:val="auto"/>
          <w:sz w:val="28"/>
          <w:szCs w:val="28"/>
          <w:highlight w:val="none"/>
          <w:lang w:eastAsia="zh-CN"/>
        </w:rPr>
      </w:pPr>
    </w:p>
    <w:p w14:paraId="111F1E3D">
      <w:pPr>
        <w:rPr>
          <w:rFonts w:hint="eastAsia" w:ascii="Times New Roman" w:hAnsi="Times New Roman" w:eastAsia="宋体" w:cs="Times New Roman"/>
          <w:b/>
          <w:bCs/>
          <w:color w:val="auto"/>
          <w:sz w:val="28"/>
          <w:szCs w:val="28"/>
          <w:highlight w:val="none"/>
          <w:lang w:eastAsia="zh-CN"/>
        </w:rPr>
      </w:pPr>
    </w:p>
    <w:p w14:paraId="75A71A65">
      <w:pPr>
        <w:rPr>
          <w:rFonts w:hint="eastAsia" w:ascii="Times New Roman" w:hAnsi="Times New Roman" w:eastAsia="宋体" w:cs="Times New Roman"/>
          <w:b/>
          <w:bCs/>
          <w:color w:val="auto"/>
          <w:sz w:val="28"/>
          <w:szCs w:val="28"/>
          <w:highlight w:val="none"/>
          <w:lang w:eastAsia="zh-CN"/>
        </w:rPr>
      </w:pPr>
    </w:p>
    <w:p w14:paraId="70641678">
      <w:pPr>
        <w:rPr>
          <w:rFonts w:hint="eastAsia" w:ascii="Times New Roman" w:hAnsi="Times New Roman" w:eastAsia="宋体" w:cs="Times New Roman"/>
          <w:b/>
          <w:bCs/>
          <w:color w:val="auto"/>
          <w:sz w:val="28"/>
          <w:szCs w:val="28"/>
          <w:highlight w:val="none"/>
          <w:lang w:eastAsia="zh-CN"/>
        </w:rPr>
      </w:pPr>
    </w:p>
    <w:p w14:paraId="7B29A9C0">
      <w:pPr>
        <w:rPr>
          <w:rFonts w:hint="eastAsia" w:ascii="Times New Roman" w:hAnsi="Times New Roman" w:eastAsia="宋体" w:cs="Times New Roman"/>
          <w:b/>
          <w:bCs/>
          <w:color w:val="auto"/>
          <w:sz w:val="28"/>
          <w:szCs w:val="28"/>
          <w:highlight w:val="none"/>
          <w:lang w:eastAsia="zh-CN"/>
        </w:rPr>
      </w:pPr>
    </w:p>
    <w:p w14:paraId="1F24EF76">
      <w:pPr>
        <w:rPr>
          <w:rFonts w:hint="eastAsia" w:ascii="Times New Roman" w:hAnsi="Times New Roman" w:eastAsia="宋体" w:cs="Times New Roman"/>
          <w:b/>
          <w:bCs/>
          <w:color w:val="auto"/>
          <w:sz w:val="28"/>
          <w:szCs w:val="28"/>
          <w:highlight w:val="none"/>
          <w:lang w:eastAsia="zh-CN"/>
        </w:rPr>
      </w:pPr>
    </w:p>
    <w:p w14:paraId="45EC1D99">
      <w:pPr>
        <w:rPr>
          <w:rFonts w:hint="eastAsia" w:ascii="Times New Roman" w:hAnsi="Times New Roman" w:eastAsia="宋体" w:cs="Times New Roman"/>
          <w:b/>
          <w:bCs/>
          <w:color w:val="auto"/>
          <w:sz w:val="28"/>
          <w:szCs w:val="28"/>
          <w:highlight w:val="none"/>
          <w:lang w:eastAsia="zh-CN"/>
        </w:rPr>
      </w:pPr>
    </w:p>
    <w:p w14:paraId="0931B375">
      <w:pPr>
        <w:rPr>
          <w:rFonts w:hint="eastAsia" w:ascii="Times New Roman" w:hAnsi="Times New Roman" w:eastAsia="宋体" w:cs="Times New Roman"/>
          <w:b/>
          <w:bCs/>
          <w:color w:val="auto"/>
          <w:sz w:val="28"/>
          <w:szCs w:val="28"/>
          <w:highlight w:val="none"/>
          <w:lang w:eastAsia="zh-CN"/>
        </w:rPr>
      </w:pPr>
    </w:p>
    <w:p w14:paraId="41EF5460">
      <w:pPr>
        <w:rPr>
          <w:rFonts w:hint="eastAsia" w:ascii="Times New Roman" w:hAnsi="Times New Roman" w:eastAsia="宋体" w:cs="Times New Roman"/>
          <w:b/>
          <w:bCs/>
          <w:color w:val="auto"/>
          <w:sz w:val="28"/>
          <w:szCs w:val="28"/>
          <w:highlight w:val="none"/>
          <w:lang w:eastAsia="zh-CN"/>
        </w:rPr>
      </w:pPr>
    </w:p>
    <w:p w14:paraId="5952DE9F">
      <w:pPr>
        <w:rPr>
          <w:rFonts w:hint="eastAsia" w:ascii="Times New Roman" w:hAnsi="Times New Roman" w:eastAsia="宋体" w:cs="Times New Roman"/>
          <w:b/>
          <w:bCs/>
          <w:color w:val="auto"/>
          <w:sz w:val="28"/>
          <w:szCs w:val="28"/>
          <w:highlight w:val="none"/>
          <w:lang w:eastAsia="zh-CN"/>
        </w:rPr>
      </w:pPr>
    </w:p>
    <w:p w14:paraId="7A737A95">
      <w:pPr>
        <w:rPr>
          <w:rFonts w:hint="eastAsia" w:ascii="Times New Roman" w:hAnsi="Times New Roman" w:eastAsia="宋体" w:cs="Times New Roman"/>
          <w:b/>
          <w:bCs/>
          <w:color w:val="auto"/>
          <w:sz w:val="28"/>
          <w:szCs w:val="28"/>
          <w:highlight w:val="none"/>
          <w:lang w:eastAsia="zh-CN"/>
        </w:rPr>
      </w:pPr>
    </w:p>
    <w:p w14:paraId="22FB2544">
      <w:pPr>
        <w:rPr>
          <w:rFonts w:hint="eastAsia" w:ascii="Times New Roman" w:hAnsi="Times New Roman" w:eastAsia="宋体" w:cs="Times New Roman"/>
          <w:b/>
          <w:bCs/>
          <w:color w:val="auto"/>
          <w:sz w:val="28"/>
          <w:szCs w:val="28"/>
          <w:highlight w:val="none"/>
          <w:lang w:eastAsia="zh-CN"/>
        </w:rPr>
      </w:pPr>
    </w:p>
    <w:p w14:paraId="072FEDBF">
      <w:pPr>
        <w:rPr>
          <w:rFonts w:hint="eastAsia" w:ascii="Times New Roman" w:hAnsi="Times New Roman" w:eastAsia="宋体" w:cs="Times New Roman"/>
          <w:b/>
          <w:bCs/>
          <w:color w:val="auto"/>
          <w:sz w:val="28"/>
          <w:szCs w:val="28"/>
          <w:highlight w:val="none"/>
          <w:lang w:eastAsia="zh-CN"/>
        </w:rPr>
      </w:pPr>
    </w:p>
    <w:p w14:paraId="0FFC18C1">
      <w:pPr>
        <w:pStyle w:val="2"/>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576" w:lineRule="auto"/>
        <w:jc w:val="center"/>
        <w:textAlignment w:val="auto"/>
        <w:rPr>
          <w:rFonts w:hint="default" w:ascii="Times New Roman" w:hAnsi="Times New Roman" w:cs="Times New Roman"/>
          <w:bCs w:val="0"/>
          <w:color w:val="auto"/>
          <w:sz w:val="28"/>
          <w:szCs w:val="28"/>
          <w:highlight w:val="none"/>
          <w:lang w:val="en-US" w:eastAsia="zh-CN"/>
        </w:rPr>
      </w:pPr>
      <w:r>
        <w:rPr>
          <w:rFonts w:hint="default" w:ascii="Times New Roman" w:hAnsi="Times New Roman" w:cs="Times New Roman"/>
          <w:bCs w:val="0"/>
          <w:color w:val="auto"/>
          <w:sz w:val="28"/>
          <w:szCs w:val="28"/>
          <w:highlight w:val="none"/>
          <w:lang w:val="en-US" w:eastAsia="zh-CN"/>
        </w:rPr>
        <w:t>附图目录</w:t>
      </w:r>
    </w:p>
    <w:p w14:paraId="782D64FE">
      <w:pPr>
        <w:bidi w:val="0"/>
        <w:spacing w:line="360" w:lineRule="auto"/>
        <w:ind w:firstLine="480" w:firstLineChars="200"/>
        <w:rPr>
          <w:rFonts w:hint="default"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w:t>
      </w:r>
      <w:r>
        <w:rPr>
          <w:rFonts w:hint="eastAsia" w:cs="Times New Roman"/>
          <w:color w:val="auto"/>
          <w:sz w:val="24"/>
          <w:szCs w:val="24"/>
          <w:highlight w:val="none"/>
          <w:lang w:val="en-US" w:eastAsia="zh-CN"/>
        </w:rPr>
        <w:t>1 项目所在地规划图</w:t>
      </w:r>
    </w:p>
    <w:p w14:paraId="631B446D">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附图2</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江苏省生态空间保护区域分布图</w:t>
      </w:r>
    </w:p>
    <w:p w14:paraId="318B507C">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附图3江苏省无锡市环境管控单元图</w:t>
      </w:r>
    </w:p>
    <w:p w14:paraId="11EF0EC6">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 xml:space="preserve"> 项目地理位置图</w:t>
      </w:r>
    </w:p>
    <w:p w14:paraId="6DFFB188">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 xml:space="preserve"> 建设项目周围500m范围环境状况图</w:t>
      </w:r>
    </w:p>
    <w:p w14:paraId="20013DBB">
      <w:pPr>
        <w:adjustRightInd w:val="0"/>
        <w:snapToGrid w:val="0"/>
        <w:spacing w:line="360" w:lineRule="auto"/>
        <w:ind w:firstLine="484" w:firstLineChars="202"/>
        <w:rPr>
          <w:rFonts w:hint="default"/>
          <w:color w:val="auto"/>
          <w:sz w:val="24"/>
          <w:highlight w:val="none"/>
          <w:lang w:val="en-US" w:eastAsia="zh-CN"/>
        </w:rPr>
      </w:pPr>
      <w:r>
        <w:rPr>
          <w:rFonts w:hint="default" w:ascii="Times New Roman" w:hAnsi="Times New Roman" w:eastAsia="宋体" w:cs="Times New Roman"/>
          <w:color w:val="auto"/>
          <w:sz w:val="24"/>
          <w:szCs w:val="24"/>
          <w:highlight w:val="none"/>
        </w:rPr>
        <w:t>附图</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 xml:space="preserve"> </w:t>
      </w:r>
      <w:r>
        <w:rPr>
          <w:rFonts w:hint="eastAsia" w:ascii="Times New Roman" w:eastAsia="宋体"/>
          <w:color w:val="auto"/>
          <w:sz w:val="24"/>
          <w:highlight w:val="none"/>
          <w:lang w:val="en-US" w:eastAsia="zh-CN"/>
        </w:rPr>
        <w:t>厂区平面布局图</w:t>
      </w:r>
    </w:p>
    <w:p w14:paraId="7DBCFE0D">
      <w:pPr>
        <w:adjustRightInd w:val="0"/>
        <w:snapToGrid w:val="0"/>
        <w:spacing w:line="360" w:lineRule="auto"/>
        <w:ind w:left="479" w:leftChars="228" w:firstLine="0" w:firstLineChars="0"/>
        <w:rPr>
          <w:rFonts w:hint="default"/>
          <w:color w:val="auto"/>
          <w:sz w:val="24"/>
          <w:highlight w:val="none"/>
          <w:lang w:val="en-US" w:eastAsia="zh-CN"/>
        </w:rPr>
      </w:pPr>
      <w:r>
        <w:rPr>
          <w:rFonts w:hint="eastAsia" w:ascii="Times New Roman" w:eastAsia="宋体"/>
          <w:color w:val="auto"/>
          <w:sz w:val="24"/>
          <w:highlight w:val="none"/>
          <w:lang w:val="en-US" w:eastAsia="zh-CN"/>
        </w:rPr>
        <w:t>附图7 与《无锡市新吴区国土空间总体规划（2021-2035年）》中“三区三区”的相符性分析图</w:t>
      </w:r>
    </w:p>
    <w:p w14:paraId="4F099FDC">
      <w:pPr>
        <w:adjustRightInd w:val="0"/>
        <w:snapToGrid w:val="0"/>
        <w:spacing w:line="360" w:lineRule="auto"/>
        <w:jc w:val="center"/>
        <w:rPr>
          <w:b/>
          <w:bCs/>
          <w:color w:val="auto"/>
          <w:sz w:val="28"/>
          <w:szCs w:val="28"/>
          <w:highlight w:val="none"/>
        </w:rPr>
      </w:pPr>
      <w:r>
        <w:rPr>
          <w:rFonts w:hint="eastAsia" w:ascii="Times New Roman" w:eastAsia="宋体"/>
          <w:b/>
          <w:bCs/>
          <w:color w:val="auto"/>
          <w:sz w:val="28"/>
          <w:szCs w:val="28"/>
          <w:highlight w:val="none"/>
          <w:lang w:val="en-US" w:eastAsia="zh-CN"/>
        </w:rPr>
        <w:t>图件</w:t>
      </w:r>
      <w:r>
        <w:rPr>
          <w:b/>
          <w:bCs/>
          <w:color w:val="auto"/>
          <w:sz w:val="28"/>
          <w:szCs w:val="28"/>
          <w:highlight w:val="none"/>
        </w:rPr>
        <w:t>目录</w:t>
      </w:r>
    </w:p>
    <w:p w14:paraId="35D03B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highlight w:val="none"/>
          <w:lang w:val="en-US" w:eastAsia="zh-CN"/>
        </w:rPr>
      </w:pPr>
      <w:r>
        <w:rPr>
          <w:color w:val="auto"/>
          <w:sz w:val="24"/>
          <w:highlight w:val="none"/>
        </w:rPr>
        <w:t>附件1</w:t>
      </w:r>
      <w:r>
        <w:rPr>
          <w:rFonts w:hint="eastAsia" w:eastAsia="宋体"/>
          <w:color w:val="auto"/>
          <w:sz w:val="24"/>
          <w:highlight w:val="none"/>
          <w:lang w:eastAsia="zh-CN"/>
        </w:rPr>
        <w:t>、</w:t>
      </w:r>
      <w:r>
        <w:rPr>
          <w:rFonts w:hint="eastAsia"/>
          <w:color w:val="auto"/>
          <w:sz w:val="24"/>
          <w:highlight w:val="none"/>
        </w:rPr>
        <w:t>企业投资项目登记信息单及备案证</w:t>
      </w:r>
    </w:p>
    <w:p w14:paraId="0A5616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附件2、营业执照</w:t>
      </w:r>
    </w:p>
    <w:p w14:paraId="455F6E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ascii="Times New Roman" w:eastAsia="宋体"/>
          <w:color w:val="auto"/>
          <w:sz w:val="24"/>
          <w:highlight w:val="none"/>
          <w:lang w:val="en-US" w:eastAsia="zh-CN"/>
        </w:rPr>
        <w:t>3</w:t>
      </w:r>
      <w:r>
        <w:rPr>
          <w:color w:val="auto"/>
          <w:sz w:val="24"/>
          <w:highlight w:val="none"/>
        </w:rPr>
        <w:t>、</w:t>
      </w:r>
      <w:r>
        <w:rPr>
          <w:rFonts w:hint="eastAsia" w:ascii="Times New Roman" w:eastAsia="宋体"/>
          <w:color w:val="auto"/>
          <w:sz w:val="24"/>
          <w:highlight w:val="none"/>
          <w:lang w:val="en-US" w:eastAsia="zh-CN"/>
        </w:rPr>
        <w:t>土地证</w:t>
      </w:r>
    </w:p>
    <w:p w14:paraId="10C614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rPr>
      </w:pPr>
      <w:r>
        <w:rPr>
          <w:rFonts w:hint="eastAsia"/>
          <w:color w:val="auto"/>
          <w:sz w:val="24"/>
          <w:highlight w:val="none"/>
        </w:rPr>
        <w:t>附件4、</w:t>
      </w:r>
      <w:r>
        <w:rPr>
          <w:rFonts w:hint="eastAsia" w:ascii="Times New Roman" w:hAnsi="Times New Roman" w:eastAsia="宋体" w:cs="Times New Roman"/>
          <w:color w:val="auto"/>
          <w:sz w:val="24"/>
          <w:szCs w:val="32"/>
          <w:highlight w:val="none"/>
        </w:rPr>
        <w:t>现有项目环保手续</w:t>
      </w:r>
    </w:p>
    <w:p w14:paraId="28BE0C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highlight w:val="none"/>
          <w:lang w:val="en-US" w:eastAsia="zh-CN"/>
        </w:rPr>
      </w:pPr>
      <w:r>
        <w:rPr>
          <w:color w:val="auto"/>
          <w:sz w:val="24"/>
          <w:highlight w:val="none"/>
        </w:rPr>
        <w:t>附件</w:t>
      </w:r>
      <w:r>
        <w:rPr>
          <w:rFonts w:hint="eastAsia" w:ascii="Times New Roman" w:eastAsia="宋体"/>
          <w:color w:val="auto"/>
          <w:sz w:val="24"/>
          <w:highlight w:val="none"/>
          <w:lang w:val="en-US" w:eastAsia="zh-CN"/>
        </w:rPr>
        <w:t>5</w:t>
      </w:r>
      <w:r>
        <w:rPr>
          <w:color w:val="auto"/>
          <w:sz w:val="24"/>
          <w:highlight w:val="none"/>
        </w:rPr>
        <w:t>、</w:t>
      </w:r>
      <w:r>
        <w:rPr>
          <w:rFonts w:hint="eastAsia" w:ascii="Times New Roman" w:hAnsi="Times New Roman" w:eastAsia="宋体" w:cs="Times New Roman"/>
          <w:color w:val="auto"/>
          <w:sz w:val="24"/>
          <w:szCs w:val="32"/>
          <w:highlight w:val="none"/>
        </w:rPr>
        <w:t>排污许可许</w:t>
      </w:r>
      <w:r>
        <w:rPr>
          <w:rFonts w:hint="eastAsia" w:cs="Times New Roman"/>
          <w:color w:val="auto"/>
          <w:sz w:val="24"/>
          <w:szCs w:val="32"/>
          <w:highlight w:val="none"/>
          <w:lang w:val="en-US" w:eastAsia="zh-CN"/>
        </w:rPr>
        <w:t>证</w:t>
      </w:r>
      <w:r>
        <w:rPr>
          <w:rFonts w:hint="eastAsia" w:ascii="Times New Roman" w:hAnsi="Times New Roman" w:eastAsia="宋体" w:cs="Times New Roman"/>
          <w:color w:val="auto"/>
          <w:sz w:val="24"/>
          <w:szCs w:val="32"/>
          <w:highlight w:val="none"/>
        </w:rPr>
        <w:t>登记回执</w:t>
      </w:r>
    </w:p>
    <w:p w14:paraId="22DBC2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ascii="Times New Roman" w:eastAsia="宋体"/>
          <w:color w:val="auto"/>
          <w:sz w:val="24"/>
          <w:highlight w:val="none"/>
          <w:lang w:val="en-US" w:eastAsia="zh-CN"/>
        </w:rPr>
        <w:t>6</w:t>
      </w:r>
      <w:r>
        <w:rPr>
          <w:color w:val="auto"/>
          <w:sz w:val="24"/>
          <w:highlight w:val="none"/>
        </w:rPr>
        <w:t>、</w:t>
      </w:r>
      <w:r>
        <w:rPr>
          <w:rFonts w:hint="eastAsia"/>
          <w:color w:val="auto"/>
          <w:sz w:val="24"/>
          <w:szCs w:val="32"/>
          <w:highlight w:val="none"/>
          <w:lang w:eastAsia="zh-CN"/>
        </w:rPr>
        <w:t>危险废物</w:t>
      </w:r>
      <w:r>
        <w:rPr>
          <w:rFonts w:hint="eastAsia"/>
          <w:color w:val="auto"/>
          <w:sz w:val="24"/>
          <w:szCs w:val="32"/>
          <w:highlight w:val="none"/>
        </w:rPr>
        <w:t>处置</w:t>
      </w:r>
      <w:r>
        <w:rPr>
          <w:rFonts w:hint="eastAsia" w:eastAsia="宋体"/>
          <w:color w:val="auto"/>
          <w:sz w:val="24"/>
          <w:szCs w:val="32"/>
          <w:highlight w:val="none"/>
          <w:lang w:eastAsia="zh-CN"/>
        </w:rPr>
        <w:t>协议及</w:t>
      </w:r>
      <w:r>
        <w:rPr>
          <w:rFonts w:hint="eastAsia"/>
          <w:color w:val="auto"/>
          <w:sz w:val="24"/>
          <w:szCs w:val="32"/>
          <w:highlight w:val="none"/>
          <w:lang w:val="en-US" w:eastAsia="zh-CN"/>
        </w:rPr>
        <w:t>危险废物</w:t>
      </w:r>
      <w:r>
        <w:rPr>
          <w:rFonts w:hint="eastAsia" w:eastAsia="宋体"/>
          <w:color w:val="auto"/>
          <w:sz w:val="24"/>
          <w:szCs w:val="32"/>
          <w:highlight w:val="none"/>
          <w:lang w:eastAsia="zh-CN"/>
        </w:rPr>
        <w:t>处置</w:t>
      </w:r>
      <w:r>
        <w:rPr>
          <w:rFonts w:hint="eastAsia"/>
          <w:color w:val="auto"/>
          <w:sz w:val="24"/>
          <w:szCs w:val="32"/>
          <w:highlight w:val="none"/>
        </w:rPr>
        <w:t>承诺书</w:t>
      </w:r>
    </w:p>
    <w:p w14:paraId="1CF0F5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highlight w:val="none"/>
          <w:lang w:eastAsia="zh-CN"/>
        </w:rPr>
      </w:pPr>
      <w:r>
        <w:rPr>
          <w:color w:val="auto"/>
          <w:sz w:val="24"/>
          <w:highlight w:val="none"/>
        </w:rPr>
        <w:t>附件</w:t>
      </w:r>
      <w:r>
        <w:rPr>
          <w:rFonts w:hint="eastAsia" w:ascii="Times New Roman" w:eastAsia="宋体"/>
          <w:color w:val="auto"/>
          <w:sz w:val="24"/>
          <w:highlight w:val="none"/>
          <w:lang w:val="en-US" w:eastAsia="zh-CN"/>
        </w:rPr>
        <w:t>7</w:t>
      </w:r>
      <w:r>
        <w:rPr>
          <w:color w:val="auto"/>
          <w:sz w:val="24"/>
          <w:highlight w:val="none"/>
        </w:rPr>
        <w:t>、</w:t>
      </w:r>
      <w:r>
        <w:rPr>
          <w:rFonts w:hint="eastAsia" w:ascii="Times New Roman" w:hAnsi="Times New Roman" w:eastAsia="宋体" w:cs="Times New Roman"/>
          <w:color w:val="auto"/>
          <w:sz w:val="24"/>
          <w:szCs w:val="32"/>
          <w:highlight w:val="none"/>
        </w:rPr>
        <w:t>建设项目排放污染物指标申请表</w:t>
      </w:r>
    </w:p>
    <w:p w14:paraId="0843C6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szCs w:val="22"/>
          <w:highlight w:val="none"/>
        </w:rPr>
        <w:t>附件</w:t>
      </w:r>
      <w:r>
        <w:rPr>
          <w:rFonts w:hint="eastAsia" w:ascii="Times New Roman" w:eastAsia="宋体"/>
          <w:color w:val="auto"/>
          <w:sz w:val="24"/>
          <w:szCs w:val="22"/>
          <w:highlight w:val="none"/>
          <w:lang w:val="en-US" w:eastAsia="zh-CN"/>
        </w:rPr>
        <w:t>8</w:t>
      </w:r>
      <w:r>
        <w:rPr>
          <w:color w:val="auto"/>
          <w:sz w:val="24"/>
          <w:szCs w:val="22"/>
          <w:highlight w:val="none"/>
        </w:rPr>
        <w:t>、</w:t>
      </w:r>
      <w:r>
        <w:rPr>
          <w:rFonts w:hint="eastAsia" w:ascii="Times New Roman" w:hAnsi="Times New Roman" w:eastAsia="宋体" w:cs="Times New Roman"/>
          <w:color w:val="auto"/>
          <w:sz w:val="24"/>
          <w:szCs w:val="32"/>
          <w:highlight w:val="none"/>
          <w:lang w:eastAsia="zh-CN"/>
        </w:rPr>
        <w:t>重点项目证明材料</w:t>
      </w:r>
    </w:p>
    <w:p w14:paraId="5E5327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ascii="Times New Roman" w:eastAsia="宋体"/>
          <w:color w:val="auto"/>
          <w:sz w:val="24"/>
          <w:highlight w:val="none"/>
          <w:lang w:val="en-US" w:eastAsia="zh-CN"/>
        </w:rPr>
        <w:t>9</w:t>
      </w:r>
      <w:r>
        <w:rPr>
          <w:color w:val="auto"/>
          <w:sz w:val="24"/>
          <w:highlight w:val="none"/>
        </w:rPr>
        <w:t>、</w:t>
      </w:r>
      <w:r>
        <w:rPr>
          <w:rFonts w:hint="eastAsia" w:ascii="Times New Roman" w:hAnsi="Times New Roman" w:eastAsia="宋体" w:cs="Times New Roman"/>
          <w:color w:val="auto"/>
          <w:sz w:val="24"/>
          <w:szCs w:val="32"/>
          <w:highlight w:val="none"/>
          <w:lang w:eastAsia="zh-CN"/>
        </w:rPr>
        <w:t>总量指标使用凭证</w:t>
      </w:r>
    </w:p>
    <w:p w14:paraId="441561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ascii="Times New Roman" w:eastAsia="宋体"/>
          <w:color w:val="auto"/>
          <w:sz w:val="24"/>
          <w:highlight w:val="none"/>
          <w:lang w:val="en-US" w:eastAsia="zh-CN"/>
        </w:rPr>
        <w:t>10</w:t>
      </w:r>
      <w:r>
        <w:rPr>
          <w:color w:val="auto"/>
          <w:sz w:val="24"/>
          <w:highlight w:val="none"/>
        </w:rPr>
        <w:t>、环评委托书</w:t>
      </w:r>
    </w:p>
    <w:p w14:paraId="71D924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highlight w:val="none"/>
          <w:lang w:eastAsia="zh-CN"/>
        </w:rPr>
      </w:pPr>
      <w:r>
        <w:rPr>
          <w:color w:val="auto"/>
          <w:sz w:val="24"/>
          <w:highlight w:val="none"/>
        </w:rPr>
        <w:t>附件</w:t>
      </w:r>
      <w:r>
        <w:rPr>
          <w:rFonts w:hint="eastAsia" w:ascii="Times New Roman" w:eastAsia="宋体"/>
          <w:color w:val="auto"/>
          <w:sz w:val="24"/>
          <w:highlight w:val="none"/>
          <w:lang w:val="en-US" w:eastAsia="zh-CN"/>
        </w:rPr>
        <w:t>11</w:t>
      </w:r>
      <w:r>
        <w:rPr>
          <w:color w:val="auto"/>
          <w:sz w:val="24"/>
          <w:highlight w:val="none"/>
        </w:rPr>
        <w:t>、</w:t>
      </w:r>
      <w:r>
        <w:rPr>
          <w:rFonts w:hint="eastAsia" w:cs="Times New Roman"/>
          <w:color w:val="auto"/>
          <w:sz w:val="24"/>
          <w:highlight w:val="none"/>
          <w:lang w:val="en-US" w:eastAsia="zh-CN"/>
        </w:rPr>
        <w:t>环评编制合同</w:t>
      </w:r>
    </w:p>
    <w:p w14:paraId="0F1F78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附件</w:t>
      </w:r>
      <w:r>
        <w:rPr>
          <w:rFonts w:hint="eastAsia" w:ascii="Times New Roman" w:eastAsia="宋体"/>
          <w:color w:val="auto"/>
          <w:sz w:val="24"/>
          <w:highlight w:val="none"/>
          <w:lang w:val="en-US" w:eastAsia="zh-CN"/>
        </w:rPr>
        <w:t>12</w:t>
      </w:r>
      <w:r>
        <w:rPr>
          <w:rFonts w:hint="eastAsia"/>
          <w:color w:val="auto"/>
          <w:sz w:val="24"/>
          <w:highlight w:val="none"/>
        </w:rPr>
        <w:t>、</w:t>
      </w:r>
      <w:r>
        <w:rPr>
          <w:rFonts w:hint="eastAsia" w:cs="Times New Roman"/>
          <w:color w:val="auto"/>
          <w:sz w:val="24"/>
          <w:highlight w:val="none"/>
          <w:lang w:val="en-US" w:eastAsia="zh-CN"/>
        </w:rPr>
        <w:t>环评</w:t>
      </w:r>
      <w:r>
        <w:rPr>
          <w:rFonts w:hint="eastAsia" w:ascii="Times New Roman" w:hAnsi="Times New Roman" w:eastAsia="宋体" w:cs="Times New Roman"/>
          <w:color w:val="auto"/>
          <w:sz w:val="24"/>
          <w:highlight w:val="none"/>
        </w:rPr>
        <w:t>确认单</w:t>
      </w:r>
    </w:p>
    <w:p w14:paraId="40316C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附件</w:t>
      </w:r>
      <w:r>
        <w:rPr>
          <w:rFonts w:hint="eastAsia" w:ascii="Times New Roman" w:eastAsia="宋体"/>
          <w:color w:val="auto"/>
          <w:sz w:val="24"/>
          <w:highlight w:val="none"/>
          <w:lang w:val="en-US" w:eastAsia="zh-CN"/>
        </w:rPr>
        <w:t>13</w:t>
      </w:r>
      <w:r>
        <w:rPr>
          <w:color w:val="auto"/>
          <w:sz w:val="24"/>
          <w:highlight w:val="none"/>
        </w:rPr>
        <w:t>、</w:t>
      </w:r>
      <w:r>
        <w:rPr>
          <w:rFonts w:hint="eastAsia" w:cs="Times New Roman"/>
          <w:color w:val="auto"/>
          <w:sz w:val="24"/>
          <w:highlight w:val="none"/>
          <w:lang w:val="en-US" w:eastAsia="zh-CN"/>
        </w:rPr>
        <w:t>环评单位承诺书</w:t>
      </w:r>
    </w:p>
    <w:p w14:paraId="326E44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highlight w:val="none"/>
          <w:lang w:val="en-US" w:eastAsia="zh-CN"/>
        </w:rPr>
      </w:pPr>
      <w:r>
        <w:rPr>
          <w:color w:val="auto"/>
          <w:sz w:val="24"/>
          <w:highlight w:val="none"/>
        </w:rPr>
        <w:t>附件</w:t>
      </w:r>
      <w:r>
        <w:rPr>
          <w:rFonts w:hint="eastAsia" w:ascii="Times New Roman" w:eastAsia="宋体"/>
          <w:color w:val="auto"/>
          <w:sz w:val="24"/>
          <w:highlight w:val="none"/>
          <w:lang w:val="en-US" w:eastAsia="zh-CN"/>
        </w:rPr>
        <w:t>14</w:t>
      </w:r>
      <w:r>
        <w:rPr>
          <w:color w:val="auto"/>
          <w:sz w:val="24"/>
          <w:highlight w:val="none"/>
        </w:rPr>
        <w:t>、全本公示截图</w:t>
      </w:r>
    </w:p>
    <w:p w14:paraId="350143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2"/>
          <w:highlight w:val="none"/>
          <w:lang w:val="en-US" w:eastAsia="zh-CN"/>
        </w:rPr>
      </w:pPr>
      <w:r>
        <w:rPr>
          <w:rFonts w:hint="default" w:ascii="Times New Roman" w:hAnsi="Times New Roman" w:cs="Times New Roman"/>
          <w:color w:val="auto"/>
          <w:sz w:val="24"/>
          <w:szCs w:val="24"/>
          <w:highlight w:val="none"/>
        </w:rPr>
        <w:t>附件1</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编制主持人现场踏勘照片</w:t>
      </w:r>
    </w:p>
    <w:p w14:paraId="673BC3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2"/>
          <w:highlight w:val="none"/>
          <w:lang w:val="en-US" w:eastAsia="zh-CN"/>
        </w:rPr>
      </w:pPr>
      <w:r>
        <w:rPr>
          <w:rFonts w:hint="default" w:ascii="Times New Roman" w:hAnsi="Times New Roman" w:cs="Times New Roman"/>
          <w:color w:val="auto"/>
          <w:sz w:val="24"/>
          <w:szCs w:val="24"/>
          <w:highlight w:val="none"/>
        </w:rPr>
        <w:t>附件1</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江苏省生态环境分区管控综合查询报告</w:t>
      </w:r>
    </w:p>
    <w:p w14:paraId="4E730A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eastAsia="宋体"/>
          <w:color w:val="auto"/>
          <w:sz w:val="24"/>
          <w:szCs w:val="22"/>
          <w:highlight w:val="none"/>
          <w:lang w:val="en-US" w:eastAsia="zh-CN"/>
        </w:rPr>
        <w:t>附件17、其他</w:t>
      </w:r>
    </w:p>
    <w:p w14:paraId="08FFB4FF">
      <w:pPr>
        <w:pStyle w:val="21"/>
        <w:tabs>
          <w:tab w:val="right" w:leader="dot" w:pos="8844"/>
        </w:tabs>
        <w:jc w:val="center"/>
        <w:rPr>
          <w:rFonts w:ascii="Times New Roman" w:hAnsi="Times New Roman" w:eastAsia="宋体"/>
          <w:b/>
          <w:bCs/>
          <w:snapToGrid w:val="0"/>
          <w:color w:val="auto"/>
          <w:sz w:val="30"/>
          <w:szCs w:val="30"/>
          <w:highlight w:val="none"/>
        </w:rPr>
      </w:pPr>
      <w:r>
        <w:rPr>
          <w:rFonts w:hint="eastAsia" w:ascii="Times New Roman" w:hAnsi="Times New Roman" w:eastAsia="宋体" w:cs="Times New Roman"/>
          <w:b/>
          <w:bCs/>
          <w:color w:val="auto"/>
          <w:sz w:val="30"/>
          <w:szCs w:val="30"/>
          <w:highlight w:val="none"/>
          <w:lang w:eastAsia="zh-CN"/>
        </w:rPr>
        <w:fldChar w:fldCharType="end"/>
      </w:r>
      <w:bookmarkStart w:id="2" w:name="_Toc14273"/>
      <w:r>
        <w:rPr>
          <w:rFonts w:ascii="Times New Roman" w:hAnsi="Times New Roman" w:eastAsia="宋体"/>
          <w:b/>
          <w:bCs/>
          <w:snapToGrid w:val="0"/>
          <w:color w:val="auto"/>
          <w:sz w:val="30"/>
          <w:szCs w:val="30"/>
          <w:highlight w:val="none"/>
        </w:rPr>
        <w:t>一、建设项目基本情况</w:t>
      </w:r>
      <w:bookmarkEnd w:id="2"/>
    </w:p>
    <w:tbl>
      <w:tblPr>
        <w:tblStyle w:val="24"/>
        <w:tblW w:w="99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93"/>
        <w:gridCol w:w="1366"/>
        <w:gridCol w:w="1807"/>
        <w:gridCol w:w="1854"/>
        <w:gridCol w:w="4463"/>
      </w:tblGrid>
      <w:tr w14:paraId="0B6FC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9" w:type="dxa"/>
            <w:gridSpan w:val="2"/>
            <w:noWrap w:val="0"/>
            <w:tcMar>
              <w:top w:w="16" w:type="dxa"/>
              <w:left w:w="16" w:type="dxa"/>
              <w:right w:w="16" w:type="dxa"/>
            </w:tcMar>
            <w:vAlign w:val="center"/>
          </w:tcPr>
          <w:p w14:paraId="65E14E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建设项目名称</w:t>
            </w:r>
          </w:p>
        </w:tc>
        <w:tc>
          <w:tcPr>
            <w:tcW w:w="8124" w:type="dxa"/>
            <w:gridSpan w:val="3"/>
            <w:noWrap w:val="0"/>
            <w:vAlign w:val="center"/>
          </w:tcPr>
          <w:p w14:paraId="7EF419D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年产一亿个口腔隐形正畸产品的3D打印后处理工艺技术升级改造项目</w:t>
            </w:r>
          </w:p>
        </w:tc>
      </w:tr>
      <w:tr w14:paraId="4F8FB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9" w:type="dxa"/>
            <w:gridSpan w:val="2"/>
            <w:noWrap w:val="0"/>
            <w:tcMar>
              <w:top w:w="16" w:type="dxa"/>
              <w:left w:w="16" w:type="dxa"/>
              <w:right w:w="16" w:type="dxa"/>
            </w:tcMar>
            <w:vAlign w:val="center"/>
          </w:tcPr>
          <w:p w14:paraId="2958CA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项目代码</w:t>
            </w:r>
          </w:p>
        </w:tc>
        <w:tc>
          <w:tcPr>
            <w:tcW w:w="8124" w:type="dxa"/>
            <w:gridSpan w:val="3"/>
            <w:noWrap w:val="0"/>
            <w:vAlign w:val="center"/>
          </w:tcPr>
          <w:p w14:paraId="10199F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2501-320214-89-02-412222</w:t>
            </w:r>
          </w:p>
        </w:tc>
      </w:tr>
      <w:tr w14:paraId="06945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9" w:type="dxa"/>
            <w:gridSpan w:val="2"/>
            <w:noWrap w:val="0"/>
            <w:tcMar>
              <w:top w:w="16" w:type="dxa"/>
              <w:left w:w="16" w:type="dxa"/>
              <w:right w:w="16" w:type="dxa"/>
            </w:tcMar>
            <w:vAlign w:val="center"/>
          </w:tcPr>
          <w:p w14:paraId="29279C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建设单位联系人</w:t>
            </w:r>
          </w:p>
        </w:tc>
        <w:tc>
          <w:tcPr>
            <w:tcW w:w="1807" w:type="dxa"/>
            <w:noWrap w:val="0"/>
            <w:vAlign w:val="center"/>
          </w:tcPr>
          <w:p w14:paraId="1DC8FD4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lang w:val="en-US" w:eastAsia="zh-CN"/>
              </w:rPr>
              <w:t>嵇海浪</w:t>
            </w:r>
          </w:p>
        </w:tc>
        <w:tc>
          <w:tcPr>
            <w:tcW w:w="1854" w:type="dxa"/>
            <w:noWrap w:val="0"/>
            <w:vAlign w:val="center"/>
          </w:tcPr>
          <w:p w14:paraId="634ABB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联系方式</w:t>
            </w:r>
          </w:p>
        </w:tc>
        <w:tc>
          <w:tcPr>
            <w:tcW w:w="4463" w:type="dxa"/>
            <w:noWrap w:val="0"/>
            <w:vAlign w:val="center"/>
          </w:tcPr>
          <w:p w14:paraId="7B723D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default" w:ascii="Times New Roman" w:hAnsi="Times New Roman" w:eastAsia="宋体"/>
                <w:color w:val="auto"/>
                <w:sz w:val="24"/>
                <w:highlight w:val="none"/>
                <w:lang w:val="en-US" w:eastAsia="zh-CN"/>
              </w:rPr>
              <w:t>15151952039</w:t>
            </w:r>
          </w:p>
        </w:tc>
      </w:tr>
      <w:tr w14:paraId="40DCD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 w:hRule="atLeast"/>
          <w:jc w:val="center"/>
        </w:trPr>
        <w:tc>
          <w:tcPr>
            <w:tcW w:w="1859" w:type="dxa"/>
            <w:gridSpan w:val="2"/>
            <w:noWrap w:val="0"/>
            <w:tcMar>
              <w:top w:w="16" w:type="dxa"/>
              <w:left w:w="16" w:type="dxa"/>
              <w:right w:w="16" w:type="dxa"/>
            </w:tcMar>
            <w:vAlign w:val="center"/>
          </w:tcPr>
          <w:p w14:paraId="64E799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建设地点</w:t>
            </w:r>
          </w:p>
        </w:tc>
        <w:tc>
          <w:tcPr>
            <w:tcW w:w="8124" w:type="dxa"/>
            <w:gridSpan w:val="3"/>
            <w:noWrap w:val="0"/>
            <w:vAlign w:val="center"/>
          </w:tcPr>
          <w:p w14:paraId="555DCD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eastAsia="zh-CN"/>
              </w:rPr>
              <w:t>江苏省</w:t>
            </w:r>
            <w:r>
              <w:rPr>
                <w:rFonts w:hint="default" w:ascii="Times New Roman" w:hAnsi="Times New Roman" w:eastAsia="宋体"/>
                <w:color w:val="auto"/>
                <w:sz w:val="24"/>
                <w:highlight w:val="none"/>
              </w:rPr>
              <w:t>无锡市新吴区</w:t>
            </w:r>
            <w:r>
              <w:rPr>
                <w:rFonts w:hint="eastAsia" w:ascii="Times New Roman" w:hAnsi="Times New Roman" w:eastAsia="宋体"/>
                <w:color w:val="auto"/>
                <w:sz w:val="24"/>
                <w:highlight w:val="none"/>
                <w:lang w:val="en-US" w:eastAsia="zh-CN"/>
              </w:rPr>
              <w:t>观山路36号</w:t>
            </w:r>
          </w:p>
        </w:tc>
      </w:tr>
      <w:tr w14:paraId="4E7D6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9" w:type="dxa"/>
            <w:gridSpan w:val="2"/>
            <w:noWrap w:val="0"/>
            <w:tcMar>
              <w:top w:w="16" w:type="dxa"/>
              <w:left w:w="16" w:type="dxa"/>
              <w:right w:w="16" w:type="dxa"/>
            </w:tcMar>
            <w:vAlign w:val="center"/>
          </w:tcPr>
          <w:p w14:paraId="375CE2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地理坐标</w:t>
            </w:r>
          </w:p>
        </w:tc>
        <w:tc>
          <w:tcPr>
            <w:tcW w:w="8124" w:type="dxa"/>
            <w:gridSpan w:val="3"/>
            <w:noWrap w:val="0"/>
            <w:vAlign w:val="center"/>
          </w:tcPr>
          <w:p w14:paraId="7DA9C8E6">
            <w:pPr>
              <w:keepNext w:val="0"/>
              <w:keepLines w:val="0"/>
              <w:suppressLineNumbers w:val="0"/>
              <w:spacing w:before="0" w:beforeAutospacing="0" w:after="0" w:afterAutospacing="0"/>
              <w:ind w:left="0" w:right="0"/>
              <w:jc w:val="center"/>
              <w:rPr>
                <w:rFonts w:hint="eastAsia" w:ascii="Times New Roman" w:hAnsi="Times New Roman" w:eastAsia="宋体"/>
                <w:color w:val="auto"/>
                <w:sz w:val="24"/>
                <w:highlight w:val="none"/>
                <w:lang w:eastAsia="zh-CN"/>
              </w:rPr>
            </w:pPr>
            <w:r>
              <w:rPr>
                <w:rFonts w:hint="default" w:ascii="Times New Roman" w:hAnsi="Times New Roman" w:eastAsia="宋体"/>
                <w:color w:val="auto"/>
                <w:sz w:val="24"/>
                <w:highlight w:val="none"/>
              </w:rPr>
              <w:t>（</w:t>
            </w:r>
            <w:r>
              <w:rPr>
                <w:rFonts w:hint="default" w:ascii="Times New Roman" w:hAnsi="Times New Roman" w:eastAsia="宋体"/>
                <w:color w:val="auto"/>
                <w:sz w:val="24"/>
                <w:highlight w:val="none"/>
                <w:u w:val="single"/>
              </w:rPr>
              <w:t xml:space="preserve"> 120 </w:t>
            </w:r>
            <w:r>
              <w:rPr>
                <w:rFonts w:hint="default" w:ascii="Times New Roman" w:hAnsi="Times New Roman" w:eastAsia="宋体"/>
                <w:color w:val="auto"/>
                <w:sz w:val="24"/>
                <w:highlight w:val="none"/>
              </w:rPr>
              <w:t>度</w:t>
            </w:r>
            <w:r>
              <w:rPr>
                <w:rFonts w:hint="default" w:ascii="Times New Roman" w:hAnsi="Times New Roman" w:eastAsia="宋体"/>
                <w:color w:val="auto"/>
                <w:sz w:val="24"/>
                <w:highlight w:val="none"/>
                <w:u w:val="single"/>
              </w:rPr>
              <w:t xml:space="preserve"> </w:t>
            </w:r>
            <w:r>
              <w:rPr>
                <w:rFonts w:hint="eastAsia" w:ascii="Times New Roman" w:hAnsi="Times New Roman" w:eastAsia="宋体"/>
                <w:color w:val="auto"/>
                <w:sz w:val="24"/>
                <w:highlight w:val="none"/>
                <w:u w:val="single"/>
                <w:lang w:val="en-US" w:eastAsia="zh-CN"/>
              </w:rPr>
              <w:t>21</w:t>
            </w:r>
            <w:r>
              <w:rPr>
                <w:rFonts w:hint="default" w:ascii="Times New Roman" w:hAnsi="Times New Roman" w:eastAsia="宋体"/>
                <w:color w:val="auto"/>
                <w:sz w:val="24"/>
                <w:highlight w:val="none"/>
                <w:u w:val="single"/>
              </w:rPr>
              <w:t xml:space="preserve"> </w:t>
            </w:r>
            <w:r>
              <w:rPr>
                <w:rFonts w:hint="default" w:ascii="Times New Roman" w:hAnsi="Times New Roman" w:eastAsia="宋体"/>
                <w:color w:val="auto"/>
                <w:sz w:val="24"/>
                <w:highlight w:val="none"/>
              </w:rPr>
              <w:t>分</w:t>
            </w:r>
            <w:r>
              <w:rPr>
                <w:rFonts w:hint="eastAsia" w:ascii="Times New Roman" w:hAnsi="Times New Roman" w:eastAsia="宋体"/>
                <w:color w:val="auto"/>
                <w:sz w:val="24"/>
                <w:highlight w:val="none"/>
                <w:u w:val="single"/>
                <w:lang w:val="en-US" w:eastAsia="zh-CN"/>
              </w:rPr>
              <w:t>17.317</w:t>
            </w:r>
            <w:r>
              <w:rPr>
                <w:rFonts w:hint="default" w:ascii="Times New Roman" w:hAnsi="Times New Roman" w:eastAsia="宋体"/>
                <w:color w:val="auto"/>
                <w:sz w:val="24"/>
                <w:highlight w:val="none"/>
                <w:u w:val="single"/>
              </w:rPr>
              <w:t xml:space="preserve"> </w:t>
            </w:r>
            <w:r>
              <w:rPr>
                <w:rFonts w:hint="default" w:ascii="Times New Roman" w:hAnsi="Times New Roman" w:eastAsia="宋体"/>
                <w:color w:val="auto"/>
                <w:sz w:val="24"/>
                <w:highlight w:val="none"/>
              </w:rPr>
              <w:t>秒，</w:t>
            </w:r>
            <w:r>
              <w:rPr>
                <w:rFonts w:hint="default" w:ascii="Times New Roman" w:hAnsi="Times New Roman" w:eastAsia="宋体"/>
                <w:color w:val="auto"/>
                <w:sz w:val="24"/>
                <w:highlight w:val="none"/>
                <w:u w:val="single"/>
              </w:rPr>
              <w:t xml:space="preserve"> 31 </w:t>
            </w:r>
            <w:r>
              <w:rPr>
                <w:rFonts w:hint="default" w:ascii="Times New Roman" w:hAnsi="Times New Roman" w:eastAsia="宋体"/>
                <w:color w:val="auto"/>
                <w:sz w:val="24"/>
                <w:highlight w:val="none"/>
              </w:rPr>
              <w:t>度</w:t>
            </w:r>
            <w:r>
              <w:rPr>
                <w:rFonts w:hint="default" w:ascii="Times New Roman" w:hAnsi="Times New Roman" w:eastAsia="宋体"/>
                <w:color w:val="auto"/>
                <w:sz w:val="24"/>
                <w:highlight w:val="none"/>
                <w:u w:val="single"/>
              </w:rPr>
              <w:t xml:space="preserve"> </w:t>
            </w:r>
            <w:r>
              <w:rPr>
                <w:rFonts w:hint="eastAsia" w:ascii="Times New Roman" w:hAnsi="Times New Roman" w:eastAsia="宋体"/>
                <w:color w:val="auto"/>
                <w:sz w:val="24"/>
                <w:highlight w:val="none"/>
                <w:u w:val="single"/>
                <w:lang w:val="en-US" w:eastAsia="zh-CN"/>
              </w:rPr>
              <w:t>30</w:t>
            </w:r>
            <w:r>
              <w:rPr>
                <w:rFonts w:hint="default" w:ascii="Times New Roman" w:hAnsi="Times New Roman" w:eastAsia="宋体"/>
                <w:color w:val="auto"/>
                <w:sz w:val="24"/>
                <w:highlight w:val="none"/>
                <w:u w:val="single"/>
              </w:rPr>
              <w:t xml:space="preserve"> </w:t>
            </w:r>
            <w:r>
              <w:rPr>
                <w:rFonts w:hint="default" w:ascii="Times New Roman" w:hAnsi="Times New Roman" w:eastAsia="宋体"/>
                <w:color w:val="auto"/>
                <w:sz w:val="24"/>
                <w:highlight w:val="none"/>
              </w:rPr>
              <w:t>分</w:t>
            </w:r>
            <w:r>
              <w:rPr>
                <w:rFonts w:hint="default" w:ascii="Times New Roman" w:hAnsi="Times New Roman" w:eastAsia="宋体"/>
                <w:color w:val="auto"/>
                <w:sz w:val="24"/>
                <w:highlight w:val="none"/>
                <w:u w:val="single"/>
              </w:rPr>
              <w:t xml:space="preserve"> </w:t>
            </w:r>
            <w:r>
              <w:rPr>
                <w:rFonts w:hint="eastAsia" w:ascii="Times New Roman" w:hAnsi="Times New Roman" w:eastAsia="宋体"/>
                <w:color w:val="auto"/>
                <w:sz w:val="24"/>
                <w:highlight w:val="none"/>
                <w:u w:val="single"/>
                <w:lang w:val="en-US" w:eastAsia="zh-CN"/>
              </w:rPr>
              <w:t>21.737</w:t>
            </w:r>
            <w:r>
              <w:rPr>
                <w:rFonts w:hint="default" w:ascii="Times New Roman" w:hAnsi="Times New Roman" w:eastAsia="宋体"/>
                <w:color w:val="auto"/>
                <w:sz w:val="24"/>
                <w:highlight w:val="none"/>
                <w:u w:val="single"/>
              </w:rPr>
              <w:t xml:space="preserve"> </w:t>
            </w:r>
            <w:r>
              <w:rPr>
                <w:rFonts w:hint="default" w:ascii="Times New Roman" w:hAnsi="Times New Roman" w:eastAsia="宋体"/>
                <w:color w:val="auto"/>
                <w:sz w:val="24"/>
                <w:highlight w:val="none"/>
              </w:rPr>
              <w:t>秒）</w:t>
            </w:r>
          </w:p>
        </w:tc>
      </w:tr>
      <w:tr w14:paraId="65436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1859" w:type="dxa"/>
            <w:gridSpan w:val="2"/>
            <w:noWrap w:val="0"/>
            <w:tcMar>
              <w:top w:w="16" w:type="dxa"/>
              <w:left w:w="16" w:type="dxa"/>
              <w:right w:w="16" w:type="dxa"/>
            </w:tcMar>
            <w:vAlign w:val="center"/>
          </w:tcPr>
          <w:p w14:paraId="406053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国民经济</w:t>
            </w:r>
          </w:p>
          <w:p w14:paraId="6896D7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行业类别</w:t>
            </w:r>
          </w:p>
        </w:tc>
        <w:tc>
          <w:tcPr>
            <w:tcW w:w="1807" w:type="dxa"/>
            <w:noWrap w:val="0"/>
            <w:vAlign w:val="center"/>
          </w:tcPr>
          <w:p w14:paraId="12C9C01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highlight w:val="none"/>
                <w:lang w:eastAsia="zh-CN"/>
              </w:rPr>
            </w:pP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C</w:t>
            </w:r>
            <w:r>
              <w:rPr>
                <w:rFonts w:hint="eastAsia" w:ascii="Times New Roman" w:hAnsi="Times New Roman" w:eastAsia="宋体"/>
                <w:color w:val="auto"/>
                <w:sz w:val="24"/>
                <w:highlight w:val="none"/>
                <w:lang w:val="en-US" w:eastAsia="zh-CN"/>
              </w:rPr>
              <w:t>3589</w:t>
            </w: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lang w:val="en-US" w:eastAsia="zh-CN"/>
              </w:rPr>
              <w:t>其他医疗设备及器械制造</w:t>
            </w:r>
          </w:p>
        </w:tc>
        <w:tc>
          <w:tcPr>
            <w:tcW w:w="1854" w:type="dxa"/>
            <w:noWrap w:val="0"/>
            <w:vAlign w:val="center"/>
          </w:tcPr>
          <w:p w14:paraId="2F067D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bookmarkStart w:id="3" w:name="_Hlk49843745"/>
            <w:r>
              <w:rPr>
                <w:rFonts w:hint="default" w:ascii="Times New Roman" w:hAnsi="Times New Roman" w:eastAsia="宋体"/>
                <w:color w:val="auto"/>
                <w:sz w:val="24"/>
                <w:highlight w:val="none"/>
              </w:rPr>
              <w:t>建设项目</w:t>
            </w:r>
          </w:p>
          <w:p w14:paraId="04C115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行业类别</w:t>
            </w:r>
            <w:bookmarkEnd w:id="3"/>
          </w:p>
        </w:tc>
        <w:tc>
          <w:tcPr>
            <w:tcW w:w="4463" w:type="dxa"/>
            <w:noWrap w:val="0"/>
            <w:vAlign w:val="center"/>
          </w:tcPr>
          <w:p w14:paraId="7A9B1F4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lang w:val="en-US" w:eastAsia="zh-CN"/>
              </w:rPr>
              <w:t>三十二、专用设备制造业35-70医疗仪器设备及器械制造358其他（仅分割、焊接、组装的除外；年用非溶剂型低VOCs含量涂料10吨以下的除外）</w:t>
            </w:r>
          </w:p>
        </w:tc>
      </w:tr>
      <w:tr w14:paraId="2FBFB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1859" w:type="dxa"/>
            <w:gridSpan w:val="2"/>
            <w:noWrap w:val="0"/>
            <w:tcMar>
              <w:top w:w="16" w:type="dxa"/>
              <w:left w:w="16" w:type="dxa"/>
              <w:right w:w="16" w:type="dxa"/>
            </w:tcMar>
            <w:vAlign w:val="center"/>
          </w:tcPr>
          <w:p w14:paraId="5270A5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建设性质</w:t>
            </w:r>
          </w:p>
        </w:tc>
        <w:tc>
          <w:tcPr>
            <w:tcW w:w="1807" w:type="dxa"/>
            <w:noWrap w:val="0"/>
            <w:vAlign w:val="center"/>
          </w:tcPr>
          <w:p w14:paraId="2452240A">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rPr>
              <w:t>新建（迁建）</w:t>
            </w:r>
          </w:p>
          <w:p w14:paraId="1236A46A">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cs="宋体"/>
                <w:color w:val="auto"/>
                <w:sz w:val="24"/>
                <w:szCs w:val="24"/>
                <w:highlight w:val="none"/>
                <w:lang w:eastAsia="zh-CN"/>
              </w:rPr>
              <w:t>□</w:t>
            </w:r>
            <w:r>
              <w:rPr>
                <w:rFonts w:hint="eastAsia" w:ascii="Times New Roman" w:hAnsi="Times New Roman" w:eastAsia="宋体" w:cs="宋体"/>
                <w:color w:val="auto"/>
                <w:sz w:val="24"/>
                <w:szCs w:val="24"/>
                <w:highlight w:val="none"/>
              </w:rPr>
              <w:t>改建</w:t>
            </w:r>
          </w:p>
          <w:p w14:paraId="63FF17FA">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rPr>
              <w:t>扩建</w:t>
            </w:r>
          </w:p>
          <w:p w14:paraId="32ACD06C">
            <w:pPr>
              <w:keepNext w:val="0"/>
              <w:keepLines w:val="0"/>
              <w:suppressLineNumbers w:val="0"/>
              <w:spacing w:before="0" w:beforeAutospacing="0" w:after="0" w:afterAutospacing="0"/>
              <w:ind w:left="0" w:right="0"/>
              <w:jc w:val="left"/>
              <w:rPr>
                <w:rFonts w:hint="default" w:ascii="Times New Roman" w:hAnsi="Times New Roman" w:eastAsia="宋体"/>
                <w:color w:val="auto"/>
                <w:sz w:val="24"/>
                <w:highlight w:val="none"/>
              </w:rPr>
            </w:pPr>
            <w:r>
              <w:rPr>
                <w:rFonts w:hint="eastAsia" w:cs="宋体"/>
                <w:color w:val="auto"/>
                <w:sz w:val="24"/>
                <w:highlight w:val="none"/>
                <w:lang w:eastAsia="zh-CN"/>
              </w:rPr>
              <w:t>☑</w:t>
            </w:r>
            <w:r>
              <w:rPr>
                <w:rFonts w:hint="eastAsia" w:ascii="Times New Roman" w:hAnsi="Times New Roman" w:eastAsia="宋体" w:cs="宋体"/>
                <w:color w:val="auto"/>
                <w:sz w:val="24"/>
                <w:highlight w:val="none"/>
              </w:rPr>
              <w:t>技术改造</w:t>
            </w:r>
          </w:p>
        </w:tc>
        <w:tc>
          <w:tcPr>
            <w:tcW w:w="1854" w:type="dxa"/>
            <w:noWrap w:val="0"/>
            <w:vAlign w:val="center"/>
          </w:tcPr>
          <w:p w14:paraId="160AF9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建设项目</w:t>
            </w:r>
          </w:p>
          <w:p w14:paraId="465DBD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申报情形</w:t>
            </w:r>
          </w:p>
        </w:tc>
        <w:tc>
          <w:tcPr>
            <w:tcW w:w="4463" w:type="dxa"/>
            <w:noWrap w:val="0"/>
            <w:vAlign w:val="center"/>
          </w:tcPr>
          <w:p w14:paraId="23C57A5C">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w:t>
            </w:r>
            <w:r>
              <w:rPr>
                <w:rFonts w:hint="eastAsia" w:ascii="Times New Roman" w:hAnsi="Times New Roman" w:eastAsia="宋体" w:cs="宋体"/>
                <w:color w:val="auto"/>
                <w:sz w:val="24"/>
                <w:szCs w:val="24"/>
                <w:highlight w:val="none"/>
              </w:rPr>
              <w:t>首次申报项目</w:t>
            </w:r>
          </w:p>
          <w:p w14:paraId="6975A89D">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□不予批准后再次申报项目</w:t>
            </w:r>
          </w:p>
          <w:p w14:paraId="717B3447">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rPr>
              <w:t>□超五年重新审核项目</w:t>
            </w:r>
            <w:r>
              <w:rPr>
                <w:rFonts w:hint="eastAsia" w:ascii="Times New Roman" w:hAnsi="Times New Roman" w:eastAsia="宋体" w:cs="宋体"/>
                <w:color w:val="auto"/>
                <w:sz w:val="24"/>
                <w:szCs w:val="24"/>
                <w:highlight w:val="none"/>
                <w:lang w:val="en-US" w:eastAsia="zh-CN"/>
              </w:rPr>
              <w:t xml:space="preserve"> </w:t>
            </w:r>
          </w:p>
          <w:p w14:paraId="2274FAA4">
            <w:pPr>
              <w:keepNext w:val="0"/>
              <w:keepLines w:val="0"/>
              <w:suppressLineNumbers w:val="0"/>
              <w:spacing w:before="0" w:beforeAutospacing="0" w:after="0" w:afterAutospacing="0"/>
              <w:ind w:left="0" w:right="0"/>
              <w:jc w:val="left"/>
              <w:rPr>
                <w:rFonts w:hint="default" w:ascii="Times New Roman" w:hAnsi="Times New Roman" w:eastAsia="宋体"/>
                <w:color w:val="auto"/>
                <w:sz w:val="24"/>
                <w:highlight w:val="none"/>
              </w:rPr>
            </w:pPr>
            <w:r>
              <w:rPr>
                <w:rFonts w:hint="eastAsia" w:ascii="Times New Roman" w:hAnsi="Times New Roman" w:eastAsia="宋体" w:cs="宋体"/>
                <w:color w:val="auto"/>
                <w:sz w:val="24"/>
                <w:highlight w:val="none"/>
              </w:rPr>
              <w:t>□重大变动重新报批项目</w:t>
            </w:r>
          </w:p>
        </w:tc>
      </w:tr>
      <w:tr w14:paraId="71041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9" w:hRule="atLeast"/>
          <w:jc w:val="center"/>
        </w:trPr>
        <w:tc>
          <w:tcPr>
            <w:tcW w:w="1859" w:type="dxa"/>
            <w:gridSpan w:val="2"/>
            <w:noWrap w:val="0"/>
            <w:tcMar>
              <w:top w:w="16" w:type="dxa"/>
              <w:left w:w="16" w:type="dxa"/>
              <w:right w:w="16" w:type="dxa"/>
            </w:tcMar>
            <w:vAlign w:val="center"/>
          </w:tcPr>
          <w:p w14:paraId="6C176E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项目审批（核准/备案）部门（选填）</w:t>
            </w:r>
          </w:p>
        </w:tc>
        <w:tc>
          <w:tcPr>
            <w:tcW w:w="1807" w:type="dxa"/>
            <w:noWrap w:val="0"/>
            <w:vAlign w:val="center"/>
          </w:tcPr>
          <w:p w14:paraId="70AB9B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无锡高新区（新吴区）数据局</w:t>
            </w:r>
          </w:p>
        </w:tc>
        <w:tc>
          <w:tcPr>
            <w:tcW w:w="1854" w:type="dxa"/>
            <w:noWrap w:val="0"/>
            <w:vAlign w:val="center"/>
          </w:tcPr>
          <w:p w14:paraId="67B09D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项目审批（核准/</w:t>
            </w:r>
          </w:p>
          <w:p w14:paraId="394EDF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备案）文号（选填）</w:t>
            </w:r>
          </w:p>
        </w:tc>
        <w:tc>
          <w:tcPr>
            <w:tcW w:w="4463" w:type="dxa"/>
            <w:noWrap w:val="0"/>
            <w:vAlign w:val="center"/>
          </w:tcPr>
          <w:p w14:paraId="23EBD2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锡新数投备[2025]</w:t>
            </w:r>
            <w:r>
              <w:rPr>
                <w:rFonts w:hint="eastAsia"/>
                <w:color w:val="auto"/>
                <w:sz w:val="24"/>
                <w:highlight w:val="none"/>
                <w:lang w:val="en-US" w:eastAsia="zh-CN"/>
              </w:rPr>
              <w:t>329</w:t>
            </w:r>
            <w:r>
              <w:rPr>
                <w:rFonts w:hint="eastAsia" w:ascii="Times New Roman" w:hAnsi="Times New Roman" w:eastAsia="宋体"/>
                <w:color w:val="auto"/>
                <w:sz w:val="24"/>
                <w:highlight w:val="none"/>
                <w:lang w:val="en-US" w:eastAsia="zh-CN"/>
              </w:rPr>
              <w:t>号</w:t>
            </w:r>
          </w:p>
        </w:tc>
      </w:tr>
      <w:tr w14:paraId="28C41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9" w:type="dxa"/>
            <w:gridSpan w:val="2"/>
            <w:noWrap w:val="0"/>
            <w:tcMar>
              <w:top w:w="16" w:type="dxa"/>
              <w:left w:w="16" w:type="dxa"/>
              <w:right w:w="16" w:type="dxa"/>
            </w:tcMar>
            <w:vAlign w:val="center"/>
          </w:tcPr>
          <w:p w14:paraId="6F3E98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总投资（万元）</w:t>
            </w:r>
          </w:p>
        </w:tc>
        <w:tc>
          <w:tcPr>
            <w:tcW w:w="1807" w:type="dxa"/>
            <w:noWrap w:val="0"/>
            <w:vAlign w:val="center"/>
          </w:tcPr>
          <w:p w14:paraId="5B9623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color w:val="auto"/>
                <w:sz w:val="24"/>
                <w:highlight w:val="none"/>
                <w:lang w:val="en-US" w:eastAsia="zh-CN"/>
              </w:rPr>
              <w:t>11998</w:t>
            </w:r>
          </w:p>
        </w:tc>
        <w:tc>
          <w:tcPr>
            <w:tcW w:w="1854" w:type="dxa"/>
            <w:noWrap w:val="0"/>
            <w:tcMar>
              <w:top w:w="16" w:type="dxa"/>
              <w:left w:w="16" w:type="dxa"/>
              <w:right w:w="16" w:type="dxa"/>
            </w:tcMar>
            <w:vAlign w:val="center"/>
          </w:tcPr>
          <w:p w14:paraId="3F334F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环保投资（万元）</w:t>
            </w:r>
          </w:p>
        </w:tc>
        <w:tc>
          <w:tcPr>
            <w:tcW w:w="4463" w:type="dxa"/>
            <w:noWrap w:val="0"/>
            <w:vAlign w:val="center"/>
          </w:tcPr>
          <w:p w14:paraId="4138B1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20</w:t>
            </w:r>
          </w:p>
        </w:tc>
      </w:tr>
      <w:tr w14:paraId="1BE6A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59" w:type="dxa"/>
            <w:gridSpan w:val="2"/>
            <w:noWrap w:val="0"/>
            <w:tcMar>
              <w:top w:w="16" w:type="dxa"/>
              <w:left w:w="16" w:type="dxa"/>
              <w:right w:w="16" w:type="dxa"/>
            </w:tcMar>
            <w:vAlign w:val="center"/>
          </w:tcPr>
          <w:p w14:paraId="4AD506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环保投资占比（%）</w:t>
            </w:r>
          </w:p>
        </w:tc>
        <w:tc>
          <w:tcPr>
            <w:tcW w:w="1807" w:type="dxa"/>
            <w:noWrap w:val="0"/>
            <w:vAlign w:val="center"/>
          </w:tcPr>
          <w:p w14:paraId="7EA98F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color w:val="auto"/>
                <w:sz w:val="24"/>
                <w:highlight w:val="none"/>
                <w:lang w:val="en-US" w:eastAsia="zh-CN"/>
              </w:rPr>
              <w:t>0.1667</w:t>
            </w:r>
          </w:p>
        </w:tc>
        <w:tc>
          <w:tcPr>
            <w:tcW w:w="1854" w:type="dxa"/>
            <w:noWrap w:val="0"/>
            <w:tcMar>
              <w:top w:w="16" w:type="dxa"/>
              <w:left w:w="16" w:type="dxa"/>
              <w:right w:w="16" w:type="dxa"/>
            </w:tcMar>
            <w:vAlign w:val="center"/>
          </w:tcPr>
          <w:p w14:paraId="00CB65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施工工期</w:t>
            </w:r>
          </w:p>
        </w:tc>
        <w:tc>
          <w:tcPr>
            <w:tcW w:w="4463" w:type="dxa"/>
            <w:noWrap w:val="0"/>
            <w:vAlign w:val="center"/>
          </w:tcPr>
          <w:p w14:paraId="664DF7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3个月</w:t>
            </w:r>
          </w:p>
        </w:tc>
      </w:tr>
      <w:tr w14:paraId="0C4EE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59" w:type="dxa"/>
            <w:gridSpan w:val="2"/>
            <w:noWrap w:val="0"/>
            <w:tcMar>
              <w:top w:w="16" w:type="dxa"/>
              <w:left w:w="16" w:type="dxa"/>
              <w:right w:w="16" w:type="dxa"/>
            </w:tcMar>
            <w:vAlign w:val="center"/>
          </w:tcPr>
          <w:p w14:paraId="0F43CC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是否开工建设</w:t>
            </w:r>
          </w:p>
        </w:tc>
        <w:tc>
          <w:tcPr>
            <w:tcW w:w="1807" w:type="dxa"/>
            <w:noWrap w:val="0"/>
            <w:vAlign w:val="center"/>
          </w:tcPr>
          <w:p w14:paraId="2A90C59C">
            <w:pPr>
              <w:pStyle w:val="16"/>
              <w:keepNext w:val="0"/>
              <w:keepLines w:val="0"/>
              <w:widowControl/>
              <w:suppressLineNumbers w:val="0"/>
              <w:spacing w:beforeAutospacing="0" w:after="0" w:afterAutospacing="0"/>
              <w:ind w:left="0" w:firstLine="0" w:firstLineChars="0"/>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☑否</w:t>
            </w:r>
          </w:p>
          <w:p w14:paraId="5F7C6B4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olor w:val="auto"/>
                <w:sz w:val="24"/>
                <w:highlight w:val="none"/>
              </w:rPr>
            </w:pPr>
            <w:r>
              <w:rPr>
                <w:rFonts w:hint="eastAsia" w:ascii="Times New Roman" w:hAnsi="Times New Roman" w:eastAsia="宋体" w:cs="宋体"/>
                <w:color w:val="auto"/>
                <w:sz w:val="24"/>
                <w:highlight w:val="none"/>
              </w:rPr>
              <w:t>□是</w:t>
            </w:r>
            <w:r>
              <w:rPr>
                <w:rFonts w:hint="default" w:ascii="Times New Roman" w:hAnsi="Times New Roman" w:eastAsia="宋体"/>
                <w:color w:val="auto"/>
                <w:sz w:val="24"/>
                <w:highlight w:val="none"/>
              </w:rPr>
              <w:t>：</w:t>
            </w:r>
            <w:r>
              <w:rPr>
                <w:rFonts w:hint="default" w:ascii="Times New Roman" w:hAnsi="Times New Roman" w:eastAsia="宋体"/>
                <w:color w:val="auto"/>
                <w:sz w:val="24"/>
                <w:highlight w:val="none"/>
                <w:u w:val="single"/>
              </w:rPr>
              <w:t xml:space="preserve">             </w:t>
            </w:r>
          </w:p>
        </w:tc>
        <w:tc>
          <w:tcPr>
            <w:tcW w:w="1854" w:type="dxa"/>
            <w:noWrap w:val="0"/>
            <w:tcMar>
              <w:top w:w="16" w:type="dxa"/>
              <w:left w:w="16" w:type="dxa"/>
              <w:right w:w="16" w:type="dxa"/>
            </w:tcMar>
            <w:vAlign w:val="center"/>
          </w:tcPr>
          <w:p w14:paraId="3F9D02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6"/>
                <w:sz w:val="24"/>
                <w:highlight w:val="none"/>
              </w:rPr>
            </w:pPr>
            <w:r>
              <w:rPr>
                <w:rFonts w:hint="default" w:ascii="Times New Roman" w:hAnsi="Times New Roman" w:eastAsia="宋体"/>
                <w:color w:val="auto"/>
                <w:spacing w:val="-6"/>
                <w:sz w:val="24"/>
                <w:highlight w:val="none"/>
              </w:rPr>
              <w:t>用地（用海）</w:t>
            </w:r>
          </w:p>
          <w:p w14:paraId="7DC88D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pacing w:val="-6"/>
                <w:sz w:val="24"/>
                <w:highlight w:val="none"/>
              </w:rPr>
              <w:t>面积（m</w:t>
            </w:r>
            <w:r>
              <w:rPr>
                <w:rFonts w:hint="default" w:ascii="Times New Roman" w:hAnsi="Times New Roman" w:eastAsia="宋体"/>
                <w:color w:val="auto"/>
                <w:spacing w:val="-6"/>
                <w:sz w:val="24"/>
                <w:highlight w:val="none"/>
                <w:vertAlign w:val="superscript"/>
              </w:rPr>
              <w:t>2</w:t>
            </w:r>
            <w:r>
              <w:rPr>
                <w:rFonts w:hint="default" w:ascii="Times New Roman" w:hAnsi="Times New Roman" w:eastAsia="宋体"/>
                <w:color w:val="auto"/>
                <w:spacing w:val="-6"/>
                <w:sz w:val="24"/>
                <w:highlight w:val="none"/>
              </w:rPr>
              <w:t>）</w:t>
            </w:r>
          </w:p>
        </w:tc>
        <w:tc>
          <w:tcPr>
            <w:tcW w:w="4463" w:type="dxa"/>
            <w:noWrap w:val="0"/>
            <w:vAlign w:val="center"/>
          </w:tcPr>
          <w:p w14:paraId="1FFCB4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在原有厂区内（68883.3</w:t>
            </w:r>
            <w:r>
              <w:rPr>
                <w:rFonts w:hint="default" w:ascii="Times New Roman" w:hAnsi="Times New Roman" w:eastAsia="宋体"/>
                <w:color w:val="auto"/>
                <w:spacing w:val="-6"/>
                <w:sz w:val="24"/>
                <w:highlight w:val="none"/>
              </w:rPr>
              <w:t>m</w:t>
            </w:r>
            <w:r>
              <w:rPr>
                <w:rFonts w:hint="default" w:ascii="Times New Roman" w:hAnsi="Times New Roman" w:eastAsia="宋体"/>
                <w:color w:val="auto"/>
                <w:spacing w:val="-6"/>
                <w:sz w:val="24"/>
                <w:highlight w:val="none"/>
                <w:vertAlign w:val="superscript"/>
              </w:rPr>
              <w:t>2</w:t>
            </w:r>
            <w:r>
              <w:rPr>
                <w:rFonts w:hint="eastAsia" w:ascii="Times New Roman" w:hAnsi="Times New Roman" w:eastAsia="宋体"/>
                <w:color w:val="auto"/>
                <w:sz w:val="24"/>
                <w:highlight w:val="none"/>
                <w:lang w:val="en-US" w:eastAsia="zh-CN"/>
              </w:rPr>
              <w:t>），未新增用地</w:t>
            </w:r>
          </w:p>
        </w:tc>
      </w:tr>
      <w:tr w14:paraId="6CEEC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59" w:type="dxa"/>
            <w:gridSpan w:val="2"/>
            <w:noWrap w:val="0"/>
            <w:vAlign w:val="center"/>
          </w:tcPr>
          <w:p w14:paraId="30C6A45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专项评价设置情况</w:t>
            </w:r>
          </w:p>
        </w:tc>
        <w:tc>
          <w:tcPr>
            <w:tcW w:w="8124" w:type="dxa"/>
            <w:gridSpan w:val="3"/>
            <w:noWrap w:val="0"/>
            <w:vAlign w:val="center"/>
          </w:tcPr>
          <w:p w14:paraId="40A016F2">
            <w:pPr>
              <w:keepNext w:val="0"/>
              <w:keepLines w:val="0"/>
              <w:pageBreakBefore w:val="0"/>
              <w:widowControl/>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olor w:val="auto"/>
                <w:kern w:val="0"/>
                <w:sz w:val="24"/>
                <w:highlight w:val="none"/>
              </w:rPr>
            </w:pPr>
            <w:r>
              <w:rPr>
                <w:rFonts w:hint="eastAsia"/>
                <w:color w:val="auto"/>
                <w:kern w:val="0"/>
                <w:sz w:val="24"/>
                <w:highlight w:val="none"/>
                <w:lang w:val="en-US" w:eastAsia="zh-CN"/>
              </w:rPr>
              <w:t>无。</w:t>
            </w:r>
          </w:p>
        </w:tc>
      </w:tr>
      <w:tr w14:paraId="7B8CD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9" w:type="dxa"/>
            <w:gridSpan w:val="2"/>
            <w:noWrap w:val="0"/>
            <w:vAlign w:val="center"/>
          </w:tcPr>
          <w:p w14:paraId="62EB0878">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olor w:val="auto"/>
                <w:kern w:val="0"/>
                <w:sz w:val="24"/>
                <w:highlight w:val="none"/>
              </w:rPr>
            </w:pPr>
            <w:r>
              <w:rPr>
                <w:rFonts w:hint="default" w:ascii="Times New Roman" w:hAnsi="Times New Roman" w:eastAsia="宋体"/>
                <w:color w:val="auto"/>
                <w:sz w:val="24"/>
              </w:rPr>
              <w:t>规划情况</w:t>
            </w:r>
          </w:p>
        </w:tc>
        <w:tc>
          <w:tcPr>
            <w:tcW w:w="8124" w:type="dxa"/>
            <w:gridSpan w:val="3"/>
            <w:noWrap w:val="0"/>
            <w:vAlign w:val="top"/>
          </w:tcPr>
          <w:p w14:paraId="65ABEA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24"/>
                <w:highlight w:val="none"/>
                <w:lang w:val="en-US" w:eastAsia="zh-CN"/>
              </w:rPr>
              <w:t>规划名称：《无锡（太湖）国际科技园控制性详细规划科创区-孵化区、科创区-研发区管理单元动态更新》</w:t>
            </w:r>
            <w:r>
              <w:rPr>
                <w:rFonts w:hint="eastAsia"/>
                <w:color w:val="auto"/>
                <w:sz w:val="24"/>
                <w:highlight w:val="none"/>
                <w:lang w:val="en-US" w:eastAsia="zh-CN"/>
              </w:rPr>
              <w:t>；</w:t>
            </w:r>
          </w:p>
          <w:p w14:paraId="668977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审批机关：无锡市人民政府</w:t>
            </w:r>
          </w:p>
        </w:tc>
      </w:tr>
      <w:tr w14:paraId="215DA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6" w:hRule="atLeast"/>
          <w:jc w:val="center"/>
        </w:trPr>
        <w:tc>
          <w:tcPr>
            <w:tcW w:w="1859" w:type="dxa"/>
            <w:gridSpan w:val="2"/>
            <w:noWrap w:val="0"/>
            <w:vAlign w:val="center"/>
          </w:tcPr>
          <w:p w14:paraId="5BC0B8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规划环境影响</w:t>
            </w:r>
          </w:p>
          <w:p w14:paraId="667909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sz w:val="24"/>
                <w:highlight w:val="none"/>
              </w:rPr>
              <w:t>评价情况</w:t>
            </w:r>
          </w:p>
        </w:tc>
        <w:tc>
          <w:tcPr>
            <w:tcW w:w="8124" w:type="dxa"/>
            <w:gridSpan w:val="3"/>
            <w:noWrap w:val="0"/>
            <w:vAlign w:val="top"/>
          </w:tcPr>
          <w:p w14:paraId="41EDC97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规划环评名称：《无锡（太湖）国际科技园</w:t>
            </w:r>
            <w:r>
              <w:rPr>
                <w:rFonts w:hint="eastAsia" w:cs="Times New Roman"/>
                <w:color w:val="auto"/>
                <w:sz w:val="24"/>
                <w:szCs w:val="24"/>
                <w:highlight w:val="none"/>
                <w:lang w:val="en-US" w:eastAsia="zh-CN"/>
              </w:rPr>
              <w:t>开发建设规划（2024-2035年）环境影响报告书</w:t>
            </w:r>
            <w:r>
              <w:rPr>
                <w:rFonts w:hint="default" w:ascii="Times New Roman" w:hAnsi="Times New Roman" w:eastAsia="宋体" w:cs="Times New Roman"/>
                <w:color w:val="auto"/>
                <w:sz w:val="24"/>
                <w:szCs w:val="24"/>
                <w:highlight w:val="none"/>
              </w:rPr>
              <w:t>》</w:t>
            </w:r>
          </w:p>
          <w:p w14:paraId="3D900FC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审查机关：</w:t>
            </w:r>
            <w:r>
              <w:rPr>
                <w:rFonts w:hint="eastAsia" w:cs="Times New Roman"/>
                <w:color w:val="auto"/>
                <w:sz w:val="24"/>
                <w:szCs w:val="24"/>
                <w:highlight w:val="none"/>
                <w:lang w:val="en-US" w:eastAsia="zh-CN"/>
              </w:rPr>
              <w:t>无锡市新吴生态环境局</w:t>
            </w:r>
          </w:p>
          <w:p w14:paraId="6DE1DE2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审查文件：《</w:t>
            </w:r>
            <w:r>
              <w:rPr>
                <w:rFonts w:hint="eastAsia" w:cs="Times New Roman"/>
                <w:color w:val="auto"/>
                <w:sz w:val="24"/>
                <w:szCs w:val="24"/>
                <w:highlight w:val="none"/>
                <w:lang w:val="en-US" w:eastAsia="zh-CN"/>
              </w:rPr>
              <w:t>关于</w:t>
            </w:r>
            <w:r>
              <w:rPr>
                <w:rFonts w:hint="default" w:ascii="Times New Roman" w:hAnsi="Times New Roman" w:eastAsia="宋体" w:cs="Times New Roman"/>
                <w:color w:val="auto"/>
                <w:sz w:val="24"/>
                <w:szCs w:val="24"/>
                <w:highlight w:val="none"/>
              </w:rPr>
              <w:t>无锡（太湖）国际科技园</w:t>
            </w:r>
            <w:r>
              <w:rPr>
                <w:rFonts w:hint="eastAsia" w:cs="Times New Roman"/>
                <w:color w:val="auto"/>
                <w:sz w:val="24"/>
                <w:szCs w:val="24"/>
                <w:highlight w:val="none"/>
                <w:lang w:val="en-US" w:eastAsia="zh-CN"/>
              </w:rPr>
              <w:t>开发建设规划（2024-2035年）环境影响报告书的审查意见</w:t>
            </w:r>
            <w:r>
              <w:rPr>
                <w:rFonts w:hint="default" w:ascii="Times New Roman" w:hAnsi="Times New Roman" w:eastAsia="宋体" w:cs="Times New Roman"/>
                <w:color w:val="auto"/>
                <w:sz w:val="24"/>
                <w:szCs w:val="24"/>
                <w:highlight w:val="none"/>
              </w:rPr>
              <w:t>》</w:t>
            </w:r>
          </w:p>
          <w:p w14:paraId="03B8C9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left"/>
              <w:textAlignment w:val="auto"/>
              <w:rPr>
                <w:rFonts w:hint="default"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审查文号：锡</w:t>
            </w:r>
            <w:r>
              <w:rPr>
                <w:rFonts w:hint="eastAsia" w:cs="Times New Roman"/>
                <w:color w:val="auto"/>
                <w:sz w:val="24"/>
                <w:szCs w:val="24"/>
                <w:highlight w:val="none"/>
                <w:lang w:val="en-US" w:eastAsia="zh-CN"/>
              </w:rPr>
              <w:t>新环发[2025]19号</w:t>
            </w:r>
          </w:p>
        </w:tc>
      </w:tr>
      <w:tr w14:paraId="5F930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55" w:hRule="atLeast"/>
          <w:jc w:val="center"/>
        </w:trPr>
        <w:tc>
          <w:tcPr>
            <w:tcW w:w="493" w:type="dxa"/>
            <w:tcBorders>
              <w:right w:val="single" w:color="auto" w:sz="4" w:space="0"/>
            </w:tcBorders>
            <w:noWrap w:val="0"/>
            <w:vAlign w:val="center"/>
          </w:tcPr>
          <w:p w14:paraId="0C1763C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规划及规划环境</w:t>
            </w:r>
          </w:p>
          <w:p w14:paraId="25C52E4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影响评价符合性分析</w:t>
            </w:r>
          </w:p>
        </w:tc>
        <w:tc>
          <w:tcPr>
            <w:tcW w:w="9490" w:type="dxa"/>
            <w:gridSpan w:val="4"/>
            <w:tcBorders>
              <w:left w:val="single" w:color="auto" w:sz="4" w:space="0"/>
            </w:tcBorders>
            <w:noWrap w:val="0"/>
            <w:vAlign w:val="top"/>
          </w:tcPr>
          <w:p w14:paraId="16317E7E">
            <w:pPr>
              <w:keepNext w:val="0"/>
              <w:keepLines w:val="0"/>
              <w:suppressLineNumbers w:val="0"/>
              <w:spacing w:before="0" w:beforeAutospacing="0" w:after="0" w:afterAutospacing="0" w:line="360" w:lineRule="auto"/>
              <w:ind w:left="0" w:right="0"/>
              <w:rPr>
                <w:rFonts w:hint="default" w:ascii="Times New Roman" w:hAnsi="Times New Roman" w:eastAsia="宋体"/>
                <w:color w:val="auto"/>
                <w:sz w:val="24"/>
                <w:highlight w:val="none"/>
              </w:rPr>
            </w:pPr>
            <w:r>
              <w:rPr>
                <w:rFonts w:hint="eastAsia" w:ascii="Times New Roman" w:hAnsi="Times New Roman" w:eastAsia="宋体"/>
                <w:b/>
                <w:bCs/>
                <w:color w:val="auto"/>
                <w:sz w:val="24"/>
                <w:highlight w:val="none"/>
                <w:lang w:val="en-US" w:eastAsia="zh-CN"/>
              </w:rPr>
              <w:t>1、</w:t>
            </w:r>
            <w:r>
              <w:rPr>
                <w:rFonts w:hint="default" w:ascii="Times New Roman" w:hAnsi="Times New Roman" w:eastAsia="宋体"/>
                <w:b/>
                <w:color w:val="auto"/>
                <w:sz w:val="24"/>
                <w:highlight w:val="none"/>
              </w:rPr>
              <w:t>与规划相符性</w:t>
            </w:r>
          </w:p>
          <w:p w14:paraId="74A8E585">
            <w:pPr>
              <w:keepNext w:val="0"/>
              <w:keepLines w:val="0"/>
              <w:widowControl w:val="0"/>
              <w:numPr>
                <w:ilvl w:val="0"/>
                <w:numId w:val="0"/>
              </w:numPr>
              <w:suppressLineNumbers w:val="0"/>
              <w:snapToGrid w:val="0"/>
              <w:spacing w:before="0" w:beforeAutospacing="0" w:after="0" w:afterAutospacing="0" w:line="360" w:lineRule="auto"/>
              <w:ind w:left="0" w:right="0" w:firstLine="480" w:firstLineChars="200"/>
              <w:jc w:val="both"/>
              <w:rPr>
                <w:rFonts w:hint="eastAsia" w:eastAsia="宋体"/>
                <w:snapToGrid w:val="0"/>
                <w:color w:val="auto"/>
                <w:kern w:val="0"/>
                <w:sz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本项目位于无锡市新吴区观山路</w:t>
            </w:r>
            <w:r>
              <w:rPr>
                <w:rFonts w:hint="default" w:ascii="Times New Roman" w:hAnsi="Times New Roman" w:eastAsia="宋体" w:cs="Times New Roman"/>
                <w:color w:val="auto"/>
                <w:kern w:val="2"/>
                <w:sz w:val="24"/>
                <w:szCs w:val="24"/>
                <w:highlight w:val="none"/>
                <w:lang w:val="en-US" w:eastAsia="zh-CN" w:bidi="ar-SA"/>
              </w:rPr>
              <w:t>36</w:t>
            </w:r>
            <w:r>
              <w:rPr>
                <w:rFonts w:hint="eastAsia" w:ascii="Times New Roman" w:hAnsi="Times New Roman" w:eastAsia="宋体" w:cs="Times New Roman"/>
                <w:color w:val="auto"/>
                <w:kern w:val="2"/>
                <w:sz w:val="24"/>
                <w:szCs w:val="24"/>
                <w:highlight w:val="none"/>
                <w:lang w:val="en-US" w:eastAsia="zh-CN" w:bidi="ar-SA"/>
              </w:rPr>
              <w:t>号，属于无锡（太湖）国际科技园，</w:t>
            </w:r>
            <w:r>
              <w:rPr>
                <w:rFonts w:hint="default" w:ascii="Times New Roman" w:hAnsi="Times New Roman" w:eastAsia="宋体" w:cs="Times New Roman"/>
                <w:color w:val="auto"/>
                <w:kern w:val="0"/>
                <w:sz w:val="24"/>
                <w:szCs w:val="22"/>
                <w:highlight w:val="none"/>
                <w:lang w:val="en-US" w:eastAsia="zh-CN" w:bidi="ar-SA"/>
              </w:rPr>
              <w:t>根据《无锡（太湖）国际科技园控制性详细规划科创区-孵化区、科创区-研发区管理单元动态更</w:t>
            </w:r>
            <w:r>
              <w:rPr>
                <w:rFonts w:hint="eastAsia" w:cs="Times New Roman"/>
                <w:color w:val="auto"/>
                <w:kern w:val="0"/>
                <w:sz w:val="24"/>
                <w:szCs w:val="22"/>
                <w:highlight w:val="none"/>
                <w:lang w:val="en-US" w:eastAsia="zh-CN" w:bidi="ar-SA"/>
              </w:rPr>
              <w:t>新》</w:t>
            </w:r>
            <w:r>
              <w:rPr>
                <w:rFonts w:hint="eastAsia" w:ascii="Times New Roman" w:hAnsi="Times New Roman" w:eastAsia="宋体" w:cs="Times New Roman"/>
                <w:color w:val="auto"/>
                <w:kern w:val="2"/>
                <w:sz w:val="24"/>
                <w:szCs w:val="24"/>
                <w:highlight w:val="none"/>
                <w:lang w:val="en-US" w:eastAsia="zh-CN" w:bidi="ar-SA"/>
              </w:rPr>
              <w:t>，本项目所在区域规划为“</w:t>
            </w:r>
            <w:r>
              <w:rPr>
                <w:rFonts w:hint="eastAsia" w:cs="Times New Roman"/>
                <w:color w:val="auto"/>
                <w:kern w:val="2"/>
                <w:sz w:val="24"/>
                <w:szCs w:val="24"/>
                <w:highlight w:val="none"/>
                <w:lang w:val="en-US" w:eastAsia="zh-CN" w:bidi="ar-SA"/>
              </w:rPr>
              <w:t>生产研发用地+科研设计用地</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符合</w:t>
            </w:r>
            <w:r>
              <w:rPr>
                <w:rFonts w:hint="eastAsia" w:cs="Times New Roman"/>
                <w:color w:val="auto"/>
                <w:kern w:val="2"/>
                <w:sz w:val="24"/>
                <w:szCs w:val="24"/>
                <w:highlight w:val="none"/>
                <w:lang w:val="en-US" w:eastAsia="zh-CN" w:bidi="ar-SA"/>
              </w:rPr>
              <w:t>无锡（太湖）国际科技园的土地规划。</w:t>
            </w:r>
            <w:r>
              <w:rPr>
                <w:rFonts w:hint="eastAsia"/>
                <w:bCs/>
                <w:color w:val="auto"/>
                <w:sz w:val="24"/>
                <w:highlight w:val="none"/>
              </w:rPr>
              <w:t>根据</w:t>
            </w:r>
            <w:r>
              <w:rPr>
                <w:rFonts w:hint="default" w:ascii="Times New Roman" w:hAnsi="Times New Roman" w:eastAsia="宋体" w:cs="Times New Roman"/>
                <w:color w:val="auto"/>
                <w:kern w:val="0"/>
                <w:sz w:val="24"/>
                <w:szCs w:val="22"/>
                <w:highlight w:val="none"/>
                <w:lang w:val="en-US" w:eastAsia="zh-CN" w:bidi="ar-SA"/>
              </w:rPr>
              <w:t>《</w:t>
            </w:r>
            <w:r>
              <w:rPr>
                <w:rFonts w:hint="eastAsia" w:cs="Times New Roman"/>
                <w:color w:val="auto"/>
                <w:kern w:val="2"/>
                <w:sz w:val="24"/>
                <w:szCs w:val="24"/>
                <w:highlight w:val="none"/>
                <w:lang w:val="en-US" w:eastAsia="zh-CN" w:bidi="ar-SA"/>
              </w:rPr>
              <w:t>无锡市新吴区国土空间总体规划（2021—2035年）》（见附图7）</w:t>
            </w:r>
            <w:r>
              <w:rPr>
                <w:rFonts w:hint="eastAsia"/>
                <w:bCs/>
                <w:color w:val="auto"/>
                <w:sz w:val="24"/>
                <w:highlight w:val="none"/>
              </w:rPr>
              <w:t>，本项目位于</w:t>
            </w:r>
            <w:r>
              <w:rPr>
                <w:rFonts w:hint="eastAsia" w:ascii="Times New Roman" w:eastAsia="宋体"/>
                <w:bCs/>
                <w:color w:val="auto"/>
                <w:sz w:val="24"/>
                <w:highlight w:val="none"/>
                <w:lang w:val="en-US" w:eastAsia="zh-CN"/>
              </w:rPr>
              <w:t>城镇开发边界范围内</w:t>
            </w:r>
            <w:r>
              <w:rPr>
                <w:rFonts w:hint="eastAsia"/>
                <w:bCs/>
                <w:color w:val="auto"/>
                <w:sz w:val="24"/>
                <w:highlight w:val="none"/>
              </w:rPr>
              <w:t>，不占用</w:t>
            </w:r>
            <w:r>
              <w:rPr>
                <w:rFonts w:hint="eastAsia" w:ascii="Times New Roman" w:eastAsia="宋体"/>
                <w:bCs/>
                <w:color w:val="auto"/>
                <w:sz w:val="24"/>
                <w:highlight w:val="none"/>
                <w:lang w:val="en-US" w:eastAsia="zh-CN"/>
              </w:rPr>
              <w:t>永久基本农田保护区</w:t>
            </w:r>
            <w:r>
              <w:rPr>
                <w:rFonts w:hint="eastAsia"/>
                <w:bCs/>
                <w:color w:val="auto"/>
                <w:sz w:val="24"/>
                <w:highlight w:val="none"/>
              </w:rPr>
              <w:t>，也不涉及生态保护红线区域，符合“三区三线”的要求。</w:t>
            </w:r>
          </w:p>
          <w:p w14:paraId="25E0F51A">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园区产业定位相符性分析</w:t>
            </w:r>
          </w:p>
          <w:p w14:paraId="15AC67C3">
            <w:pPr>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2"/>
                <w:highlight w:val="none"/>
                <w:lang w:val="en-US" w:eastAsia="zh-CN" w:bidi="ar-SA"/>
              </w:rPr>
            </w:pPr>
            <w:r>
              <w:rPr>
                <w:rFonts w:hint="default" w:ascii="Times New Roman" w:hAnsi="Times New Roman" w:eastAsia="宋体" w:cs="Times New Roman"/>
                <w:color w:val="auto"/>
                <w:kern w:val="0"/>
                <w:sz w:val="24"/>
                <w:szCs w:val="22"/>
                <w:highlight w:val="none"/>
                <w:lang w:val="en-US" w:eastAsia="zh-CN" w:bidi="ar-SA"/>
              </w:rPr>
              <w:t>根据《无锡（太湖）国际科技园开发建设规划（2024-2035年）环境影响报告书》及其审查意见（锡新环发[2025]19号），无锡（太湖）国际科技园规划发展物联网、集成电路、生命科技、数字经济、绿色低碳5个特色主导产业，建设能源数字化、平台经济、小微特机器人等“10个产业生态圈”，布局人工智能与人形机器人、元宇宙、第三代半导体、硅基光电、合成生物、储能等X个未来产业，构建“5+10+X”特色产业集群矩阵。本项目属于C3589其他医疗设备及器械制造，</w:t>
            </w:r>
            <w:r>
              <w:rPr>
                <w:rFonts w:hint="eastAsia" w:cs="Times New Roman"/>
                <w:color w:val="auto"/>
                <w:kern w:val="0"/>
                <w:sz w:val="24"/>
                <w:szCs w:val="22"/>
                <w:highlight w:val="none"/>
                <w:lang w:val="en-US" w:eastAsia="zh-CN" w:bidi="ar-SA"/>
              </w:rPr>
              <w:t>主要针对医用高分子材料生产线和隐形矫治器生产线进行技术改造</w:t>
            </w:r>
            <w:r>
              <w:rPr>
                <w:rFonts w:hint="default" w:ascii="Times New Roman" w:hAnsi="Times New Roman" w:eastAsia="宋体" w:cs="Times New Roman"/>
                <w:color w:val="auto"/>
                <w:kern w:val="0"/>
                <w:sz w:val="24"/>
                <w:szCs w:val="22"/>
                <w:highlight w:val="none"/>
                <w:lang w:val="en-US" w:eastAsia="zh-CN" w:bidi="ar-SA"/>
              </w:rPr>
              <w:t>，属于自主创新的</w:t>
            </w:r>
            <w:r>
              <w:rPr>
                <w:rFonts w:hint="eastAsia" w:cs="Times New Roman"/>
                <w:color w:val="auto"/>
                <w:kern w:val="0"/>
                <w:sz w:val="24"/>
                <w:szCs w:val="22"/>
                <w:highlight w:val="none"/>
                <w:lang w:val="en-US" w:eastAsia="zh-CN" w:bidi="ar-SA"/>
              </w:rPr>
              <w:t>生命科技产业</w:t>
            </w:r>
            <w:r>
              <w:rPr>
                <w:rFonts w:hint="default" w:ascii="Times New Roman" w:hAnsi="Times New Roman" w:eastAsia="宋体" w:cs="Times New Roman"/>
                <w:color w:val="auto"/>
                <w:kern w:val="0"/>
                <w:sz w:val="24"/>
                <w:szCs w:val="22"/>
                <w:highlight w:val="none"/>
                <w:lang w:val="en-US" w:eastAsia="zh-CN" w:bidi="ar-SA"/>
              </w:rPr>
              <w:t>，符合无锡（太湖）国际科技园的产业定位。</w:t>
            </w:r>
          </w:p>
          <w:p w14:paraId="0FD98E87">
            <w:pPr>
              <w:keepNext w:val="0"/>
              <w:keepLines w:val="0"/>
              <w:suppressLineNumbers w:val="0"/>
              <w:snapToGrid w:val="0"/>
              <w:spacing w:before="0" w:beforeAutospacing="0" w:after="0" w:afterAutospacing="0" w:line="360" w:lineRule="auto"/>
              <w:ind w:left="0" w:right="0"/>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规划环评相符性</w:t>
            </w:r>
            <w:r>
              <w:rPr>
                <w:rFonts w:hint="eastAsia" w:cs="Times New Roman"/>
                <w:b/>
                <w:bCs/>
                <w:color w:val="auto"/>
                <w:sz w:val="24"/>
                <w:highlight w:val="none"/>
                <w:lang w:val="en-US" w:eastAsia="zh-CN"/>
              </w:rPr>
              <w:t>分析</w:t>
            </w:r>
          </w:p>
          <w:p w14:paraId="3CF3A198">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本项目与</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关于无锡(太湖)国际科技园开发建设规划(2024-2035年)环境影响报告书的审查意见</w:t>
            </w:r>
            <w:r>
              <w:rPr>
                <w:rFonts w:hint="eastAsia" w:cs="Times New Roman"/>
                <w:color w:val="auto"/>
                <w:sz w:val="24"/>
                <w:highlight w:val="none"/>
                <w:lang w:eastAsia="zh-CN"/>
              </w:rPr>
              <w:t>》（</w:t>
            </w:r>
            <w:r>
              <w:rPr>
                <w:rFonts w:hint="eastAsia" w:cs="Times New Roman"/>
                <w:color w:val="auto"/>
                <w:sz w:val="24"/>
                <w:highlight w:val="none"/>
                <w:lang w:val="en-US" w:eastAsia="zh-CN"/>
              </w:rPr>
              <w:t>锡新环发[2025]19号</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相符性分析</w:t>
            </w:r>
            <w:r>
              <w:rPr>
                <w:rFonts w:hint="default" w:ascii="Times New Roman" w:hAnsi="Times New Roman" w:eastAsia="宋体"/>
                <w:color w:val="auto"/>
                <w:sz w:val="24"/>
                <w:highlight w:val="none"/>
              </w:rPr>
              <w:t>详</w:t>
            </w:r>
            <w:r>
              <w:rPr>
                <w:rFonts w:hint="default" w:ascii="Times New Roman" w:hAnsi="Times New Roman" w:eastAsia="宋体" w:cs="Times New Roman"/>
                <w:color w:val="auto"/>
                <w:sz w:val="24"/>
                <w:highlight w:val="none"/>
              </w:rPr>
              <w:t>见</w:t>
            </w:r>
            <w:r>
              <w:rPr>
                <w:rFonts w:hint="eastAsia" w:ascii="Times New Roman" w:hAnsi="Times New Roman" w:eastAsia="宋体" w:cs="Times New Roman"/>
                <w:color w:val="auto"/>
                <w:sz w:val="24"/>
                <w:highlight w:val="none"/>
                <w:lang w:eastAsia="zh-CN"/>
              </w:rPr>
              <w:t>下</w:t>
            </w:r>
            <w:r>
              <w:rPr>
                <w:rFonts w:hint="default" w:ascii="Times New Roman" w:hAnsi="Times New Roman" w:eastAsia="宋体" w:cs="Times New Roman"/>
                <w:color w:val="auto"/>
                <w:sz w:val="24"/>
                <w:highlight w:val="none"/>
              </w:rPr>
              <w:t>表</w:t>
            </w:r>
            <w:r>
              <w:rPr>
                <w:rFonts w:hint="eastAsia" w:ascii="Times New Roman" w:hAnsi="Times New Roman" w:eastAsia="宋体" w:cs="Times New Roman"/>
                <w:color w:val="auto"/>
                <w:sz w:val="24"/>
                <w:highlight w:val="none"/>
                <w:lang w:eastAsia="zh-CN"/>
              </w:rPr>
              <w:t>。</w:t>
            </w:r>
          </w:p>
          <w:p w14:paraId="4692C8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425" w:leftChars="0" w:right="0" w:rightChars="0" w:hanging="425"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宋体"/>
                <w:b/>
                <w:bCs/>
                <w:color w:val="auto"/>
                <w:kern w:val="2"/>
                <w:sz w:val="24"/>
                <w:szCs w:val="24"/>
                <w:highlight w:val="none"/>
                <w:lang w:val="en-US" w:eastAsia="zh-CN" w:bidi="ar-SA"/>
              </w:rPr>
              <w:t>表1-</w:t>
            </w:r>
            <w:r>
              <w:rPr>
                <w:rFonts w:hint="eastAsia" w:cs="宋体"/>
                <w:b/>
                <w:bCs/>
                <w:color w:val="auto"/>
                <w:kern w:val="2"/>
                <w:sz w:val="24"/>
                <w:szCs w:val="24"/>
                <w:highlight w:val="none"/>
                <w:lang w:val="en-US" w:eastAsia="zh-CN" w:bidi="ar-SA"/>
              </w:rPr>
              <w:t xml:space="preserve">1 </w:t>
            </w:r>
            <w:r>
              <w:rPr>
                <w:rFonts w:hint="eastAsia" w:ascii="Times New Roman" w:hAnsi="Times New Roman" w:eastAsia="宋体" w:cs="宋体"/>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sz w:val="24"/>
                <w:highlight w:val="none"/>
              </w:rPr>
              <w:t>本项目与</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锡新环发[2025]19号</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b/>
                <w:color w:val="auto"/>
                <w:sz w:val="24"/>
                <w:highlight w:val="none"/>
              </w:rPr>
              <w:t>相符性分析一览表</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965"/>
              <w:gridCol w:w="4732"/>
              <w:gridCol w:w="2752"/>
              <w:gridCol w:w="818"/>
            </w:tblGrid>
            <w:tr w14:paraId="684A5B8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521" w:type="pct"/>
                  <w:noWrap w:val="0"/>
                  <w:tcMar>
                    <w:top w:w="0" w:type="dxa"/>
                    <w:left w:w="0" w:type="dxa"/>
                    <w:bottom w:w="0" w:type="dxa"/>
                    <w:right w:w="0" w:type="dxa"/>
                  </w:tcMar>
                  <w:vAlign w:val="center"/>
                </w:tcPr>
                <w:p w14:paraId="19F2CDDA">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要点</w:t>
                  </w:r>
                </w:p>
              </w:tc>
              <w:tc>
                <w:tcPr>
                  <w:tcW w:w="2552" w:type="pct"/>
                  <w:noWrap w:val="0"/>
                  <w:tcMar>
                    <w:top w:w="0" w:type="dxa"/>
                    <w:left w:w="0" w:type="dxa"/>
                    <w:bottom w:w="0" w:type="dxa"/>
                    <w:right w:w="0" w:type="dxa"/>
                  </w:tcMar>
                  <w:vAlign w:val="center"/>
                </w:tcPr>
                <w:p w14:paraId="70046829">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园区环评批复要求</w:t>
                  </w:r>
                </w:p>
              </w:tc>
              <w:tc>
                <w:tcPr>
                  <w:tcW w:w="1484" w:type="pct"/>
                  <w:noWrap w:val="0"/>
                  <w:vAlign w:val="center"/>
                </w:tcPr>
                <w:p w14:paraId="1FBBCA94">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本项目情况</w:t>
                  </w:r>
                </w:p>
              </w:tc>
              <w:tc>
                <w:tcPr>
                  <w:tcW w:w="441" w:type="pct"/>
                  <w:noWrap w:val="0"/>
                  <w:tcMar>
                    <w:top w:w="0" w:type="dxa"/>
                    <w:left w:w="0" w:type="dxa"/>
                    <w:bottom w:w="0" w:type="dxa"/>
                    <w:right w:w="0" w:type="dxa"/>
                  </w:tcMar>
                  <w:vAlign w:val="center"/>
                </w:tcPr>
                <w:p w14:paraId="11AAADE4">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相符性</w:t>
                  </w:r>
                </w:p>
              </w:tc>
            </w:tr>
            <w:tr w14:paraId="73D9868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40" w:hRule="atLeast"/>
              </w:trPr>
              <w:tc>
                <w:tcPr>
                  <w:tcW w:w="521" w:type="pct"/>
                  <w:noWrap w:val="0"/>
                  <w:tcMar>
                    <w:top w:w="0" w:type="dxa"/>
                    <w:left w:w="0" w:type="dxa"/>
                    <w:bottom w:w="0" w:type="dxa"/>
                    <w:right w:w="0" w:type="dxa"/>
                  </w:tcMar>
                  <w:vAlign w:val="center"/>
                </w:tcPr>
                <w:p w14:paraId="2B6F36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color w:val="auto"/>
                      <w:highlight w:val="none"/>
                      <w:lang w:val="en-US" w:eastAsia="zh-CN"/>
                    </w:rPr>
                  </w:pPr>
                  <w:r>
                    <w:rPr>
                      <w:rFonts w:hint="eastAsia"/>
                      <w:b w:val="0"/>
                      <w:bCs/>
                      <w:color w:val="auto"/>
                      <w:highlight w:val="none"/>
                      <w:lang w:val="en-US" w:eastAsia="zh-CN"/>
                    </w:rPr>
                    <w:t>（一）加强生态保护和持续改善环境质量</w:t>
                  </w:r>
                </w:p>
              </w:tc>
              <w:tc>
                <w:tcPr>
                  <w:tcW w:w="2552" w:type="pct"/>
                  <w:noWrap w:val="0"/>
                  <w:tcMar>
                    <w:top w:w="0" w:type="dxa"/>
                    <w:left w:w="0" w:type="dxa"/>
                    <w:bottom w:w="0" w:type="dxa"/>
                    <w:right w:w="0" w:type="dxa"/>
                  </w:tcMar>
                  <w:vAlign w:val="center"/>
                </w:tcPr>
                <w:p w14:paraId="41921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b/>
                      <w:color w:val="auto"/>
                      <w:highlight w:val="none"/>
                      <w:lang w:val="en-US" w:eastAsia="zh-CN"/>
                    </w:rPr>
                  </w:pPr>
                  <w:r>
                    <w:rPr>
                      <w:rFonts w:hint="default" w:ascii="Times New Roman" w:hAnsi="Times New Roman" w:eastAsia="宋体"/>
                      <w:bCs/>
                      <w:color w:val="auto"/>
                      <w:highlight w:val="none"/>
                    </w:rPr>
                    <w:t>《规划》应深入贯彻落实习近平生态文明思想，完整、准确、全面贯彻新发展理念，坚持生态优先、节约集约、绿色低碳发展，以生态保护和环境质量持续改善为目标，做好与国土空间总体规划和生态环境分区管控体系的协调衔接，进一步优化《规划》布局、产业结构和发展规模，降低区域环境风险，协同</w:t>
                  </w:r>
                  <w:r>
                    <w:rPr>
                      <w:rFonts w:hint="eastAsia"/>
                      <w:bCs/>
                      <w:color w:val="auto"/>
                      <w:highlight w:val="none"/>
                      <w:lang w:val="en-US" w:eastAsia="zh-CN"/>
                    </w:rPr>
                    <w:t>推进生态环境高水平保护与经济高质量发展。</w:t>
                  </w:r>
                </w:p>
              </w:tc>
              <w:tc>
                <w:tcPr>
                  <w:tcW w:w="1484" w:type="pct"/>
                  <w:noWrap w:val="0"/>
                  <w:vAlign w:val="center"/>
                </w:tcPr>
                <w:p w14:paraId="3D26F1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b/>
                      <w:color w:val="auto"/>
                      <w:highlight w:val="none"/>
                      <w:lang w:val="en-US"/>
                    </w:rPr>
                  </w:pPr>
                  <w:r>
                    <w:rPr>
                      <w:rFonts w:hint="eastAsia" w:ascii="Times New Roman" w:hAnsi="Times New Roman" w:eastAsia="宋体" w:cs="Times New Roman"/>
                      <w:color w:val="auto"/>
                      <w:kern w:val="0"/>
                      <w:szCs w:val="21"/>
                      <w:highlight w:val="none"/>
                      <w:lang w:val="en-US" w:eastAsia="zh-CN"/>
                    </w:rPr>
                    <w:t>本项目属于C3589其他医疗设备及器械制造，</w:t>
                  </w:r>
                  <w:r>
                    <w:rPr>
                      <w:rFonts w:hint="eastAsia" w:cs="Times New Roman"/>
                      <w:color w:val="auto"/>
                      <w:kern w:val="0"/>
                      <w:szCs w:val="21"/>
                      <w:highlight w:val="none"/>
                      <w:lang w:val="en-US" w:eastAsia="zh-CN"/>
                    </w:rPr>
                    <w:t>属于自主创新的生命科技产业。本项目位于江苏省无锡市新吴区观山路36号，</w:t>
                  </w:r>
                  <w:r>
                    <w:rPr>
                      <w:rFonts w:hint="eastAsia"/>
                      <w:color w:val="auto"/>
                      <w:sz w:val="21"/>
                      <w:szCs w:val="21"/>
                      <w:highlight w:val="none"/>
                      <w:lang w:val="en-US" w:eastAsia="zh-CN"/>
                    </w:rPr>
                    <w:t>主要针对隐形矫治器进行研发生产，</w:t>
                  </w:r>
                  <w:r>
                    <w:rPr>
                      <w:rFonts w:hint="eastAsia" w:ascii="Times New Roman" w:hAnsi="Times New Roman" w:eastAsia="宋体"/>
                      <w:color w:val="auto"/>
                      <w:highlight w:val="none"/>
                    </w:rPr>
                    <w:t>符合项目所在地“</w:t>
                  </w:r>
                  <w:r>
                    <w:rPr>
                      <w:rFonts w:hint="eastAsia"/>
                      <w:color w:val="auto"/>
                      <w:highlight w:val="none"/>
                      <w:lang w:val="en-US" w:eastAsia="zh-CN"/>
                    </w:rPr>
                    <w:t>生产研发用地+科研设计用地</w:t>
                  </w:r>
                  <w:r>
                    <w:rPr>
                      <w:rFonts w:hint="eastAsia" w:ascii="Times New Roman" w:hAnsi="Times New Roman" w:eastAsia="宋体"/>
                      <w:color w:val="auto"/>
                      <w:highlight w:val="none"/>
                    </w:rPr>
                    <w:t>”的规划用途</w:t>
                  </w:r>
                  <w:r>
                    <w:rPr>
                      <w:rFonts w:hint="eastAsia"/>
                      <w:color w:val="auto"/>
                      <w:highlight w:val="none"/>
                      <w:lang w:eastAsia="zh-CN"/>
                    </w:rPr>
                    <w:t>，</w:t>
                  </w:r>
                  <w:r>
                    <w:rPr>
                      <w:rFonts w:hint="eastAsia"/>
                      <w:color w:val="auto"/>
                      <w:highlight w:val="none"/>
                      <w:lang w:val="en-US" w:eastAsia="zh-CN"/>
                    </w:rPr>
                    <w:t>符合区域规划要求。</w:t>
                  </w:r>
                </w:p>
              </w:tc>
              <w:tc>
                <w:tcPr>
                  <w:tcW w:w="441" w:type="pct"/>
                  <w:noWrap w:val="0"/>
                  <w:tcMar>
                    <w:top w:w="0" w:type="dxa"/>
                    <w:left w:w="0" w:type="dxa"/>
                    <w:bottom w:w="0" w:type="dxa"/>
                    <w:right w:w="0" w:type="dxa"/>
                  </w:tcMar>
                  <w:vAlign w:val="center"/>
                </w:tcPr>
                <w:p w14:paraId="54044DBF">
                  <w:pPr>
                    <w:keepNext w:val="0"/>
                    <w:keepLines w:val="0"/>
                    <w:suppressLineNumbers w:val="0"/>
                    <w:spacing w:before="0" w:beforeAutospacing="0" w:after="0" w:afterAutospacing="0" w:line="310" w:lineRule="exact"/>
                    <w:ind w:left="0" w:right="0"/>
                    <w:jc w:val="center"/>
                    <w:rPr>
                      <w:rFonts w:hint="default" w:ascii="Times New Roman" w:hAnsi="Times New Roman" w:eastAsia="宋体"/>
                      <w:b/>
                      <w:color w:val="auto"/>
                      <w:highlight w:val="none"/>
                    </w:rPr>
                  </w:pPr>
                  <w:r>
                    <w:rPr>
                      <w:rFonts w:hint="default" w:ascii="Times New Roman" w:hAnsi="Times New Roman" w:eastAsia="宋体"/>
                      <w:color w:val="auto"/>
                      <w:highlight w:val="none"/>
                    </w:rPr>
                    <w:t>相符</w:t>
                  </w:r>
                </w:p>
              </w:tc>
            </w:tr>
            <w:tr w14:paraId="4BE9FA67">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90" w:hRule="atLeast"/>
              </w:trPr>
              <w:tc>
                <w:tcPr>
                  <w:tcW w:w="521" w:type="pct"/>
                  <w:noWrap w:val="0"/>
                  <w:tcMar>
                    <w:top w:w="0" w:type="dxa"/>
                    <w:left w:w="0" w:type="dxa"/>
                    <w:bottom w:w="0" w:type="dxa"/>
                    <w:right w:w="0" w:type="dxa"/>
                  </w:tcMar>
                  <w:vAlign w:val="center"/>
                </w:tcPr>
                <w:p w14:paraId="35510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olor w:val="auto"/>
                      <w:highlight w:val="none"/>
                    </w:rPr>
                  </w:pPr>
                  <w:r>
                    <w:rPr>
                      <w:rFonts w:hint="eastAsia"/>
                      <w:bCs/>
                      <w:color w:val="auto"/>
                      <w:highlight w:val="none"/>
                      <w:lang w:eastAsia="zh-CN"/>
                    </w:rPr>
                    <w:t>（</w:t>
                  </w:r>
                  <w:r>
                    <w:rPr>
                      <w:rFonts w:hint="eastAsia"/>
                      <w:bCs/>
                      <w:color w:val="auto"/>
                      <w:highlight w:val="none"/>
                      <w:lang w:val="en-US" w:eastAsia="zh-CN"/>
                    </w:rPr>
                    <w:t>二</w:t>
                  </w:r>
                  <w:r>
                    <w:rPr>
                      <w:rFonts w:hint="eastAsia"/>
                      <w:bCs/>
                      <w:color w:val="auto"/>
                      <w:highlight w:val="none"/>
                      <w:lang w:eastAsia="zh-CN"/>
                    </w:rPr>
                    <w:t>）</w:t>
                  </w:r>
                  <w:r>
                    <w:rPr>
                      <w:rFonts w:hint="default" w:ascii="Times New Roman" w:hAnsi="Times New Roman" w:eastAsia="宋体"/>
                      <w:bCs/>
                      <w:color w:val="auto"/>
                      <w:highlight w:val="none"/>
                    </w:rPr>
                    <w:t>严格空间管控，优化空间布局</w:t>
                  </w:r>
                </w:p>
              </w:tc>
              <w:tc>
                <w:tcPr>
                  <w:tcW w:w="2552" w:type="pct"/>
                  <w:noWrap w:val="0"/>
                  <w:tcMar>
                    <w:top w:w="0" w:type="dxa"/>
                    <w:left w:w="0" w:type="dxa"/>
                    <w:bottom w:w="0" w:type="dxa"/>
                    <w:right w:w="0" w:type="dxa"/>
                  </w:tcMar>
                  <w:vAlign w:val="center"/>
                </w:tcPr>
                <w:p w14:paraId="3A9EBB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olor w:val="auto"/>
                      <w:highlight w:val="none"/>
                      <w:lang w:eastAsia="zh-CN"/>
                    </w:rPr>
                  </w:pPr>
                  <w:r>
                    <w:rPr>
                      <w:rFonts w:hint="default" w:ascii="Times New Roman" w:hAnsi="Times New Roman" w:eastAsia="宋体"/>
                      <w:bCs/>
                      <w:color w:val="auto"/>
                      <w:highlight w:val="none"/>
                    </w:rPr>
                    <w:t>太科园内绿地及水域在规划期内限制开发利用。强化工业企业退出和产业升级过程中的污染防治、生态修复。严格落实企业卫生防护距离要求，企业卫生防护距离内不得规划布局敏感目标。加强工业区与居住区生活空间的防护,推进区内空间隔离带建设,确保太科园产业布局与生态环境保护、人居环境安全相协调</w:t>
                  </w:r>
                  <w:r>
                    <w:rPr>
                      <w:rFonts w:hint="eastAsia" w:ascii="Times New Roman" w:hAnsi="Times New Roman" w:eastAsia="宋体"/>
                      <w:bCs/>
                      <w:color w:val="auto"/>
                      <w:highlight w:val="none"/>
                      <w:lang w:eastAsia="zh-CN"/>
                    </w:rPr>
                    <w:t>。</w:t>
                  </w:r>
                </w:p>
              </w:tc>
              <w:tc>
                <w:tcPr>
                  <w:tcW w:w="1484" w:type="pct"/>
                  <w:noWrap w:val="0"/>
                  <w:vAlign w:val="center"/>
                </w:tcPr>
                <w:p w14:paraId="5A749E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auto"/>
                      <w:highlight w:val="none"/>
                    </w:rPr>
                  </w:pPr>
                  <w:r>
                    <w:rPr>
                      <w:rFonts w:hint="eastAsia"/>
                      <w:color w:val="auto"/>
                      <w:highlight w:val="none"/>
                      <w:lang w:val="en-US" w:eastAsia="zh-CN"/>
                    </w:rPr>
                    <w:t>本项目不涉及在绿地及水域范围内开发利用。本项目建成后全厂</w:t>
                  </w:r>
                  <w:r>
                    <w:rPr>
                      <w:rFonts w:hint="default" w:ascii="Times New Roman" w:hAnsi="Times New Roman" w:eastAsia="宋体"/>
                      <w:color w:val="auto"/>
                      <w:highlight w:val="none"/>
                    </w:rPr>
                    <w:t>卫生防护距离范围内无环境敏感保护目标。</w:t>
                  </w:r>
                </w:p>
              </w:tc>
              <w:tc>
                <w:tcPr>
                  <w:tcW w:w="441" w:type="pct"/>
                  <w:noWrap w:val="0"/>
                  <w:tcMar>
                    <w:top w:w="0" w:type="dxa"/>
                    <w:left w:w="0" w:type="dxa"/>
                    <w:bottom w:w="0" w:type="dxa"/>
                    <w:right w:w="0" w:type="dxa"/>
                  </w:tcMar>
                  <w:vAlign w:val="center"/>
                </w:tcPr>
                <w:p w14:paraId="1EDD4B06">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501A7A0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586" w:hRule="atLeast"/>
              </w:trPr>
              <w:tc>
                <w:tcPr>
                  <w:tcW w:w="521" w:type="pct"/>
                  <w:noWrap w:val="0"/>
                  <w:tcMar>
                    <w:top w:w="0" w:type="dxa"/>
                    <w:left w:w="0" w:type="dxa"/>
                    <w:bottom w:w="0" w:type="dxa"/>
                    <w:right w:w="0" w:type="dxa"/>
                  </w:tcMar>
                  <w:vAlign w:val="center"/>
                </w:tcPr>
                <w:p w14:paraId="1BEA9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bCs/>
                      <w:color w:val="auto"/>
                      <w:highlight w:val="none"/>
                    </w:rPr>
                  </w:pPr>
                  <w:r>
                    <w:rPr>
                      <w:rFonts w:hint="eastAsia"/>
                      <w:bCs/>
                      <w:color w:val="auto"/>
                      <w:highlight w:val="none"/>
                      <w:lang w:eastAsia="zh-CN"/>
                    </w:rPr>
                    <w:t>（</w:t>
                  </w:r>
                  <w:r>
                    <w:rPr>
                      <w:rFonts w:hint="eastAsia"/>
                      <w:bCs/>
                      <w:color w:val="auto"/>
                      <w:highlight w:val="none"/>
                      <w:lang w:val="en-US" w:eastAsia="zh-CN"/>
                    </w:rPr>
                    <w:t>三</w:t>
                  </w:r>
                  <w:r>
                    <w:rPr>
                      <w:rFonts w:hint="eastAsia"/>
                      <w:bCs/>
                      <w:color w:val="auto"/>
                      <w:highlight w:val="none"/>
                      <w:lang w:eastAsia="zh-CN"/>
                    </w:rPr>
                    <w:t>）</w:t>
                  </w:r>
                  <w:r>
                    <w:rPr>
                      <w:rFonts w:hint="default" w:ascii="Times New Roman" w:hAnsi="Times New Roman" w:eastAsia="宋体"/>
                      <w:bCs/>
                      <w:color w:val="auto"/>
                      <w:highlight w:val="none"/>
                    </w:rPr>
                    <w:t>严守环境质量底线，实施污染物排放总量管理</w:t>
                  </w:r>
                </w:p>
              </w:tc>
              <w:tc>
                <w:tcPr>
                  <w:tcW w:w="2552" w:type="pct"/>
                  <w:noWrap w:val="0"/>
                  <w:tcMar>
                    <w:top w:w="0" w:type="dxa"/>
                    <w:left w:w="0" w:type="dxa"/>
                    <w:bottom w:w="0" w:type="dxa"/>
                    <w:right w:w="0" w:type="dxa"/>
                  </w:tcMar>
                  <w:vAlign w:val="center"/>
                </w:tcPr>
                <w:p w14:paraId="4BFCB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bCs/>
                      <w:color w:val="auto"/>
                      <w:highlight w:val="none"/>
                    </w:rPr>
                  </w:pPr>
                  <w:r>
                    <w:rPr>
                      <w:rFonts w:hint="default" w:ascii="Times New Roman" w:hAnsi="Times New Roman" w:eastAsia="宋体"/>
                      <w:bCs/>
                      <w:color w:val="auto"/>
                      <w:highlight w:val="none"/>
                    </w:rPr>
                    <w:t>落实国家和江苏省关于大气、水、土壤、噪声污染防治、区域生态环境分区管控等相关要求，建立以环境质量为核心的污染物总量控制管理体系，实施主要污染物排放浓度和总量“双管控”。园区应加强主要污染物总量减排管理，符合条件的及时入库管理。</w:t>
                  </w:r>
                </w:p>
              </w:tc>
              <w:tc>
                <w:tcPr>
                  <w:tcW w:w="1484" w:type="pct"/>
                  <w:noWrap w:val="0"/>
                  <w:vAlign w:val="center"/>
                </w:tcPr>
                <w:p w14:paraId="11A06E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color w:val="auto"/>
                      <w:highlight w:val="none"/>
                      <w:lang w:val="en-US" w:eastAsia="zh-CN"/>
                    </w:rPr>
                  </w:pPr>
                  <w:r>
                    <w:rPr>
                      <w:rFonts w:hint="eastAsia" w:ascii="Times New Roman" w:hAnsi="Times New Roman" w:eastAsia="宋体" w:cs="Times New Roman"/>
                      <w:color w:val="auto"/>
                      <w:highlight w:val="none"/>
                      <w:lang w:val="en-US" w:eastAsia="zh-CN"/>
                    </w:rPr>
                    <w:t>本项目各类污染物经处理后可达标排放，本项目的建设满足区域生态环境分区管控要求</w:t>
                  </w:r>
                  <w:r>
                    <w:rPr>
                      <w:rFonts w:hint="eastAsia" w:cs="Times New Roman"/>
                      <w:color w:val="auto"/>
                      <w:highlight w:val="none"/>
                      <w:lang w:val="en-US" w:eastAsia="zh-CN"/>
                    </w:rPr>
                    <w:t>（具体分析见表1-5）</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本项目非甲烷总烃、颗粒物的排放总量在新吴区内平衡；新增</w:t>
                  </w:r>
                  <w:r>
                    <w:rPr>
                      <w:rFonts w:hint="eastAsia" w:ascii="Times New Roman" w:hAnsi="Times New Roman" w:eastAsia="宋体" w:cs="Times New Roman"/>
                      <w:color w:val="auto"/>
                      <w:highlight w:val="none"/>
                      <w:lang w:val="en-US" w:eastAsia="zh-CN"/>
                    </w:rPr>
                    <w:t>设备清洗废液</w:t>
                  </w:r>
                  <w:r>
                    <w:rPr>
                      <w:rFonts w:hint="default" w:ascii="Times New Roman" w:hAnsi="Times New Roman" w:eastAsia="宋体" w:cs="Times New Roman"/>
                      <w:color w:val="auto"/>
                      <w:highlight w:val="none"/>
                      <w:lang w:val="en-US" w:eastAsia="zh-CN"/>
                    </w:rPr>
                    <w:t>作为</w:t>
                  </w:r>
                  <w:r>
                    <w:rPr>
                      <w:rFonts w:hint="eastAsia" w:cs="Times New Roman"/>
                      <w:color w:val="auto"/>
                      <w:highlight w:val="none"/>
                      <w:lang w:val="en-US" w:eastAsia="zh-CN"/>
                    </w:rPr>
                    <w:t>危险废物</w:t>
                  </w:r>
                  <w:r>
                    <w:rPr>
                      <w:rFonts w:hint="default" w:ascii="Times New Roman" w:hAnsi="Times New Roman" w:eastAsia="宋体" w:cs="Times New Roman"/>
                      <w:color w:val="auto"/>
                      <w:highlight w:val="none"/>
                      <w:lang w:val="en-US" w:eastAsia="zh-CN"/>
                    </w:rPr>
                    <w:t>委托资质单位处置；</w:t>
                  </w:r>
                  <w:r>
                    <w:rPr>
                      <w:rFonts w:hint="eastAsia" w:cs="Times New Roman"/>
                      <w:color w:val="auto"/>
                      <w:highlight w:val="none"/>
                      <w:lang w:val="en-US" w:eastAsia="zh-CN"/>
                    </w:rPr>
                    <w:t>固体废物</w:t>
                  </w:r>
                  <w:r>
                    <w:rPr>
                      <w:rFonts w:hint="default" w:ascii="Times New Roman" w:hAnsi="Times New Roman" w:eastAsia="宋体" w:cs="Times New Roman"/>
                      <w:color w:val="auto"/>
                      <w:highlight w:val="none"/>
                      <w:lang w:val="en-US" w:eastAsia="zh-CN"/>
                    </w:rPr>
                    <w:t>“零”排放。</w:t>
                  </w:r>
                </w:p>
              </w:tc>
              <w:tc>
                <w:tcPr>
                  <w:tcW w:w="441" w:type="pct"/>
                  <w:noWrap w:val="0"/>
                  <w:tcMar>
                    <w:top w:w="0" w:type="dxa"/>
                    <w:left w:w="0" w:type="dxa"/>
                    <w:bottom w:w="0" w:type="dxa"/>
                    <w:right w:w="0" w:type="dxa"/>
                  </w:tcMar>
                  <w:vAlign w:val="center"/>
                </w:tcPr>
                <w:p w14:paraId="22A29675">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155891A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4067" w:hRule="atLeast"/>
              </w:trPr>
              <w:tc>
                <w:tcPr>
                  <w:tcW w:w="521" w:type="pct"/>
                  <w:noWrap w:val="0"/>
                  <w:tcMar>
                    <w:top w:w="0" w:type="dxa"/>
                    <w:left w:w="0" w:type="dxa"/>
                    <w:bottom w:w="0" w:type="dxa"/>
                    <w:right w:w="0" w:type="dxa"/>
                  </w:tcMar>
                  <w:vAlign w:val="center"/>
                </w:tcPr>
                <w:p w14:paraId="21115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bCs/>
                      <w:color w:val="auto"/>
                      <w:highlight w:val="none"/>
                    </w:rPr>
                  </w:pPr>
                  <w:r>
                    <w:rPr>
                      <w:rFonts w:hint="eastAsia"/>
                      <w:bCs/>
                      <w:color w:val="auto"/>
                      <w:highlight w:val="none"/>
                      <w:lang w:eastAsia="zh-CN"/>
                    </w:rPr>
                    <w:t>（</w:t>
                  </w:r>
                  <w:r>
                    <w:rPr>
                      <w:rFonts w:hint="eastAsia"/>
                      <w:bCs/>
                      <w:color w:val="auto"/>
                      <w:highlight w:val="none"/>
                      <w:lang w:val="en-US" w:eastAsia="zh-CN"/>
                    </w:rPr>
                    <w:t>四</w:t>
                  </w:r>
                  <w:r>
                    <w:rPr>
                      <w:rFonts w:hint="eastAsia"/>
                      <w:bCs/>
                      <w:color w:val="auto"/>
                      <w:highlight w:val="none"/>
                      <w:lang w:eastAsia="zh-CN"/>
                    </w:rPr>
                    <w:t>）</w:t>
                  </w:r>
                  <w:r>
                    <w:rPr>
                      <w:rFonts w:hint="default" w:ascii="Times New Roman" w:hAnsi="Times New Roman" w:eastAsia="宋体"/>
                      <w:bCs/>
                      <w:color w:val="auto"/>
                      <w:highlight w:val="none"/>
                    </w:rPr>
                    <w:t>加强源头治理，协同推进减污降碳</w:t>
                  </w:r>
                </w:p>
              </w:tc>
              <w:tc>
                <w:tcPr>
                  <w:tcW w:w="2552" w:type="pct"/>
                  <w:shd w:val="clear" w:color="auto" w:fill="auto"/>
                  <w:noWrap w:val="0"/>
                  <w:tcMar>
                    <w:top w:w="0" w:type="dxa"/>
                    <w:left w:w="0" w:type="dxa"/>
                    <w:bottom w:w="0" w:type="dxa"/>
                    <w:right w:w="0" w:type="dxa"/>
                  </w:tcMar>
                  <w:vAlign w:val="center"/>
                </w:tcPr>
                <w:p w14:paraId="7AD6B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bCs/>
                      <w:color w:val="auto"/>
                      <w:highlight w:val="none"/>
                      <w:lang w:eastAsia="zh-CN"/>
                    </w:rPr>
                  </w:pPr>
                  <w:r>
                    <w:rPr>
                      <w:rFonts w:hint="default" w:ascii="Times New Roman" w:hAnsi="Times New Roman" w:eastAsia="宋体"/>
                      <w:bCs/>
                      <w:color w:val="auto"/>
                      <w:highlight w:val="none"/>
                    </w:rPr>
                    <w:t>严格落实生态环境准入清单(附件)，落实《报告书》提出的生态环境准入要求，严格限制与主导产业不相符的项目入区，执行最严格的废水、废气排放控制要求。强化企业特征污染物排放控制、高效治理设施建设，落实精细化管控要求，有效防治集成电路、生命科技等产业特征污染物的影响。引进项目的生产工艺、设备及单位产品水耗、能耗、污染物排放和资源利用效率等应达到同行业国际先进水平，必要时开展先进性论证。推动重点行业依法实施强制性清洁生产审核，引导其他行业自觉自愿开展审核，不断提高现有企业清洁生产和污染治理水平。根据国家和地方碳减排、碳达峰行动方案和路径要求</w:t>
                  </w:r>
                  <w:r>
                    <w:rPr>
                      <w:rFonts w:hint="eastAsia"/>
                      <w:bCs/>
                      <w:color w:val="auto"/>
                      <w:highlight w:val="none"/>
                      <w:lang w:eastAsia="zh-CN"/>
                    </w:rPr>
                    <w:t>，</w:t>
                  </w:r>
                  <w:r>
                    <w:rPr>
                      <w:rFonts w:hint="default" w:ascii="Times New Roman" w:hAnsi="Times New Roman" w:eastAsia="宋体"/>
                      <w:bCs/>
                      <w:color w:val="auto"/>
                      <w:highlight w:val="none"/>
                    </w:rPr>
                    <w:t>推进太科园绿色低碳转型发展</w:t>
                  </w:r>
                  <w:r>
                    <w:rPr>
                      <w:rFonts w:hint="eastAsia" w:ascii="Times New Roman" w:hAnsi="Times New Roman" w:eastAsia="宋体"/>
                      <w:bCs/>
                      <w:color w:val="auto"/>
                      <w:highlight w:val="none"/>
                      <w:lang w:eastAsia="zh-CN"/>
                    </w:rPr>
                    <w:t>、</w:t>
                  </w:r>
                  <w:r>
                    <w:rPr>
                      <w:rFonts w:hint="default" w:ascii="Times New Roman" w:hAnsi="Times New Roman" w:eastAsia="宋体"/>
                      <w:bCs/>
                      <w:color w:val="auto"/>
                      <w:highlight w:val="none"/>
                    </w:rPr>
                    <w:t>优化产业结构、能源结构、交通运输等规划内容，实现减污降碳协同增效目标</w:t>
                  </w:r>
                  <w:r>
                    <w:rPr>
                      <w:rFonts w:hint="eastAsia" w:ascii="Times New Roman" w:hAnsi="Times New Roman" w:eastAsia="宋体"/>
                      <w:bCs/>
                      <w:color w:val="auto"/>
                      <w:highlight w:val="none"/>
                      <w:lang w:eastAsia="zh-CN"/>
                    </w:rPr>
                    <w:t>。</w:t>
                  </w:r>
                </w:p>
              </w:tc>
              <w:tc>
                <w:tcPr>
                  <w:tcW w:w="1484" w:type="pct"/>
                  <w:shd w:val="clear" w:color="auto" w:fill="auto"/>
                  <w:noWrap w:val="0"/>
                  <w:vAlign w:val="center"/>
                </w:tcPr>
                <w:p w14:paraId="173B9E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color w:val="auto"/>
                      <w:highlight w:val="none"/>
                      <w:lang w:val="en-US" w:eastAsia="zh-CN"/>
                    </w:rPr>
                  </w:pPr>
                  <w:r>
                    <w:rPr>
                      <w:rFonts w:hint="eastAsia"/>
                      <w:color w:val="auto"/>
                      <w:highlight w:val="none"/>
                      <w:lang w:val="en-US" w:eastAsia="zh-CN"/>
                    </w:rPr>
                    <w:t>根据表1-6分析，本项目的建设满足无锡（太湖）国际科技园生态环境准入清单要求，同时本项目符合产业定位要求，按照要求执行江苏省相关标准要求。</w:t>
                  </w:r>
                </w:p>
                <w:p w14:paraId="5059CD3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本项目</w:t>
                  </w:r>
                  <w:r>
                    <w:rPr>
                      <w:rFonts w:hint="default"/>
                      <w:color w:val="auto"/>
                      <w:highlight w:val="none"/>
                      <w:lang w:val="en-US" w:eastAsia="zh-CN"/>
                    </w:rPr>
                    <w:t>的生产工艺、设备及单位产品水耗、能耗、污染物排放和资源利用效率等</w:t>
                  </w:r>
                  <w:r>
                    <w:rPr>
                      <w:rFonts w:hint="eastAsia"/>
                      <w:color w:val="auto"/>
                      <w:highlight w:val="none"/>
                      <w:lang w:val="en-US" w:eastAsia="zh-CN"/>
                    </w:rPr>
                    <w:t>可</w:t>
                  </w:r>
                  <w:r>
                    <w:rPr>
                      <w:rFonts w:hint="default"/>
                      <w:color w:val="auto"/>
                      <w:highlight w:val="none"/>
                      <w:lang w:val="en-US" w:eastAsia="zh-CN"/>
                    </w:rPr>
                    <w:t>达到同行业国际先进水平</w:t>
                  </w:r>
                  <w:r>
                    <w:rPr>
                      <w:rFonts w:hint="eastAsia"/>
                      <w:color w:val="auto"/>
                      <w:highlight w:val="none"/>
                      <w:lang w:val="en-US" w:eastAsia="zh-CN"/>
                    </w:rPr>
                    <w:t>。</w:t>
                  </w:r>
                </w:p>
              </w:tc>
              <w:tc>
                <w:tcPr>
                  <w:tcW w:w="441" w:type="pct"/>
                  <w:noWrap w:val="0"/>
                  <w:tcMar>
                    <w:top w:w="0" w:type="dxa"/>
                    <w:left w:w="0" w:type="dxa"/>
                    <w:bottom w:w="0" w:type="dxa"/>
                    <w:right w:w="0" w:type="dxa"/>
                  </w:tcMar>
                  <w:vAlign w:val="center"/>
                </w:tcPr>
                <w:p w14:paraId="5DA0479E">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rPr>
                  </w:pPr>
                  <w:r>
                    <w:rPr>
                      <w:rFonts w:hint="default" w:ascii="Times New Roman" w:hAnsi="Times New Roman" w:eastAsia="宋体"/>
                      <w:color w:val="auto"/>
                      <w:highlight w:val="none"/>
                    </w:rPr>
                    <w:t>相符</w:t>
                  </w:r>
                </w:p>
              </w:tc>
            </w:tr>
            <w:tr w14:paraId="5511DB8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630" w:hRule="atLeast"/>
              </w:trPr>
              <w:tc>
                <w:tcPr>
                  <w:tcW w:w="521" w:type="pct"/>
                  <w:noWrap w:val="0"/>
                  <w:tcMar>
                    <w:top w:w="0" w:type="dxa"/>
                    <w:left w:w="0" w:type="dxa"/>
                    <w:bottom w:w="0" w:type="dxa"/>
                    <w:right w:w="0" w:type="dxa"/>
                  </w:tcMar>
                  <w:vAlign w:val="center"/>
                </w:tcPr>
                <w:p w14:paraId="72F54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bCs/>
                      <w:color w:val="auto"/>
                      <w:highlight w:val="none"/>
                    </w:rPr>
                  </w:pPr>
                  <w:r>
                    <w:rPr>
                      <w:rFonts w:hint="eastAsia"/>
                      <w:bCs/>
                      <w:color w:val="auto"/>
                      <w:highlight w:val="none"/>
                      <w:lang w:eastAsia="zh-CN"/>
                    </w:rPr>
                    <w:t>（</w:t>
                  </w:r>
                  <w:r>
                    <w:rPr>
                      <w:rFonts w:hint="eastAsia"/>
                      <w:bCs/>
                      <w:color w:val="auto"/>
                      <w:highlight w:val="none"/>
                      <w:lang w:val="en-US" w:eastAsia="zh-CN"/>
                    </w:rPr>
                    <w:t>五</w:t>
                  </w:r>
                  <w:r>
                    <w:rPr>
                      <w:rFonts w:hint="eastAsia"/>
                      <w:bCs/>
                      <w:color w:val="auto"/>
                      <w:highlight w:val="none"/>
                      <w:lang w:eastAsia="zh-CN"/>
                    </w:rPr>
                    <w:t>）</w:t>
                  </w:r>
                  <w:r>
                    <w:rPr>
                      <w:rFonts w:hint="default" w:ascii="Times New Roman" w:hAnsi="Times New Roman" w:eastAsia="宋体"/>
                      <w:bCs/>
                      <w:color w:val="auto"/>
                      <w:highlight w:val="none"/>
                    </w:rPr>
                    <w:t>完善环境基础设施建设，提高基础设施运行效能。</w:t>
                  </w:r>
                </w:p>
              </w:tc>
              <w:tc>
                <w:tcPr>
                  <w:tcW w:w="2552" w:type="pct"/>
                  <w:noWrap w:val="0"/>
                  <w:tcMar>
                    <w:top w:w="0" w:type="dxa"/>
                    <w:left w:w="0" w:type="dxa"/>
                    <w:bottom w:w="0" w:type="dxa"/>
                    <w:right w:w="0" w:type="dxa"/>
                  </w:tcMar>
                  <w:vAlign w:val="center"/>
                </w:tcPr>
                <w:p w14:paraId="116BF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bCs/>
                      <w:color w:val="auto"/>
                      <w:highlight w:val="none"/>
                    </w:rPr>
                  </w:pPr>
                  <w:r>
                    <w:rPr>
                      <w:rFonts w:hint="default" w:ascii="Times New Roman" w:hAnsi="Times New Roman" w:eastAsia="宋体"/>
                      <w:bCs/>
                      <w:color w:val="auto"/>
                      <w:highlight w:val="none"/>
                    </w:rPr>
                    <w:t>强化对区内污水、雨水管网敷设情况的排查，完善区域雨污水管网建设。按照省、市分质分类管理要求，统筹规划区内工业废水与生活污水分类收集、分质处理。开展区内入河排污口排查及规范化整治，建立名录，强化入河排污口监督管理</w:t>
                  </w:r>
                  <w:r>
                    <w:rPr>
                      <w:rFonts w:hint="eastAsia"/>
                      <w:bCs/>
                      <w:color w:val="auto"/>
                      <w:highlight w:val="none"/>
                      <w:lang w:eastAsia="zh-CN"/>
                    </w:rPr>
                    <w:t>，</w:t>
                  </w:r>
                  <w:r>
                    <w:rPr>
                      <w:rFonts w:hint="default" w:ascii="Times New Roman" w:hAnsi="Times New Roman" w:eastAsia="宋体"/>
                      <w:bCs/>
                      <w:color w:val="auto"/>
                      <w:highlight w:val="none"/>
                    </w:rPr>
                    <w:t>有效管控入河污染物排放。加强太科园固体废物资源化、减量化、无害化处理，提高一般工业</w:t>
                  </w:r>
                  <w:r>
                    <w:rPr>
                      <w:rFonts w:hint="eastAsia"/>
                      <w:bCs/>
                      <w:color w:val="auto"/>
                      <w:highlight w:val="none"/>
                      <w:lang w:eastAsia="zh-CN"/>
                    </w:rPr>
                    <w:t>固体废物</w:t>
                  </w:r>
                  <w:r>
                    <w:rPr>
                      <w:rFonts w:hint="default" w:ascii="Times New Roman" w:hAnsi="Times New Roman" w:eastAsia="宋体"/>
                      <w:bCs/>
                      <w:color w:val="auto"/>
                      <w:highlight w:val="none"/>
                    </w:rPr>
                    <w:t>、危险废物依法依规收集处理处置能力建设，提升太科园</w:t>
                  </w:r>
                  <w:r>
                    <w:rPr>
                      <w:rFonts w:hint="eastAsia"/>
                      <w:bCs/>
                      <w:color w:val="auto"/>
                      <w:highlight w:val="none"/>
                      <w:lang w:val="en-US" w:eastAsia="zh-CN"/>
                    </w:rPr>
                    <w:t>危险废物</w:t>
                  </w:r>
                  <w:r>
                    <w:rPr>
                      <w:rFonts w:hint="default" w:ascii="Times New Roman" w:hAnsi="Times New Roman" w:eastAsia="宋体"/>
                      <w:bCs/>
                      <w:color w:val="auto"/>
                      <w:highlight w:val="none"/>
                    </w:rPr>
                    <w:t>监管智能化水平。</w:t>
                  </w:r>
                </w:p>
              </w:tc>
              <w:tc>
                <w:tcPr>
                  <w:tcW w:w="1484" w:type="pct"/>
                  <w:noWrap w:val="0"/>
                  <w:vAlign w:val="center"/>
                </w:tcPr>
                <w:p w14:paraId="69862279">
                  <w:pPr>
                    <w:pStyle w:val="11"/>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textAlignment w:val="auto"/>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公司</w:t>
                  </w:r>
                  <w:r>
                    <w:rPr>
                      <w:rFonts w:hint="default" w:ascii="Times New Roman" w:hAnsi="Times New Roman" w:eastAsia="宋体"/>
                      <w:color w:val="auto"/>
                      <w:sz w:val="21"/>
                      <w:szCs w:val="21"/>
                      <w:highlight w:val="none"/>
                    </w:rPr>
                    <w:t>排水</w:t>
                  </w:r>
                  <w:r>
                    <w:rPr>
                      <w:rFonts w:hint="eastAsia"/>
                      <w:color w:val="auto"/>
                      <w:sz w:val="21"/>
                      <w:szCs w:val="21"/>
                      <w:highlight w:val="none"/>
                      <w:lang w:val="en-US" w:eastAsia="zh-CN"/>
                    </w:rPr>
                    <w:t>系统</w:t>
                  </w:r>
                  <w:r>
                    <w:rPr>
                      <w:rFonts w:hint="default" w:ascii="Times New Roman" w:hAnsi="Times New Roman" w:eastAsia="宋体"/>
                      <w:color w:val="auto"/>
                      <w:sz w:val="21"/>
                      <w:szCs w:val="21"/>
                      <w:highlight w:val="none"/>
                    </w:rPr>
                    <w:t>实施“雨污分流、清污分流”，</w:t>
                  </w:r>
                  <w:r>
                    <w:rPr>
                      <w:rFonts w:hint="eastAsia"/>
                      <w:color w:val="auto"/>
                      <w:sz w:val="21"/>
                      <w:szCs w:val="21"/>
                      <w:highlight w:val="none"/>
                      <w:lang w:val="en-US" w:eastAsia="zh-CN"/>
                    </w:rPr>
                    <w:t>并按照要求设置废水接管口。</w:t>
                  </w:r>
                  <w:r>
                    <w:rPr>
                      <w:rFonts w:hint="default" w:ascii="Times New Roman" w:hAnsi="Times New Roman" w:eastAsia="宋体"/>
                      <w:color w:val="auto"/>
                      <w:sz w:val="21"/>
                      <w:szCs w:val="21"/>
                      <w:highlight w:val="none"/>
                      <w:lang w:val="en-US" w:eastAsia="zh-CN"/>
                    </w:rPr>
                    <w:t>本项目新增</w:t>
                  </w:r>
                  <w:r>
                    <w:rPr>
                      <w:rFonts w:hint="eastAsia"/>
                      <w:color w:val="auto"/>
                      <w:sz w:val="21"/>
                      <w:szCs w:val="21"/>
                      <w:highlight w:val="none"/>
                      <w:lang w:val="en-US" w:eastAsia="zh-CN"/>
                    </w:rPr>
                    <w:t>设备清洗废液</w:t>
                  </w:r>
                  <w:r>
                    <w:rPr>
                      <w:rFonts w:hint="default" w:ascii="Times New Roman" w:hAnsi="Times New Roman" w:eastAsia="宋体"/>
                      <w:color w:val="auto"/>
                      <w:sz w:val="21"/>
                      <w:szCs w:val="21"/>
                      <w:highlight w:val="none"/>
                      <w:lang w:val="en-US" w:eastAsia="zh-CN"/>
                    </w:rPr>
                    <w:t>作为</w:t>
                  </w:r>
                  <w:r>
                    <w:rPr>
                      <w:rFonts w:hint="eastAsia"/>
                      <w:color w:val="auto"/>
                      <w:sz w:val="21"/>
                      <w:szCs w:val="21"/>
                      <w:highlight w:val="none"/>
                      <w:lang w:val="en-US" w:eastAsia="zh-CN"/>
                    </w:rPr>
                    <w:t>危险废物</w:t>
                  </w:r>
                  <w:r>
                    <w:rPr>
                      <w:rFonts w:hint="default" w:ascii="Times New Roman" w:hAnsi="Times New Roman" w:eastAsia="宋体"/>
                      <w:color w:val="auto"/>
                      <w:sz w:val="21"/>
                      <w:szCs w:val="21"/>
                      <w:highlight w:val="none"/>
                      <w:lang w:val="en-US" w:eastAsia="zh-CN"/>
                    </w:rPr>
                    <w:t>委托资质单位处置，不外排</w:t>
                  </w:r>
                  <w:r>
                    <w:rPr>
                      <w:rFonts w:hint="default" w:ascii="Times New Roman" w:hAnsi="Times New Roman" w:eastAsia="宋体"/>
                      <w:color w:val="auto"/>
                      <w:sz w:val="21"/>
                      <w:szCs w:val="21"/>
                      <w:highlight w:val="none"/>
                    </w:rPr>
                    <w:t>。企业内部按照规范要求设置</w:t>
                  </w:r>
                  <w:r>
                    <w:rPr>
                      <w:rFonts w:hint="eastAsia"/>
                      <w:color w:val="auto"/>
                      <w:sz w:val="21"/>
                      <w:szCs w:val="21"/>
                      <w:highlight w:val="none"/>
                      <w:lang w:eastAsia="zh-CN"/>
                    </w:rPr>
                    <w:t>一般固体废物</w:t>
                  </w:r>
                  <w:r>
                    <w:rPr>
                      <w:rFonts w:hint="default" w:ascii="Times New Roman" w:hAnsi="Times New Roman" w:eastAsia="宋体"/>
                      <w:color w:val="auto"/>
                      <w:sz w:val="21"/>
                      <w:szCs w:val="21"/>
                      <w:highlight w:val="none"/>
                    </w:rPr>
                    <w:t>暂存场所和危险</w:t>
                  </w:r>
                  <w:r>
                    <w:rPr>
                      <w:rFonts w:hint="eastAsia"/>
                      <w:color w:val="auto"/>
                      <w:sz w:val="21"/>
                      <w:szCs w:val="21"/>
                      <w:highlight w:val="none"/>
                      <w:lang w:eastAsia="zh-CN"/>
                    </w:rPr>
                    <w:t>固体废物</w:t>
                  </w:r>
                  <w:r>
                    <w:rPr>
                      <w:rFonts w:hint="default" w:ascii="Times New Roman" w:hAnsi="Times New Roman" w:eastAsia="宋体"/>
                      <w:color w:val="auto"/>
                      <w:sz w:val="21"/>
                      <w:szCs w:val="21"/>
                      <w:highlight w:val="none"/>
                    </w:rPr>
                    <w:t>暂存场所</w:t>
                  </w:r>
                  <w:r>
                    <w:rPr>
                      <w:rFonts w:hint="eastAsia"/>
                      <w:color w:val="auto"/>
                      <w:sz w:val="21"/>
                      <w:szCs w:val="21"/>
                      <w:highlight w:val="none"/>
                      <w:lang w:eastAsia="zh-CN"/>
                    </w:rPr>
                    <w:t>，</w:t>
                  </w:r>
                  <w:r>
                    <w:rPr>
                      <w:rFonts w:hint="default" w:ascii="Times New Roman" w:hAnsi="Times New Roman" w:cs="Times New Roman"/>
                      <w:color w:val="auto"/>
                      <w:sz w:val="21"/>
                      <w:szCs w:val="21"/>
                      <w:highlight w:val="none"/>
                    </w:rPr>
                    <w:t>危险</w:t>
                  </w:r>
                  <w:r>
                    <w:rPr>
                      <w:rFonts w:hint="eastAsia" w:cs="Times New Roman"/>
                      <w:color w:val="auto"/>
                      <w:sz w:val="21"/>
                      <w:szCs w:val="21"/>
                      <w:highlight w:val="none"/>
                      <w:lang w:eastAsia="zh-CN"/>
                    </w:rPr>
                    <w:t>固体废物</w:t>
                  </w:r>
                  <w:r>
                    <w:rPr>
                      <w:rFonts w:hint="default" w:ascii="Times New Roman" w:hAnsi="Times New Roman" w:cs="Times New Roman"/>
                      <w:color w:val="auto"/>
                      <w:sz w:val="21"/>
                      <w:szCs w:val="21"/>
                      <w:highlight w:val="none"/>
                    </w:rPr>
                    <w:t>拟委托相应的资质单位处置。</w:t>
                  </w:r>
                  <w:r>
                    <w:rPr>
                      <w:rFonts w:hint="eastAsia" w:cs="Times New Roman"/>
                      <w:color w:val="auto"/>
                      <w:sz w:val="21"/>
                      <w:szCs w:val="21"/>
                      <w:highlight w:val="none"/>
                      <w:lang w:val="en-US" w:eastAsia="zh-CN"/>
                    </w:rPr>
                    <w:t xml:space="preserve"> </w:t>
                  </w:r>
                </w:p>
              </w:tc>
              <w:tc>
                <w:tcPr>
                  <w:tcW w:w="441" w:type="pct"/>
                  <w:noWrap w:val="0"/>
                  <w:tcMar>
                    <w:top w:w="0" w:type="dxa"/>
                    <w:left w:w="0" w:type="dxa"/>
                    <w:bottom w:w="0" w:type="dxa"/>
                    <w:right w:w="0" w:type="dxa"/>
                  </w:tcMar>
                  <w:vAlign w:val="center"/>
                </w:tcPr>
                <w:p w14:paraId="5D301DDE">
                  <w:pPr>
                    <w:keepNext w:val="0"/>
                    <w:keepLines w:val="0"/>
                    <w:suppressLineNumbers w:val="0"/>
                    <w:spacing w:before="0" w:beforeAutospacing="0" w:after="0" w:afterAutospacing="0" w:line="310" w:lineRule="exact"/>
                    <w:ind w:left="0" w:right="0"/>
                    <w:jc w:val="center"/>
                    <w:rPr>
                      <w:rFonts w:hint="eastAsia" w:ascii="Times New Roman" w:hAnsi="Times New Roman" w:eastAsia="宋体"/>
                      <w:color w:val="auto"/>
                      <w:highlight w:val="none"/>
                    </w:rPr>
                  </w:pPr>
                  <w:r>
                    <w:rPr>
                      <w:rFonts w:hint="eastAsia"/>
                      <w:color w:val="auto"/>
                      <w:highlight w:val="none"/>
                      <w:lang w:val="en-US" w:eastAsia="zh-CN"/>
                    </w:rPr>
                    <w:t>符合</w:t>
                  </w:r>
                </w:p>
              </w:tc>
            </w:tr>
            <w:tr w14:paraId="592434F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4030" w:hRule="atLeast"/>
              </w:trPr>
              <w:tc>
                <w:tcPr>
                  <w:tcW w:w="521" w:type="pct"/>
                  <w:noWrap w:val="0"/>
                  <w:tcMar>
                    <w:top w:w="0" w:type="dxa"/>
                    <w:left w:w="0" w:type="dxa"/>
                    <w:bottom w:w="0" w:type="dxa"/>
                    <w:right w:w="0" w:type="dxa"/>
                  </w:tcMar>
                  <w:vAlign w:val="center"/>
                </w:tcPr>
                <w:p w14:paraId="3A793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Cs/>
                      <w:color w:val="auto"/>
                      <w:highlight w:val="none"/>
                      <w:lang w:eastAsia="zh-CN"/>
                    </w:rPr>
                  </w:pPr>
                  <w:r>
                    <w:rPr>
                      <w:rFonts w:hint="default"/>
                      <w:bCs/>
                      <w:color w:val="auto"/>
                      <w:highlight w:val="none"/>
                      <w:lang w:eastAsia="zh-CN"/>
                    </w:rPr>
                    <w:t>(六)建立健全环境监测监控体系。</w:t>
                  </w:r>
                </w:p>
              </w:tc>
              <w:tc>
                <w:tcPr>
                  <w:tcW w:w="2552" w:type="pct"/>
                  <w:noWrap w:val="0"/>
                  <w:tcMar>
                    <w:top w:w="0" w:type="dxa"/>
                    <w:left w:w="0" w:type="dxa"/>
                    <w:bottom w:w="0" w:type="dxa"/>
                    <w:right w:w="0" w:type="dxa"/>
                  </w:tcMar>
                  <w:vAlign w:val="center"/>
                </w:tcPr>
                <w:p w14:paraId="2545D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Cs/>
                      <w:color w:val="auto"/>
                      <w:highlight w:val="none"/>
                      <w:lang w:eastAsia="zh-CN"/>
                    </w:rPr>
                  </w:pPr>
                  <w:r>
                    <w:rPr>
                      <w:rFonts w:hint="default"/>
                      <w:bCs/>
                      <w:color w:val="auto"/>
                      <w:highlight w:val="none"/>
                      <w:lang w:eastAsia="zh-CN"/>
                    </w:rPr>
                    <w:t>开展包括环境空气、地表水、地下水、土壤、底泥等环境要素的长期跟踪监测与管理。结合区域跟踪监测情况</w:t>
                  </w:r>
                  <w:r>
                    <w:rPr>
                      <w:rFonts w:hint="eastAsia"/>
                      <w:bCs/>
                      <w:color w:val="auto"/>
                      <w:highlight w:val="none"/>
                      <w:lang w:eastAsia="zh-CN"/>
                    </w:rPr>
                    <w:t>，</w:t>
                  </w:r>
                  <w:r>
                    <w:rPr>
                      <w:rFonts w:hint="default"/>
                      <w:bCs/>
                      <w:color w:val="auto"/>
                      <w:highlight w:val="none"/>
                      <w:lang w:eastAsia="zh-CN"/>
                    </w:rPr>
                    <w:t>动态调整太科园开发建设规模和时序进度，优化生态环境保护措施，确保区域环境质量不恶化。对于企业关闭、搬迁遗留的污染地块应依法开展土壤污染状况调查、治理与修复工作。严格落实环境质量监测要求，开展土壤和地下水隐患排查并纳入监控预警体系。探索开展新污染物环境本底调查监测，依法公开新污染物信息。指导太科园内实行排污许可重点管理的排污单位依法安装、使用、维护污染物排放自动监测设备，并与生态环境主管部门的监控设备联网</w:t>
                  </w:r>
                  <w:r>
                    <w:rPr>
                      <w:rFonts w:hint="eastAsia"/>
                      <w:bCs/>
                      <w:color w:val="auto"/>
                      <w:highlight w:val="none"/>
                      <w:lang w:eastAsia="zh-CN"/>
                    </w:rPr>
                    <w:t>；</w:t>
                  </w:r>
                  <w:r>
                    <w:rPr>
                      <w:rFonts w:hint="default"/>
                      <w:bCs/>
                      <w:color w:val="auto"/>
                      <w:highlight w:val="none"/>
                      <w:lang w:eastAsia="zh-CN"/>
                    </w:rPr>
                    <w:t>暂不具备安装在线监测设备条件的企业，应做好委托监测工作。</w:t>
                  </w:r>
                </w:p>
              </w:tc>
              <w:tc>
                <w:tcPr>
                  <w:tcW w:w="1484" w:type="pct"/>
                  <w:noWrap w:val="0"/>
                  <w:vAlign w:val="center"/>
                </w:tcPr>
                <w:p w14:paraId="4013AD7A">
                  <w:pPr>
                    <w:pStyle w:val="11"/>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textAlignment w:val="auto"/>
                    <w:rPr>
                      <w:rFonts w:hint="default" w:ascii="Times New Roman" w:hAnsi="Times New Roman" w:eastAsia="宋体"/>
                      <w:color w:val="auto"/>
                      <w:sz w:val="21"/>
                      <w:szCs w:val="21"/>
                      <w:highlight w:val="none"/>
                      <w:lang w:val="en-US"/>
                    </w:rPr>
                  </w:pPr>
                  <w:r>
                    <w:rPr>
                      <w:rFonts w:hint="eastAsia"/>
                      <w:color w:val="auto"/>
                      <w:sz w:val="21"/>
                      <w:szCs w:val="21"/>
                      <w:highlight w:val="none"/>
                      <w:lang w:val="en-US" w:eastAsia="zh-CN"/>
                    </w:rPr>
                    <w:t>本项目将按照要求对各类污染物的排放进行例行监测，并按照要求进行土壤和地下水隐患排查</w:t>
                  </w:r>
                  <w:r>
                    <w:rPr>
                      <w:rFonts w:hint="eastAsia" w:ascii="Times New Roman" w:hAnsi="Times New Roman" w:eastAsia="宋体"/>
                      <w:color w:val="auto"/>
                      <w:sz w:val="21"/>
                      <w:szCs w:val="21"/>
                      <w:highlight w:val="none"/>
                      <w:lang w:eastAsia="zh-CN"/>
                    </w:rPr>
                    <w:t>。</w:t>
                  </w:r>
                  <w:r>
                    <w:rPr>
                      <w:rFonts w:hint="eastAsia"/>
                      <w:color w:val="auto"/>
                      <w:sz w:val="21"/>
                      <w:szCs w:val="21"/>
                      <w:highlight w:val="none"/>
                      <w:lang w:val="en-US" w:eastAsia="zh-CN"/>
                    </w:rPr>
                    <w:t>本项目不涉及新污染物，公司不属于排污许可重点管理的排污单位。</w:t>
                  </w:r>
                </w:p>
              </w:tc>
              <w:tc>
                <w:tcPr>
                  <w:tcW w:w="441" w:type="pct"/>
                  <w:noWrap w:val="0"/>
                  <w:tcMar>
                    <w:top w:w="0" w:type="dxa"/>
                    <w:left w:w="0" w:type="dxa"/>
                    <w:bottom w:w="0" w:type="dxa"/>
                    <w:right w:w="0" w:type="dxa"/>
                  </w:tcMar>
                  <w:vAlign w:val="center"/>
                </w:tcPr>
                <w:p w14:paraId="1D5B845F">
                  <w:pPr>
                    <w:keepNext w:val="0"/>
                    <w:keepLines w:val="0"/>
                    <w:suppressLineNumbers w:val="0"/>
                    <w:spacing w:before="0" w:beforeAutospacing="0" w:after="0" w:afterAutospacing="0" w:line="310" w:lineRule="exact"/>
                    <w:ind w:left="0" w:right="0"/>
                    <w:jc w:val="center"/>
                    <w:rPr>
                      <w:rFonts w:hint="eastAsia" w:ascii="Times New Roman" w:hAnsi="Times New Roman" w:eastAsia="宋体"/>
                      <w:color w:val="auto"/>
                      <w:highlight w:val="none"/>
                    </w:rPr>
                  </w:pPr>
                  <w:r>
                    <w:rPr>
                      <w:rFonts w:hint="eastAsia"/>
                      <w:color w:val="auto"/>
                      <w:highlight w:val="none"/>
                      <w:lang w:val="en-US" w:eastAsia="zh-CN"/>
                    </w:rPr>
                    <w:t>符合</w:t>
                  </w:r>
                </w:p>
              </w:tc>
            </w:tr>
            <w:tr w14:paraId="412971D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3108" w:hRule="atLeast"/>
              </w:trPr>
              <w:tc>
                <w:tcPr>
                  <w:tcW w:w="521" w:type="pct"/>
                  <w:noWrap w:val="0"/>
                  <w:tcMar>
                    <w:top w:w="0" w:type="dxa"/>
                    <w:left w:w="0" w:type="dxa"/>
                    <w:bottom w:w="0" w:type="dxa"/>
                    <w:right w:w="0" w:type="dxa"/>
                  </w:tcMar>
                  <w:vAlign w:val="center"/>
                </w:tcPr>
                <w:p w14:paraId="1FB8F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Cs/>
                      <w:color w:val="auto"/>
                      <w:highlight w:val="none"/>
                      <w:lang w:eastAsia="zh-CN"/>
                    </w:rPr>
                  </w:pPr>
                  <w:r>
                    <w:rPr>
                      <w:rFonts w:hint="default"/>
                      <w:bCs/>
                      <w:color w:val="auto"/>
                      <w:highlight w:val="none"/>
                      <w:lang w:eastAsia="zh-CN"/>
                    </w:rPr>
                    <w:t>(七)健全环境风险防控体系，提升环境应急能力。</w:t>
                  </w:r>
                </w:p>
              </w:tc>
              <w:tc>
                <w:tcPr>
                  <w:tcW w:w="2552" w:type="pct"/>
                  <w:noWrap w:val="0"/>
                  <w:tcMar>
                    <w:top w:w="0" w:type="dxa"/>
                    <w:left w:w="0" w:type="dxa"/>
                    <w:bottom w:w="0" w:type="dxa"/>
                    <w:right w:w="0" w:type="dxa"/>
                  </w:tcMar>
                  <w:vAlign w:val="center"/>
                </w:tcPr>
                <w:p w14:paraId="78C59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Cs/>
                      <w:color w:val="auto"/>
                      <w:highlight w:val="none"/>
                      <w:lang w:eastAsia="zh-CN"/>
                    </w:rPr>
                  </w:pPr>
                  <w:r>
                    <w:rPr>
                      <w:rFonts w:hint="default"/>
                      <w:bCs/>
                      <w:color w:val="auto"/>
                      <w:highlight w:val="none"/>
                      <w:lang w:eastAsia="zh-CN"/>
                    </w:rPr>
                    <w:t>建立并完善太科园突发水污染事件三级风险防控体系建设，完善太科园内各级大中小园区雨水排口阀门安装、公共事故应急池设置和园区内河道出区前闸站设置，确保</w:t>
                  </w:r>
                  <w:r>
                    <w:rPr>
                      <w:rFonts w:hint="eastAsia"/>
                      <w:bCs/>
                      <w:color w:val="auto"/>
                      <w:highlight w:val="none"/>
                      <w:lang w:eastAsia="zh-CN"/>
                    </w:rPr>
                    <w:t>“</w:t>
                  </w:r>
                  <w:r>
                    <w:rPr>
                      <w:rFonts w:hint="default"/>
                      <w:bCs/>
                      <w:color w:val="auto"/>
                      <w:highlight w:val="none"/>
                      <w:lang w:eastAsia="zh-CN"/>
                    </w:rPr>
                    <w:t>小事故不出厂区、大事故不出园区</w:t>
                  </w:r>
                  <w:r>
                    <w:rPr>
                      <w:rFonts w:hint="eastAsia"/>
                      <w:bCs/>
                      <w:color w:val="auto"/>
                      <w:highlight w:val="none"/>
                      <w:lang w:eastAsia="zh-CN"/>
                    </w:rPr>
                    <w:t>”</w:t>
                  </w:r>
                  <w:r>
                    <w:rPr>
                      <w:rFonts w:hint="default"/>
                      <w:bCs/>
                      <w:color w:val="auto"/>
                      <w:highlight w:val="none"/>
                      <w:lang w:eastAsia="zh-CN"/>
                    </w:rPr>
                    <w:t>。加强环境应急基础设施建设，配备充足的应急装备物资，提高环境应急救援能力。建立健全环境风险评估和应急预案管理制度，太科园应按规范编制环境应急预案并报备，定期开展环境应急演练，完善环境应急响应联动机制，提升应急实战水平。探</w:t>
                  </w:r>
                </w:p>
                <w:p w14:paraId="2128D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Cs/>
                      <w:color w:val="auto"/>
                      <w:highlight w:val="none"/>
                      <w:lang w:eastAsia="zh-CN"/>
                    </w:rPr>
                  </w:pPr>
                  <w:r>
                    <w:rPr>
                      <w:rFonts w:hint="default"/>
                      <w:bCs/>
                      <w:color w:val="auto"/>
                      <w:highlight w:val="none"/>
                      <w:lang w:eastAsia="zh-CN"/>
                    </w:rPr>
                    <w:t>索建立突发环境事件隐患排查长效机制，保障区域环境安全。</w:t>
                  </w:r>
                </w:p>
              </w:tc>
              <w:tc>
                <w:tcPr>
                  <w:tcW w:w="1484" w:type="pct"/>
                  <w:noWrap w:val="0"/>
                  <w:vAlign w:val="center"/>
                </w:tcPr>
                <w:p w14:paraId="247B9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olor w:val="auto"/>
                      <w:sz w:val="21"/>
                      <w:szCs w:val="21"/>
                      <w:highlight w:val="none"/>
                    </w:rPr>
                  </w:pPr>
                  <w:r>
                    <w:rPr>
                      <w:rFonts w:hint="eastAsia" w:ascii="Times New Roman" w:hAnsi="Times New Roman" w:eastAsia="宋体" w:cs="Times New Roman"/>
                      <w:bCs/>
                      <w:color w:val="auto"/>
                      <w:highlight w:val="none"/>
                      <w:lang w:val="en-US" w:eastAsia="zh-CN"/>
                    </w:rPr>
                    <w:t>企业已于2025年2月26日取得突发环境事件应急预案备案表，备案编号为320214-2025-054-L，后期应根据《江苏省突发环境事件应急预案管理办法》要求对环境应急预案进行修编。企业应</w:t>
                  </w:r>
                  <w:r>
                    <w:rPr>
                      <w:rFonts w:hint="default"/>
                      <w:bCs/>
                      <w:color w:val="auto"/>
                      <w:highlight w:val="none"/>
                      <w:lang w:eastAsia="zh-CN"/>
                    </w:rPr>
                    <w:t>定期开展环境应急演练，完善环境应急响应联动机制，提升应急实战水平。探索建立突发环境事件隐患排查长效机制，保障区域环境安全。</w:t>
                  </w:r>
                </w:p>
              </w:tc>
              <w:tc>
                <w:tcPr>
                  <w:tcW w:w="441" w:type="pct"/>
                  <w:noWrap w:val="0"/>
                  <w:tcMar>
                    <w:top w:w="0" w:type="dxa"/>
                    <w:left w:w="0" w:type="dxa"/>
                    <w:bottom w:w="0" w:type="dxa"/>
                    <w:right w:w="0" w:type="dxa"/>
                  </w:tcMar>
                  <w:vAlign w:val="center"/>
                </w:tcPr>
                <w:p w14:paraId="2944AF88">
                  <w:pPr>
                    <w:keepNext w:val="0"/>
                    <w:keepLines w:val="0"/>
                    <w:suppressLineNumbers w:val="0"/>
                    <w:spacing w:before="0" w:beforeAutospacing="0" w:after="0" w:afterAutospacing="0" w:line="310" w:lineRule="exact"/>
                    <w:ind w:left="0" w:right="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符合</w:t>
                  </w:r>
                </w:p>
              </w:tc>
            </w:tr>
            <w:tr w14:paraId="3D6CC7D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1404" w:hRule="atLeast"/>
              </w:trPr>
              <w:tc>
                <w:tcPr>
                  <w:tcW w:w="521" w:type="pct"/>
                  <w:noWrap w:val="0"/>
                  <w:tcMar>
                    <w:top w:w="0" w:type="dxa"/>
                    <w:left w:w="0" w:type="dxa"/>
                    <w:bottom w:w="0" w:type="dxa"/>
                    <w:right w:w="0" w:type="dxa"/>
                  </w:tcMar>
                  <w:vAlign w:val="center"/>
                </w:tcPr>
                <w:p w14:paraId="46D61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Cs/>
                      <w:color w:val="auto"/>
                      <w:highlight w:val="none"/>
                      <w:lang w:eastAsia="zh-CN"/>
                    </w:rPr>
                  </w:pPr>
                  <w:r>
                    <w:rPr>
                      <w:rFonts w:hint="default"/>
                      <w:bCs/>
                      <w:color w:val="auto"/>
                      <w:highlight w:val="none"/>
                      <w:lang w:eastAsia="zh-CN"/>
                    </w:rPr>
                    <w:t>(八)落实环境监测、环境管理等工作要求</w:t>
                  </w:r>
                </w:p>
              </w:tc>
              <w:tc>
                <w:tcPr>
                  <w:tcW w:w="2552" w:type="pct"/>
                  <w:noWrap w:val="0"/>
                  <w:tcMar>
                    <w:top w:w="0" w:type="dxa"/>
                    <w:left w:w="0" w:type="dxa"/>
                    <w:bottom w:w="0" w:type="dxa"/>
                    <w:right w:w="0" w:type="dxa"/>
                  </w:tcMar>
                  <w:vAlign w:val="center"/>
                </w:tcPr>
                <w:p w14:paraId="06A05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bCs/>
                      <w:color w:val="auto"/>
                      <w:highlight w:val="none"/>
                      <w:lang w:eastAsia="zh-CN"/>
                    </w:rPr>
                  </w:pPr>
                  <w:r>
                    <w:rPr>
                      <w:rFonts w:hint="default"/>
                      <w:bCs/>
                      <w:color w:val="auto"/>
                      <w:highlight w:val="none"/>
                      <w:lang w:eastAsia="zh-CN"/>
                    </w:rPr>
                    <w:t>太科园应设立专门的环保管理机构并配备足够的专职环境管理人员</w:t>
                  </w:r>
                  <w:r>
                    <w:rPr>
                      <w:rFonts w:hint="eastAsia"/>
                      <w:bCs/>
                      <w:color w:val="auto"/>
                      <w:highlight w:val="none"/>
                      <w:lang w:eastAsia="zh-CN"/>
                    </w:rPr>
                    <w:t>，</w:t>
                  </w:r>
                  <w:r>
                    <w:rPr>
                      <w:rFonts w:hint="default"/>
                      <w:bCs/>
                      <w:color w:val="auto"/>
                      <w:highlight w:val="none"/>
                      <w:lang w:eastAsia="zh-CN"/>
                    </w:rPr>
                    <w:t>统一对太科园进行环境监督管理</w:t>
                  </w:r>
                  <w:r>
                    <w:rPr>
                      <w:rFonts w:hint="eastAsia"/>
                      <w:bCs/>
                      <w:color w:val="auto"/>
                      <w:highlight w:val="none"/>
                      <w:lang w:eastAsia="zh-CN"/>
                    </w:rPr>
                    <w:t>，</w:t>
                  </w:r>
                  <w:r>
                    <w:rPr>
                      <w:rFonts w:hint="default"/>
                      <w:bCs/>
                      <w:color w:val="auto"/>
                      <w:highlight w:val="none"/>
                      <w:lang w:eastAsia="zh-CN"/>
                    </w:rPr>
                    <w:t>落实环境监测、环境管理等工作要求。在《规划》实施过程中，按规定开展环境影响跟踪评价，《规划》修编时应重新编制环境影响报告书。</w:t>
                  </w:r>
                </w:p>
              </w:tc>
              <w:tc>
                <w:tcPr>
                  <w:tcW w:w="1484" w:type="pct"/>
                  <w:noWrap w:val="0"/>
                  <w:vAlign w:val="center"/>
                </w:tcPr>
                <w:p w14:paraId="58F102B5">
                  <w:pPr>
                    <w:pStyle w:val="11"/>
                    <w:keepNext w:val="0"/>
                    <w:keepLines w:val="0"/>
                    <w:pageBreakBefore w:val="0"/>
                    <w:widowControl/>
                    <w:suppressLineNumbers w:val="0"/>
                    <w:kinsoku/>
                    <w:wordWrap/>
                    <w:overflowPunct/>
                    <w:topLinePunct w:val="0"/>
                    <w:autoSpaceDE/>
                    <w:autoSpaceDN/>
                    <w:bidi w:val="0"/>
                    <w:adjustRightInd/>
                    <w:snapToGrid w:val="0"/>
                    <w:spacing w:beforeAutospacing="0" w:afterAutospacing="0" w:line="240" w:lineRule="auto"/>
                    <w:ind w:left="0" w:right="0"/>
                    <w:textAlignment w:val="auto"/>
                    <w:rPr>
                      <w:rFonts w:hint="eastAsia" w:ascii="Times New Roman" w:hAnsi="Times New Roman" w:eastAsia="宋体"/>
                      <w:color w:val="auto"/>
                      <w:sz w:val="21"/>
                      <w:szCs w:val="21"/>
                      <w:highlight w:val="none"/>
                    </w:rPr>
                  </w:pPr>
                  <w:r>
                    <w:rPr>
                      <w:rFonts w:hint="eastAsia"/>
                      <w:color w:val="auto"/>
                      <w:sz w:val="21"/>
                      <w:szCs w:val="21"/>
                      <w:highlight w:val="none"/>
                      <w:lang w:val="en-US" w:eastAsia="zh-CN"/>
                    </w:rPr>
                    <w:t>企业</w:t>
                  </w:r>
                  <w:r>
                    <w:rPr>
                      <w:rFonts w:hint="eastAsia" w:ascii="Times New Roman" w:hAnsi="Times New Roman" w:eastAsia="宋体"/>
                      <w:color w:val="auto"/>
                      <w:sz w:val="21"/>
                      <w:szCs w:val="21"/>
                      <w:highlight w:val="none"/>
                      <w:lang w:eastAsia="zh-CN"/>
                    </w:rPr>
                    <w:t>应设立专门的环保管理</w:t>
                  </w:r>
                  <w:r>
                    <w:rPr>
                      <w:rFonts w:hint="eastAsia"/>
                      <w:color w:val="auto"/>
                      <w:sz w:val="21"/>
                      <w:szCs w:val="21"/>
                      <w:highlight w:val="none"/>
                      <w:lang w:val="en-US" w:eastAsia="zh-CN"/>
                    </w:rPr>
                    <w:t>部门</w:t>
                  </w:r>
                  <w:r>
                    <w:rPr>
                      <w:rFonts w:hint="eastAsia" w:ascii="Times New Roman" w:hAnsi="Times New Roman" w:eastAsia="宋体"/>
                      <w:color w:val="auto"/>
                      <w:sz w:val="21"/>
                      <w:szCs w:val="21"/>
                      <w:highlight w:val="none"/>
                      <w:lang w:eastAsia="zh-CN"/>
                    </w:rPr>
                    <w:t>并配备足够的专职环境管理人员，</w:t>
                  </w:r>
                  <w:r>
                    <w:rPr>
                      <w:rFonts w:hint="eastAsia"/>
                      <w:color w:val="auto"/>
                      <w:sz w:val="21"/>
                      <w:szCs w:val="21"/>
                      <w:highlight w:val="none"/>
                      <w:lang w:val="en-US" w:eastAsia="zh-CN"/>
                    </w:rPr>
                    <w:t>严格按照要求对企业</w:t>
                  </w:r>
                  <w:r>
                    <w:rPr>
                      <w:rFonts w:hint="eastAsia" w:ascii="Times New Roman" w:hAnsi="Times New Roman" w:eastAsia="宋体"/>
                      <w:color w:val="auto"/>
                      <w:sz w:val="21"/>
                      <w:szCs w:val="21"/>
                      <w:highlight w:val="none"/>
                      <w:lang w:eastAsia="zh-CN"/>
                    </w:rPr>
                    <w:t>进行环境监督管理，落实环境监测、环境管理等工作要求。</w:t>
                  </w:r>
                </w:p>
              </w:tc>
              <w:tc>
                <w:tcPr>
                  <w:tcW w:w="441" w:type="pct"/>
                  <w:noWrap w:val="0"/>
                  <w:tcMar>
                    <w:top w:w="0" w:type="dxa"/>
                    <w:left w:w="0" w:type="dxa"/>
                    <w:bottom w:w="0" w:type="dxa"/>
                    <w:right w:w="0" w:type="dxa"/>
                  </w:tcMar>
                  <w:vAlign w:val="center"/>
                </w:tcPr>
                <w:p w14:paraId="46F5C07D">
                  <w:pPr>
                    <w:keepNext w:val="0"/>
                    <w:keepLines w:val="0"/>
                    <w:suppressLineNumbers w:val="0"/>
                    <w:spacing w:before="0" w:beforeAutospacing="0" w:after="0" w:afterAutospacing="0" w:line="310" w:lineRule="exact"/>
                    <w:ind w:left="0" w:right="0"/>
                    <w:jc w:val="center"/>
                    <w:rPr>
                      <w:rFonts w:hint="eastAsia" w:ascii="Times New Roman" w:hAnsi="Times New Roman" w:eastAsia="宋体"/>
                      <w:color w:val="auto"/>
                      <w:highlight w:val="none"/>
                      <w:lang w:val="en-US" w:eastAsia="zh-CN"/>
                    </w:rPr>
                  </w:pPr>
                  <w:r>
                    <w:rPr>
                      <w:rFonts w:hint="eastAsia"/>
                      <w:color w:val="auto"/>
                      <w:highlight w:val="none"/>
                      <w:lang w:val="en-US" w:eastAsia="zh-CN"/>
                    </w:rPr>
                    <w:t>符合</w:t>
                  </w:r>
                </w:p>
              </w:tc>
            </w:tr>
          </w:tbl>
          <w:p w14:paraId="4EC352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olor w:val="auto"/>
                <w:sz w:val="24"/>
                <w:highlight w:val="none"/>
              </w:rPr>
              <w:t>经对照可知，</w:t>
            </w:r>
            <w:r>
              <w:rPr>
                <w:rFonts w:hint="eastAsia" w:ascii="Times New Roman" w:hAnsi="Times New Roman" w:eastAsia="宋体"/>
                <w:color w:val="auto"/>
                <w:sz w:val="24"/>
                <w:highlight w:val="none"/>
              </w:rPr>
              <w:t>本项目的建设</w:t>
            </w:r>
            <w:r>
              <w:rPr>
                <w:rFonts w:hint="default" w:ascii="Times New Roman" w:hAnsi="Times New Roman" w:eastAsia="宋体"/>
                <w:color w:val="auto"/>
                <w:sz w:val="24"/>
                <w:highlight w:val="none"/>
              </w:rPr>
              <w:t>符合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关于无锡(太湖)国际科技园开发建设规划(2024-2035年)环境影响报告书的审查意见</w:t>
            </w:r>
            <w:r>
              <w:rPr>
                <w:rFonts w:hint="eastAsia" w:cs="Times New Roman"/>
                <w:color w:val="auto"/>
                <w:sz w:val="24"/>
                <w:highlight w:val="none"/>
                <w:lang w:eastAsia="zh-CN"/>
              </w:rPr>
              <w:t>》（</w:t>
            </w:r>
            <w:r>
              <w:rPr>
                <w:rFonts w:hint="eastAsia" w:cs="Times New Roman"/>
                <w:color w:val="auto"/>
                <w:sz w:val="24"/>
                <w:highlight w:val="none"/>
                <w:lang w:val="en-US" w:eastAsia="zh-CN"/>
              </w:rPr>
              <w:t>锡新环发[2025]19号</w:t>
            </w:r>
            <w:r>
              <w:rPr>
                <w:rFonts w:hint="eastAsia" w:cs="Times New Roman"/>
                <w:color w:val="auto"/>
                <w:sz w:val="24"/>
                <w:highlight w:val="none"/>
                <w:lang w:eastAsia="zh-CN"/>
              </w:rPr>
              <w:t>）</w:t>
            </w:r>
            <w:r>
              <w:rPr>
                <w:rFonts w:hint="default" w:ascii="Times New Roman" w:hAnsi="Times New Roman" w:eastAsia="宋体"/>
                <w:color w:val="auto"/>
                <w:sz w:val="24"/>
                <w:highlight w:val="none"/>
              </w:rPr>
              <w:t>的要求。</w:t>
            </w:r>
          </w:p>
        </w:tc>
      </w:tr>
      <w:tr w14:paraId="647AF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3" w:hRule="atLeast"/>
          <w:jc w:val="center"/>
        </w:trPr>
        <w:tc>
          <w:tcPr>
            <w:tcW w:w="493" w:type="dxa"/>
            <w:noWrap w:val="0"/>
            <w:vAlign w:val="center"/>
          </w:tcPr>
          <w:p w14:paraId="6B6DF82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lang w:val="en-US" w:eastAsia="zh-CN"/>
              </w:rPr>
            </w:pPr>
            <w:r>
              <w:rPr>
                <w:rFonts w:hint="eastAsia" w:ascii="Times New Roman" w:hAnsi="Times New Roman" w:eastAsia="宋体"/>
                <w:color w:val="auto"/>
                <w:kern w:val="0"/>
                <w:sz w:val="24"/>
                <w:highlight w:val="none"/>
                <w:lang w:val="en-US" w:eastAsia="zh-CN"/>
              </w:rPr>
              <w:t>其他符合性分析</w:t>
            </w:r>
          </w:p>
        </w:tc>
        <w:tc>
          <w:tcPr>
            <w:tcW w:w="9490" w:type="dxa"/>
            <w:gridSpan w:val="4"/>
            <w:noWrap w:val="0"/>
            <w:vAlign w:val="top"/>
          </w:tcPr>
          <w:p w14:paraId="72181FB3">
            <w:pPr>
              <w:keepNext w:val="0"/>
              <w:keepLines w:val="0"/>
              <w:suppressLineNumbers w:val="0"/>
              <w:autoSpaceDE w:val="0"/>
              <w:autoSpaceDN w:val="0"/>
              <w:adjustRightInd w:val="0"/>
              <w:snapToGrid w:val="0"/>
              <w:spacing w:before="0" w:beforeAutospacing="0" w:after="0" w:afterAutospacing="0" w:line="360" w:lineRule="auto"/>
              <w:ind w:left="0" w:right="0"/>
              <w:jc w:val="left"/>
              <w:rPr>
                <w:rFonts w:hint="eastAsia" w:ascii="Times New Roman" w:hAnsi="Times New Roman" w:eastAsia="宋体"/>
                <w:b/>
                <w:bCs/>
                <w:color w:val="auto"/>
                <w:kern w:val="0"/>
                <w:sz w:val="24"/>
                <w:highlight w:val="none"/>
              </w:rPr>
            </w:pPr>
            <w:r>
              <w:rPr>
                <w:rFonts w:hint="default" w:ascii="Times New Roman" w:hAnsi="Times New Roman" w:eastAsia="宋体"/>
                <w:b/>
                <w:bCs/>
                <w:color w:val="auto"/>
                <w:kern w:val="0"/>
                <w:sz w:val="24"/>
                <w:highlight w:val="none"/>
              </w:rPr>
              <w:t>1、与“三线一单”相符性分析</w:t>
            </w:r>
          </w:p>
          <w:p w14:paraId="2529787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b/>
                <w:bCs/>
                <w:color w:val="auto"/>
                <w:kern w:val="0"/>
                <w:sz w:val="24"/>
                <w:highlight w:val="none"/>
              </w:rPr>
            </w:pPr>
            <w:r>
              <w:rPr>
                <w:rFonts w:hint="default" w:ascii="Times New Roman" w:hAnsi="Times New Roman" w:eastAsia="宋体"/>
                <w:b/>
                <w:bCs/>
                <w:color w:val="auto"/>
                <w:kern w:val="0"/>
                <w:sz w:val="24"/>
                <w:highlight w:val="none"/>
              </w:rPr>
              <w:t>（1）与生态保护红线的相符性</w:t>
            </w:r>
          </w:p>
          <w:p w14:paraId="3B38F62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olor w:val="auto"/>
                <w:sz w:val="24"/>
                <w:highlight w:val="none"/>
              </w:rPr>
            </w:pPr>
            <w:r>
              <w:rPr>
                <w:rFonts w:hint="default" w:ascii="Times New Roman" w:hAnsi="Times New Roman" w:eastAsia="宋体" w:cs="Times New Roman"/>
                <w:color w:val="auto"/>
                <w:sz w:val="24"/>
                <w:highlight w:val="none"/>
              </w:rPr>
              <w:t>本项目位于</w:t>
            </w:r>
            <w:r>
              <w:rPr>
                <w:rFonts w:hint="eastAsia" w:ascii="Times New Roman" w:hAnsi="Times New Roman" w:eastAsia="宋体" w:cs="Times New Roman"/>
                <w:color w:val="auto"/>
                <w:spacing w:val="-4"/>
                <w:sz w:val="24"/>
                <w:highlight w:val="none"/>
                <w:lang w:val="en-US" w:eastAsia="zh-CN"/>
              </w:rPr>
              <w:t>无锡市新吴区观山路</w:t>
            </w:r>
            <w:r>
              <w:rPr>
                <w:rFonts w:hint="default" w:ascii="Times New Roman" w:hAnsi="Times New Roman" w:eastAsia="宋体" w:cs="Times New Roman"/>
                <w:color w:val="auto"/>
                <w:spacing w:val="-4"/>
                <w:sz w:val="24"/>
                <w:highlight w:val="none"/>
                <w:lang w:val="en-US" w:eastAsia="zh-CN"/>
              </w:rPr>
              <w:t>36</w:t>
            </w:r>
            <w:r>
              <w:rPr>
                <w:rFonts w:hint="eastAsia" w:ascii="Times New Roman" w:hAnsi="Times New Roman" w:eastAsia="宋体" w:cs="Times New Roman"/>
                <w:color w:val="auto"/>
                <w:spacing w:val="-4"/>
                <w:sz w:val="24"/>
                <w:highlight w:val="none"/>
                <w:lang w:val="en-US" w:eastAsia="zh-CN"/>
              </w:rPr>
              <w:t>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kern w:val="0"/>
                <w:sz w:val="24"/>
                <w:highlight w:val="none"/>
                <w:lang w:val="zh-CN"/>
              </w:rPr>
              <w:t>《省政府关于印发江苏省国家级生态保护红线规划的通知》（苏政发</w:t>
            </w:r>
            <w:r>
              <w:rPr>
                <w:rFonts w:hint="eastAsia" w:ascii="Times New Roman" w:hAnsi="Times New Roman" w:eastAsia="宋体" w:cs="Times New Roman"/>
                <w:color w:val="auto"/>
                <w:kern w:val="0"/>
                <w:sz w:val="24"/>
                <w:highlight w:val="none"/>
                <w:lang w:val="zh-CN"/>
              </w:rPr>
              <w:t>〔2018〕74号</w:t>
            </w:r>
            <w:r>
              <w:rPr>
                <w:rFonts w:hint="default" w:ascii="Times New Roman" w:hAnsi="Times New Roman" w:eastAsia="宋体" w:cs="Times New Roman"/>
                <w:color w:val="auto"/>
                <w:kern w:val="0"/>
                <w:sz w:val="24"/>
                <w:highlight w:val="none"/>
                <w:lang w:val="zh-CN"/>
              </w:rPr>
              <w:t>）中《江苏省国家级生态保护红线规划》及《省政府关于印发江苏省生态空间管控区域规划的通知》（苏政发</w:t>
            </w:r>
            <w:r>
              <w:rPr>
                <w:rFonts w:hint="eastAsia" w:ascii="Times New Roman" w:hAnsi="Times New Roman" w:eastAsia="宋体" w:cs="Times New Roman"/>
                <w:color w:val="auto"/>
                <w:kern w:val="0"/>
                <w:sz w:val="24"/>
                <w:highlight w:val="none"/>
                <w:lang w:val="zh-CN"/>
              </w:rPr>
              <w:t>〔2020〕1号</w:t>
            </w:r>
            <w:r>
              <w:rPr>
                <w:rFonts w:hint="default" w:ascii="Times New Roman" w:hAnsi="Times New Roman" w:eastAsia="宋体" w:cs="Times New Roman"/>
                <w:color w:val="auto"/>
                <w:kern w:val="0"/>
                <w:sz w:val="24"/>
                <w:highlight w:val="none"/>
                <w:lang w:val="zh-CN"/>
              </w:rPr>
              <w:t>）中《江苏省生态空间管控区域规划》中“无锡市生态空间保护区域名录”</w:t>
            </w:r>
            <w:r>
              <w:rPr>
                <w:rFonts w:hint="eastAsia" w:cs="Times New Roman"/>
                <w:color w:val="auto"/>
                <w:kern w:val="0"/>
                <w:sz w:val="24"/>
                <w:highlight w:val="none"/>
                <w:lang w:val="zh-CN"/>
              </w:rPr>
              <w:t>，</w:t>
            </w:r>
            <w:r>
              <w:rPr>
                <w:rFonts w:hint="eastAsia" w:cs="Times New Roman"/>
                <w:color w:val="auto"/>
                <w:kern w:val="0"/>
                <w:sz w:val="24"/>
                <w:highlight w:val="none"/>
                <w:lang w:val="zh-CN" w:eastAsia="zh-CN"/>
              </w:rPr>
              <w:t>与本项目最近的生态该红线保护目标见下表：</w:t>
            </w:r>
          </w:p>
          <w:p w14:paraId="3ECD6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表1-</w:t>
            </w:r>
            <w:r>
              <w:rPr>
                <w:rFonts w:hint="eastAsia"/>
                <w:b/>
                <w:bCs/>
                <w:color w:val="auto"/>
                <w:sz w:val="24"/>
                <w:highlight w:val="none"/>
                <w:lang w:val="en-US" w:eastAsia="zh-CN"/>
              </w:rPr>
              <w:t xml:space="preserve">2  </w:t>
            </w:r>
            <w:r>
              <w:rPr>
                <w:rFonts w:hint="default" w:ascii="Times New Roman" w:hAnsi="Times New Roman" w:eastAsia="宋体"/>
                <w:b/>
                <w:bCs/>
                <w:color w:val="auto"/>
                <w:sz w:val="24"/>
                <w:highlight w:val="none"/>
              </w:rPr>
              <w:t>重要生态功能区一览表</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74"/>
              <w:gridCol w:w="688"/>
              <w:gridCol w:w="425"/>
              <w:gridCol w:w="1541"/>
              <w:gridCol w:w="2252"/>
              <w:gridCol w:w="824"/>
              <w:gridCol w:w="764"/>
              <w:gridCol w:w="770"/>
              <w:gridCol w:w="757"/>
              <w:gridCol w:w="772"/>
            </w:tblGrid>
            <w:tr w14:paraId="61D2B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trPr>
              <w:tc>
                <w:tcPr>
                  <w:tcW w:w="256" w:type="pct"/>
                  <w:vMerge w:val="restart"/>
                  <w:noWrap w:val="0"/>
                  <w:vAlign w:val="center"/>
                </w:tcPr>
                <w:p w14:paraId="5BA2E33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生态空间保护区域名称</w:t>
                  </w:r>
                </w:p>
              </w:tc>
              <w:tc>
                <w:tcPr>
                  <w:tcW w:w="371" w:type="pct"/>
                  <w:vMerge w:val="restart"/>
                  <w:noWrap w:val="0"/>
                  <w:vAlign w:val="center"/>
                </w:tcPr>
                <w:p w14:paraId="672F94B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县（市、区）</w:t>
                  </w:r>
                </w:p>
              </w:tc>
              <w:tc>
                <w:tcPr>
                  <w:tcW w:w="229" w:type="pct"/>
                  <w:vMerge w:val="restart"/>
                  <w:noWrap w:val="0"/>
                  <w:vAlign w:val="center"/>
                </w:tcPr>
                <w:p w14:paraId="253B5807">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主导生态功能</w:t>
                  </w:r>
                </w:p>
              </w:tc>
              <w:tc>
                <w:tcPr>
                  <w:tcW w:w="2045" w:type="pct"/>
                  <w:gridSpan w:val="2"/>
                  <w:noWrap w:val="0"/>
                  <w:vAlign w:val="center"/>
                </w:tcPr>
                <w:p w14:paraId="364E599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范围</w:t>
                  </w:r>
                </w:p>
              </w:tc>
              <w:tc>
                <w:tcPr>
                  <w:tcW w:w="1271" w:type="pct"/>
                  <w:gridSpan w:val="3"/>
                  <w:noWrap w:val="0"/>
                  <w:vAlign w:val="center"/>
                </w:tcPr>
                <w:p w14:paraId="65E2D6AE">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总面积（平方公里）</w:t>
                  </w:r>
                </w:p>
              </w:tc>
              <w:tc>
                <w:tcPr>
                  <w:tcW w:w="824" w:type="pct"/>
                  <w:gridSpan w:val="2"/>
                  <w:noWrap w:val="0"/>
                  <w:vAlign w:val="center"/>
                </w:tcPr>
                <w:p w14:paraId="450BCC37">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与本项目关系</w:t>
                  </w:r>
                </w:p>
              </w:tc>
            </w:tr>
            <w:tr w14:paraId="44D60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256" w:type="pct"/>
                  <w:vMerge w:val="continue"/>
                  <w:noWrap w:val="0"/>
                  <w:vAlign w:val="center"/>
                </w:tcPr>
                <w:p w14:paraId="0C4A828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71" w:type="pct"/>
                  <w:vMerge w:val="continue"/>
                  <w:noWrap w:val="0"/>
                  <w:vAlign w:val="center"/>
                </w:tcPr>
                <w:p w14:paraId="173337A4">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229" w:type="pct"/>
                  <w:vMerge w:val="continue"/>
                  <w:noWrap w:val="0"/>
                  <w:vAlign w:val="center"/>
                </w:tcPr>
                <w:p w14:paraId="21612EA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831" w:type="pct"/>
                  <w:noWrap w:val="0"/>
                  <w:vAlign w:val="center"/>
                </w:tcPr>
                <w:p w14:paraId="7BF27A4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国家级生态保护红线范围</w:t>
                  </w:r>
                </w:p>
              </w:tc>
              <w:tc>
                <w:tcPr>
                  <w:tcW w:w="1213" w:type="pct"/>
                  <w:noWrap w:val="0"/>
                  <w:vAlign w:val="center"/>
                </w:tcPr>
                <w:p w14:paraId="3C474C0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生态空间管控区域范围</w:t>
                  </w:r>
                </w:p>
              </w:tc>
              <w:tc>
                <w:tcPr>
                  <w:tcW w:w="444" w:type="pct"/>
                  <w:noWrap w:val="0"/>
                  <w:vAlign w:val="center"/>
                </w:tcPr>
                <w:p w14:paraId="0DE60E8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国家级生态保护红线面积</w:t>
                  </w:r>
                </w:p>
              </w:tc>
              <w:tc>
                <w:tcPr>
                  <w:tcW w:w="412" w:type="pct"/>
                  <w:noWrap w:val="0"/>
                  <w:vAlign w:val="center"/>
                </w:tcPr>
                <w:p w14:paraId="3A0B330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生态空间管控区域面积</w:t>
                  </w:r>
                </w:p>
              </w:tc>
              <w:tc>
                <w:tcPr>
                  <w:tcW w:w="414" w:type="pct"/>
                  <w:noWrap w:val="0"/>
                  <w:vAlign w:val="center"/>
                </w:tcPr>
                <w:p w14:paraId="4DBDD0B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总面积</w:t>
                  </w:r>
                </w:p>
              </w:tc>
              <w:tc>
                <w:tcPr>
                  <w:tcW w:w="408" w:type="pct"/>
                  <w:noWrap w:val="0"/>
                  <w:vAlign w:val="center"/>
                </w:tcPr>
                <w:p w14:paraId="16933FA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方位</w:t>
                  </w:r>
                </w:p>
              </w:tc>
              <w:tc>
                <w:tcPr>
                  <w:tcW w:w="416" w:type="pct"/>
                  <w:noWrap w:val="0"/>
                  <w:vAlign w:val="center"/>
                </w:tcPr>
                <w:p w14:paraId="3060D6D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距离（km）</w:t>
                  </w:r>
                </w:p>
              </w:tc>
            </w:tr>
            <w:tr w14:paraId="10969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256" w:type="pct"/>
                  <w:noWrap w:val="0"/>
                  <w:vAlign w:val="center"/>
                </w:tcPr>
                <w:p w14:paraId="5BB3F7CF">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贡湖锡东饮用水水源保护区</w:t>
                  </w:r>
                </w:p>
              </w:tc>
              <w:tc>
                <w:tcPr>
                  <w:tcW w:w="371" w:type="pct"/>
                  <w:noWrap w:val="0"/>
                  <w:vAlign w:val="center"/>
                </w:tcPr>
                <w:p w14:paraId="5F183664">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无锡市区</w:t>
                  </w:r>
                </w:p>
              </w:tc>
              <w:tc>
                <w:tcPr>
                  <w:tcW w:w="229" w:type="pct"/>
                  <w:noWrap w:val="0"/>
                  <w:vAlign w:val="center"/>
                </w:tcPr>
                <w:p w14:paraId="4C09363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水源水质保护</w:t>
                  </w:r>
                </w:p>
              </w:tc>
              <w:tc>
                <w:tcPr>
                  <w:tcW w:w="831" w:type="pct"/>
                  <w:noWrap w:val="0"/>
                  <w:vAlign w:val="center"/>
                </w:tcPr>
                <w:p w14:paraId="1825AA61">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一级保护区：以取水口为中心，半径500米以内的区域。二级保护区：一级保护区外、外延2500米范围的水域和东至望虞河、西至许仙港、环太湖高速公路以南的陆域</w:t>
                  </w:r>
                </w:p>
              </w:tc>
              <w:tc>
                <w:tcPr>
                  <w:tcW w:w="1213" w:type="pct"/>
                  <w:noWrap w:val="0"/>
                  <w:vAlign w:val="center"/>
                </w:tcPr>
                <w:p w14:paraId="7E30BB80">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w:t>
                  </w:r>
                </w:p>
              </w:tc>
              <w:tc>
                <w:tcPr>
                  <w:tcW w:w="444" w:type="pct"/>
                  <w:noWrap w:val="0"/>
                  <w:vAlign w:val="center"/>
                </w:tcPr>
                <w:p w14:paraId="58AD1E55">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21.45</w:t>
                  </w:r>
                </w:p>
              </w:tc>
              <w:tc>
                <w:tcPr>
                  <w:tcW w:w="412" w:type="pct"/>
                  <w:noWrap w:val="0"/>
                  <w:vAlign w:val="center"/>
                </w:tcPr>
                <w:p w14:paraId="45619DF0">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414" w:type="pct"/>
                  <w:noWrap w:val="0"/>
                  <w:vAlign w:val="center"/>
                </w:tcPr>
                <w:p w14:paraId="4AB8188F">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21.45</w:t>
                  </w:r>
                </w:p>
              </w:tc>
              <w:tc>
                <w:tcPr>
                  <w:tcW w:w="408" w:type="pct"/>
                  <w:noWrap w:val="0"/>
                  <w:vAlign w:val="center"/>
                </w:tcPr>
                <w:p w14:paraId="07DCD52C">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SW</w:t>
                  </w:r>
                </w:p>
              </w:tc>
              <w:tc>
                <w:tcPr>
                  <w:tcW w:w="416" w:type="pct"/>
                  <w:noWrap w:val="0"/>
                  <w:vAlign w:val="center"/>
                </w:tcPr>
                <w:p w14:paraId="1D37AD90">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14:paraId="4CD0C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256" w:type="pct"/>
                  <w:noWrap w:val="0"/>
                  <w:vAlign w:val="center"/>
                </w:tcPr>
                <w:p w14:paraId="55A7A1E0">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太湖（无锡市区）重要保护区</w:t>
                  </w:r>
                </w:p>
              </w:tc>
              <w:tc>
                <w:tcPr>
                  <w:tcW w:w="371" w:type="pct"/>
                  <w:noWrap w:val="0"/>
                  <w:vAlign w:val="center"/>
                </w:tcPr>
                <w:p w14:paraId="6C60AE3E">
                  <w:pPr>
                    <w:pStyle w:val="16"/>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无锡市区</w:t>
                  </w:r>
                </w:p>
              </w:tc>
              <w:tc>
                <w:tcPr>
                  <w:tcW w:w="229" w:type="pct"/>
                  <w:noWrap w:val="0"/>
                  <w:vAlign w:val="center"/>
                </w:tcPr>
                <w:p w14:paraId="140C68A2">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湿地生态系统保护</w:t>
                  </w:r>
                </w:p>
              </w:tc>
              <w:tc>
                <w:tcPr>
                  <w:tcW w:w="831" w:type="pct"/>
                  <w:noWrap w:val="0"/>
                  <w:vAlign w:val="center"/>
                </w:tcPr>
                <w:p w14:paraId="79083FC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1213" w:type="pct"/>
                  <w:noWrap w:val="0"/>
                  <w:vAlign w:val="center"/>
                </w:tcPr>
                <w:p w14:paraId="46193F3F">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湖沙渚饮用水水源地和锡东饮用水水源地一级保护区水域，以及太湖湖体和湖岸。湖体为无锡市区太湖湖体范围和蠡湖宝界桥以西部分湖体范围。湖岸部分包括贡湖湾环太湖高速、干城路、南湖路、缘溪道以南部分区域，梅梁湖望湖路、锦园路、梁湖路、环湖路以南部分区域，马山东半山、西半山和燕山山体及东侧、南侧、西侧沿湖岸线，还包括莲花山、华藏山、鸡笼山、月台山、横山等连绵地区山体，鼋头渚、笔架山、石塘山、龙王山、军嶂山、南象山等连绵山体，横山山体，雪浪山山体</w:t>
                  </w:r>
                </w:p>
              </w:tc>
              <w:tc>
                <w:tcPr>
                  <w:tcW w:w="444" w:type="pct"/>
                  <w:noWrap w:val="0"/>
                  <w:vAlign w:val="center"/>
                </w:tcPr>
                <w:p w14:paraId="6A00BB21">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412" w:type="pct"/>
                  <w:noWrap w:val="0"/>
                  <w:vAlign w:val="center"/>
                </w:tcPr>
                <w:p w14:paraId="7904643F">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429.47</w:t>
                  </w:r>
                </w:p>
              </w:tc>
              <w:tc>
                <w:tcPr>
                  <w:tcW w:w="414" w:type="pct"/>
                  <w:noWrap w:val="0"/>
                  <w:vAlign w:val="center"/>
                </w:tcPr>
                <w:p w14:paraId="1AE51772">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429.47</w:t>
                  </w:r>
                </w:p>
              </w:tc>
              <w:tc>
                <w:tcPr>
                  <w:tcW w:w="408" w:type="pct"/>
                  <w:noWrap w:val="0"/>
                  <w:vAlign w:val="center"/>
                </w:tcPr>
                <w:p w14:paraId="7579AAB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416" w:type="pct"/>
                  <w:noWrap w:val="0"/>
                  <w:vAlign w:val="center"/>
                </w:tcPr>
                <w:p w14:paraId="43BFEAD6">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14:paraId="5C530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trPr>
              <w:tc>
                <w:tcPr>
                  <w:tcW w:w="256" w:type="pct"/>
                  <w:noWrap w:val="0"/>
                  <w:vAlign w:val="center"/>
                </w:tcPr>
                <w:p w14:paraId="53A30D65">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无锡太湖大溪港省级湿地公园</w:t>
                  </w:r>
                </w:p>
              </w:tc>
              <w:tc>
                <w:tcPr>
                  <w:tcW w:w="371" w:type="pct"/>
                  <w:noWrap w:val="0"/>
                  <w:vAlign w:val="center"/>
                </w:tcPr>
                <w:p w14:paraId="0AEE71E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无锡市区</w:t>
                  </w:r>
                </w:p>
              </w:tc>
              <w:tc>
                <w:tcPr>
                  <w:tcW w:w="229" w:type="pct"/>
                  <w:noWrap w:val="0"/>
                  <w:vAlign w:val="center"/>
                </w:tcPr>
                <w:p w14:paraId="2BD4B9A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湿地生态系统保护</w:t>
                  </w:r>
                </w:p>
              </w:tc>
              <w:tc>
                <w:tcPr>
                  <w:tcW w:w="831" w:type="pct"/>
                  <w:noWrap w:val="0"/>
                  <w:vAlign w:val="center"/>
                </w:tcPr>
                <w:p w14:paraId="41D07664">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无锡太湖大溪港省级湿地公园总体规划中确定的范围（包括湿地保育区和恢复重建区等）</w:t>
                  </w:r>
                </w:p>
              </w:tc>
              <w:tc>
                <w:tcPr>
                  <w:tcW w:w="1213" w:type="pct"/>
                  <w:noWrap w:val="0"/>
                  <w:vAlign w:val="center"/>
                </w:tcPr>
                <w:p w14:paraId="3C3D400C">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无锡太湖大溪港省级湿地公园总体规划中除湿地保育区和恢复重建区外的范围</w:t>
                  </w:r>
                </w:p>
              </w:tc>
              <w:tc>
                <w:tcPr>
                  <w:tcW w:w="444" w:type="pct"/>
                  <w:noWrap w:val="0"/>
                  <w:vAlign w:val="center"/>
                </w:tcPr>
                <w:p w14:paraId="068DED1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3.33</w:t>
                  </w:r>
                </w:p>
              </w:tc>
              <w:tc>
                <w:tcPr>
                  <w:tcW w:w="412" w:type="pct"/>
                  <w:noWrap w:val="0"/>
                  <w:vAlign w:val="center"/>
                </w:tcPr>
                <w:p w14:paraId="485100A2">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0.48</w:t>
                  </w:r>
                </w:p>
              </w:tc>
              <w:tc>
                <w:tcPr>
                  <w:tcW w:w="414" w:type="pct"/>
                  <w:noWrap w:val="0"/>
                  <w:vAlign w:val="center"/>
                </w:tcPr>
                <w:p w14:paraId="37904DEA">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3.81</w:t>
                  </w:r>
                </w:p>
              </w:tc>
              <w:tc>
                <w:tcPr>
                  <w:tcW w:w="408" w:type="pct"/>
                  <w:noWrap w:val="0"/>
                  <w:vAlign w:val="center"/>
                </w:tcPr>
                <w:p w14:paraId="1AD55284">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416" w:type="pct"/>
                  <w:noWrap w:val="0"/>
                  <w:vAlign w:val="center"/>
                </w:tcPr>
                <w:p w14:paraId="781B400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w:t>
                  </w:r>
                </w:p>
              </w:tc>
            </w:tr>
          </w:tbl>
          <w:p w14:paraId="018DDCE6">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80" w:firstLineChars="200"/>
              <w:jc w:val="left"/>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因此，项目选址符合《江苏省国家级生态保护红线规划》、</w:t>
            </w:r>
            <w:r>
              <w:rPr>
                <w:rFonts w:hint="default" w:ascii="Times New Roman" w:hAnsi="Times New Roman" w:eastAsia="宋体"/>
                <w:color w:val="auto"/>
                <w:kern w:val="0"/>
                <w:sz w:val="24"/>
                <w:highlight w:val="none"/>
                <w:lang w:val="zh-CN"/>
              </w:rPr>
              <w:t>《江苏省生态空间管控区域规划》</w:t>
            </w:r>
            <w:r>
              <w:rPr>
                <w:rFonts w:hint="default" w:ascii="Times New Roman" w:hAnsi="Times New Roman" w:eastAsia="宋体"/>
                <w:color w:val="auto"/>
                <w:sz w:val="24"/>
                <w:highlight w:val="none"/>
              </w:rPr>
              <w:t>的要求。</w:t>
            </w:r>
          </w:p>
          <w:p w14:paraId="2F4C5F7F">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（2）与《无锡市2024年度生态环境分区管控动态更新成果公告》的相符性</w:t>
            </w:r>
          </w:p>
          <w:p w14:paraId="213354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snapToGrid w:val="0"/>
                <w:color w:val="auto"/>
                <w:kern w:val="0"/>
                <w:sz w:val="24"/>
                <w:highlight w:val="none"/>
              </w:rPr>
              <w:t>根据</w:t>
            </w:r>
            <w:r>
              <w:rPr>
                <w:rFonts w:hint="eastAsia" w:ascii="Times New Roman" w:hAnsi="Times New Roman" w:cs="Times New Roman"/>
                <w:b w:val="0"/>
                <w:bCs w:val="0"/>
                <w:color w:val="auto"/>
                <w:kern w:val="0"/>
                <w:sz w:val="24"/>
                <w:highlight w:val="none"/>
                <w:lang w:eastAsia="zh-CN"/>
              </w:rPr>
              <w:t>《无锡市2024年度生态环境分区管控动态更新成果公告》</w:t>
            </w:r>
            <w:r>
              <w:rPr>
                <w:rFonts w:hint="default" w:ascii="Times New Roman" w:hAnsi="Times New Roman" w:cs="Times New Roman"/>
                <w:b w:val="0"/>
                <w:bCs w:val="0"/>
                <w:snapToGrid w:val="0"/>
                <w:color w:val="auto"/>
                <w:kern w:val="0"/>
                <w:sz w:val="24"/>
                <w:highlight w:val="none"/>
              </w:rPr>
              <w:t>，</w:t>
            </w:r>
            <w:r>
              <w:rPr>
                <w:rFonts w:hint="default" w:ascii="Times New Roman" w:hAnsi="Times New Roman" w:cs="Times New Roman"/>
                <w:snapToGrid w:val="0"/>
                <w:color w:val="auto"/>
                <w:kern w:val="0"/>
                <w:sz w:val="24"/>
                <w:highlight w:val="none"/>
              </w:rPr>
              <w:t>无锡市共划定环境管控单元</w:t>
            </w:r>
            <w:r>
              <w:rPr>
                <w:rFonts w:hint="eastAsia" w:cs="Times New Roman"/>
                <w:snapToGrid w:val="0"/>
                <w:color w:val="auto"/>
                <w:kern w:val="0"/>
                <w:sz w:val="24"/>
                <w:highlight w:val="none"/>
                <w:lang w:val="en-US" w:eastAsia="zh-CN"/>
              </w:rPr>
              <w:t>241</w:t>
            </w:r>
            <w:r>
              <w:rPr>
                <w:rFonts w:hint="default" w:ascii="Times New Roman" w:hAnsi="Times New Roman" w:cs="Times New Roman"/>
                <w:snapToGrid w:val="0"/>
                <w:color w:val="auto"/>
                <w:kern w:val="0"/>
                <w:sz w:val="24"/>
                <w:highlight w:val="none"/>
              </w:rPr>
              <w:t>个，</w:t>
            </w:r>
            <w:r>
              <w:rPr>
                <w:rFonts w:hint="eastAsia" w:ascii="Times New Roman" w:hAnsi="Times New Roman" w:cs="Times New Roman"/>
                <w:snapToGrid w:val="0"/>
                <w:color w:val="auto"/>
                <w:kern w:val="0"/>
                <w:sz w:val="24"/>
                <w:highlight w:val="none"/>
                <w:lang w:val="en-US" w:eastAsia="zh-CN"/>
              </w:rPr>
              <w:t>包括</w:t>
            </w:r>
            <w:r>
              <w:rPr>
                <w:rFonts w:hint="default" w:ascii="Times New Roman" w:hAnsi="Times New Roman" w:cs="Times New Roman"/>
                <w:snapToGrid w:val="0"/>
                <w:color w:val="auto"/>
                <w:kern w:val="0"/>
                <w:sz w:val="24"/>
                <w:highlight w:val="none"/>
              </w:rPr>
              <w:t>优先保护单元</w:t>
            </w:r>
            <w:r>
              <w:rPr>
                <w:rFonts w:hint="eastAsia" w:ascii="Times New Roman" w:hAnsi="Times New Roman" w:cs="Times New Roman"/>
                <w:snapToGrid w:val="0"/>
                <w:color w:val="auto"/>
                <w:kern w:val="0"/>
                <w:sz w:val="24"/>
                <w:highlight w:val="none"/>
                <w:lang w:val="en-US" w:eastAsia="zh-CN"/>
              </w:rPr>
              <w:t>99</w:t>
            </w:r>
            <w:r>
              <w:rPr>
                <w:rFonts w:hint="default" w:ascii="Times New Roman" w:hAnsi="Times New Roman" w:cs="Times New Roman"/>
                <w:snapToGrid w:val="0"/>
                <w:color w:val="auto"/>
                <w:kern w:val="0"/>
                <w:sz w:val="24"/>
                <w:highlight w:val="none"/>
              </w:rPr>
              <w:t>个、重点管控单元</w:t>
            </w:r>
            <w:r>
              <w:rPr>
                <w:rFonts w:hint="eastAsia" w:cs="Times New Roman"/>
                <w:snapToGrid w:val="0"/>
                <w:color w:val="auto"/>
                <w:kern w:val="0"/>
                <w:sz w:val="24"/>
                <w:highlight w:val="none"/>
                <w:lang w:val="en-US" w:eastAsia="zh-CN"/>
              </w:rPr>
              <w:t>90</w:t>
            </w:r>
            <w:r>
              <w:rPr>
                <w:rFonts w:hint="eastAsia" w:ascii="Times New Roman" w:hAnsi="Times New Roman" w:cs="Times New Roman"/>
                <w:snapToGrid w:val="0"/>
                <w:color w:val="auto"/>
                <w:kern w:val="0"/>
                <w:sz w:val="24"/>
                <w:highlight w:val="none"/>
                <w:lang w:val="en-US" w:eastAsia="zh-CN"/>
              </w:rPr>
              <w:t>个</w:t>
            </w:r>
            <w:r>
              <w:rPr>
                <w:rFonts w:hint="default" w:ascii="Times New Roman" w:hAnsi="Times New Roman" w:cs="Times New Roman"/>
                <w:snapToGrid w:val="0"/>
                <w:color w:val="auto"/>
                <w:kern w:val="0"/>
                <w:sz w:val="24"/>
                <w:highlight w:val="none"/>
              </w:rPr>
              <w:t>和一般管控单元</w:t>
            </w:r>
            <w:r>
              <w:rPr>
                <w:rFonts w:hint="eastAsia" w:cs="Times New Roman"/>
                <w:snapToGrid w:val="0"/>
                <w:color w:val="auto"/>
                <w:kern w:val="0"/>
                <w:sz w:val="24"/>
                <w:highlight w:val="none"/>
                <w:lang w:val="en-US" w:eastAsia="zh-CN"/>
              </w:rPr>
              <w:t>52</w:t>
            </w:r>
            <w:r>
              <w:rPr>
                <w:rFonts w:hint="eastAsia" w:ascii="Times New Roman" w:hAnsi="Times New Roman" w:cs="Times New Roman"/>
                <w:snapToGrid w:val="0"/>
                <w:color w:val="auto"/>
                <w:kern w:val="0"/>
                <w:sz w:val="24"/>
                <w:highlight w:val="none"/>
                <w:lang w:val="en-US" w:eastAsia="zh-CN"/>
              </w:rPr>
              <w:t>个</w:t>
            </w:r>
            <w:r>
              <w:rPr>
                <w:rFonts w:hint="default" w:ascii="Times New Roman" w:hAnsi="Times New Roman" w:cs="Times New Roman"/>
                <w:snapToGrid w:val="0"/>
                <w:color w:val="auto"/>
                <w:kern w:val="0"/>
                <w:sz w:val="24"/>
                <w:highlight w:val="none"/>
              </w:rPr>
              <w:t>，实施分类管控。</w:t>
            </w:r>
            <w:r>
              <w:rPr>
                <w:rFonts w:hint="default" w:ascii="Times New Roman" w:hAnsi="Times New Roman" w:eastAsia="宋体" w:cs="Times New Roman"/>
                <w:color w:val="auto"/>
                <w:kern w:val="0"/>
                <w:sz w:val="24"/>
                <w:szCs w:val="24"/>
                <w:highlight w:val="none"/>
                <w:lang w:val="en-US" w:eastAsia="zh-CN" w:bidi="ar-SA"/>
              </w:rPr>
              <w:t>本项目位于</w:t>
            </w:r>
            <w:r>
              <w:rPr>
                <w:rFonts w:hint="eastAsia" w:ascii="Times New Roman" w:hAnsi="Times New Roman" w:eastAsia="宋体" w:cs="Times New Roman"/>
                <w:color w:val="auto"/>
                <w:kern w:val="0"/>
                <w:sz w:val="24"/>
                <w:szCs w:val="24"/>
                <w:highlight w:val="none"/>
                <w:lang w:val="en-US" w:eastAsia="zh-CN" w:bidi="ar-SA"/>
              </w:rPr>
              <w:t>无锡市新吴区观山路36号</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olor w:val="auto"/>
                <w:sz w:val="24"/>
                <w:highlight w:val="none"/>
                <w:lang w:val="en-US" w:eastAsia="zh-CN"/>
              </w:rPr>
              <w:t>根据《江苏省生态环境分区管控综合查询报告书》（报告编号：2025522135118），本项目</w:t>
            </w:r>
            <w:r>
              <w:rPr>
                <w:rFonts w:hint="default" w:ascii="Times New Roman" w:hAnsi="Times New Roman" w:eastAsia="宋体"/>
                <w:color w:val="auto"/>
                <w:sz w:val="24"/>
                <w:szCs w:val="24"/>
                <w:highlight w:val="none"/>
              </w:rPr>
              <w:t>位于</w:t>
            </w:r>
            <w:r>
              <w:rPr>
                <w:rFonts w:hint="eastAsia" w:ascii="Times New Roman" w:hAnsi="Times New Roman" w:eastAsia="宋体"/>
                <w:color w:val="auto"/>
                <w:sz w:val="24"/>
                <w:highlight w:val="none"/>
                <w:lang w:val="en-US" w:eastAsia="zh-CN"/>
              </w:rPr>
              <w:t>无锡市中心城区（新吴区）</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环境管控单元编码：ZH32021420160</w:t>
            </w:r>
            <w:r>
              <w:rPr>
                <w:rFonts w:hint="eastAsia" w:ascii="Times New Roman" w:hAnsi="Times New Roman" w:eastAsia="宋体"/>
                <w:color w:val="auto"/>
                <w:sz w:val="24"/>
                <w:highlight w:val="none"/>
                <w:lang w:eastAsia="zh-CN"/>
              </w:rPr>
              <w:t>）</w:t>
            </w:r>
            <w:r>
              <w:rPr>
                <w:rFonts w:hint="eastAsia" w:ascii="Times New Roman" w:hAnsi="Times New Roman" w:eastAsia="宋体" w:cs="Times New Roman"/>
                <w:color w:val="auto"/>
                <w:kern w:val="0"/>
                <w:sz w:val="24"/>
                <w:szCs w:val="24"/>
                <w:highlight w:val="none"/>
                <w:lang w:val="en-US" w:eastAsia="zh-CN" w:bidi="ar-SA"/>
              </w:rPr>
              <w:t>，属于</w:t>
            </w:r>
            <w:r>
              <w:rPr>
                <w:rFonts w:hint="default" w:ascii="Times New Roman" w:hAnsi="Times New Roman" w:eastAsia="宋体"/>
                <w:color w:val="auto"/>
                <w:sz w:val="24"/>
                <w:highlight w:val="none"/>
              </w:rPr>
              <w:t>重点管控单元</w:t>
            </w:r>
            <w:r>
              <w:rPr>
                <w:rFonts w:hint="eastAsia" w:ascii="Times New Roman" w:hAnsi="Times New Roman" w:eastAsia="宋体" w:cs="Times New Roman"/>
                <w:color w:val="auto"/>
                <w:kern w:val="0"/>
                <w:sz w:val="24"/>
                <w:szCs w:val="24"/>
                <w:highlight w:val="none"/>
                <w:lang w:val="en-US" w:eastAsia="zh-CN" w:bidi="ar-SA"/>
              </w:rPr>
              <w:t>（见</w:t>
            </w:r>
            <w:r>
              <w:rPr>
                <w:rFonts w:hint="eastAsia" w:cs="Times New Roman"/>
                <w:color w:val="auto"/>
                <w:kern w:val="0"/>
                <w:sz w:val="24"/>
                <w:szCs w:val="24"/>
                <w:highlight w:val="none"/>
                <w:lang w:val="en-US" w:eastAsia="zh-CN" w:bidi="ar-SA"/>
              </w:rPr>
              <w:t>附件16</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，本项目与所在环境管控单元生态环境准入清单相符性见</w:t>
            </w:r>
            <w:r>
              <w:rPr>
                <w:rFonts w:hint="eastAsia" w:ascii="Times New Roman" w:hAnsi="Times New Roman" w:eastAsia="宋体" w:cs="Times New Roman"/>
                <w:color w:val="auto"/>
                <w:kern w:val="0"/>
                <w:sz w:val="24"/>
                <w:szCs w:val="24"/>
                <w:highlight w:val="none"/>
                <w:lang w:val="en-US" w:eastAsia="zh-CN" w:bidi="ar-SA"/>
              </w:rPr>
              <w:t>下表</w:t>
            </w:r>
            <w:r>
              <w:rPr>
                <w:rFonts w:hint="default" w:ascii="Times New Roman" w:hAnsi="Times New Roman" w:eastAsia="宋体" w:cs="Times New Roman"/>
                <w:color w:val="auto"/>
                <w:kern w:val="0"/>
                <w:sz w:val="24"/>
                <w:szCs w:val="24"/>
                <w:highlight w:val="none"/>
                <w:lang w:val="en-US" w:eastAsia="zh-CN" w:bidi="ar-SA"/>
              </w:rPr>
              <w:t>。</w:t>
            </w:r>
          </w:p>
          <w:p w14:paraId="67120817">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eastAsia" w:ascii="Times New Roman" w:hAnsi="Times New Roman" w:eastAsia="宋体" w:cs="Times New Roman"/>
                <w:b/>
                <w:bCs/>
                <w:color w:val="auto"/>
                <w:sz w:val="24"/>
                <w:highlight w:val="none"/>
                <w:lang w:eastAsia="zh-CN"/>
              </w:rPr>
            </w:pPr>
            <w:r>
              <w:rPr>
                <w:rFonts w:hint="default" w:ascii="Times New Roman" w:hAnsi="Times New Roman" w:eastAsia="宋体" w:cs="宋体"/>
                <w:b/>
                <w:bCs/>
                <w:color w:val="auto"/>
                <w:kern w:val="2"/>
                <w:sz w:val="24"/>
                <w:szCs w:val="24"/>
                <w:highlight w:val="none"/>
                <w:lang w:val="en-US" w:eastAsia="zh-CN" w:bidi="ar-SA"/>
              </w:rPr>
              <w:t>表1-</w:t>
            </w:r>
            <w:r>
              <w:rPr>
                <w:rFonts w:hint="eastAsia" w:cs="宋体"/>
                <w:b/>
                <w:bCs/>
                <w:color w:val="auto"/>
                <w:kern w:val="2"/>
                <w:sz w:val="24"/>
                <w:szCs w:val="24"/>
                <w:highlight w:val="none"/>
                <w:lang w:val="en-US" w:eastAsia="zh-CN" w:bidi="ar-SA"/>
              </w:rPr>
              <w:t>3</w:t>
            </w:r>
            <w:r>
              <w:rPr>
                <w:rFonts w:hint="eastAsia" w:ascii="Times New Roman" w:hAnsi="Times New Roman" w:eastAsia="宋体" w:cs="宋体"/>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eastAsia="zh-CN"/>
              </w:rPr>
              <w:t>项目与无锡市中心城区（新吴区）环境管控单元准入清单相符性分析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21"/>
              <w:gridCol w:w="748"/>
              <w:gridCol w:w="3381"/>
              <w:gridCol w:w="3329"/>
              <w:gridCol w:w="995"/>
            </w:tblGrid>
            <w:tr w14:paraId="6A250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noWrap w:val="0"/>
                  <w:vAlign w:val="center"/>
                </w:tcPr>
                <w:p w14:paraId="2C1326D2">
                  <w:pPr>
                    <w:keepNext w:val="0"/>
                    <w:keepLines w:val="0"/>
                    <w:suppressLineNumbers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环境管控单元名称</w:t>
                  </w:r>
                </w:p>
              </w:tc>
              <w:tc>
                <w:tcPr>
                  <w:tcW w:w="2225" w:type="pct"/>
                  <w:gridSpan w:val="2"/>
                  <w:noWrap w:val="0"/>
                  <w:vAlign w:val="center"/>
                </w:tcPr>
                <w:p w14:paraId="55E06232">
                  <w:pPr>
                    <w:keepNext w:val="0"/>
                    <w:keepLines w:val="0"/>
                    <w:suppressLineNumbers w:val="0"/>
                    <w:spacing w:before="0" w:beforeAutospacing="0" w:after="0" w:afterAutospacing="0"/>
                    <w:ind w:left="0" w:right="0"/>
                    <w:jc w:val="center"/>
                    <w:rPr>
                      <w:rFonts w:hint="eastAsia" w:ascii="Times New Roman" w:hAnsi="Times New Roman" w:eastAsia="宋体"/>
                      <w:b/>
                      <w:bCs/>
                      <w:color w:val="auto"/>
                      <w:szCs w:val="21"/>
                      <w:highlight w:val="none"/>
                      <w:lang w:eastAsia="zh-CN"/>
                    </w:rPr>
                  </w:pPr>
                  <w:r>
                    <w:rPr>
                      <w:rFonts w:hint="eastAsia" w:ascii="Times New Roman" w:hAnsi="Times New Roman" w:eastAsia="宋体"/>
                      <w:b/>
                      <w:bCs/>
                      <w:color w:val="auto"/>
                      <w:szCs w:val="21"/>
                      <w:highlight w:val="none"/>
                      <w:lang w:eastAsia="zh-CN"/>
                    </w:rPr>
                    <w:t>管控要求</w:t>
                  </w:r>
                </w:p>
              </w:tc>
              <w:tc>
                <w:tcPr>
                  <w:tcW w:w="1794" w:type="pct"/>
                  <w:noWrap w:val="0"/>
                  <w:vAlign w:val="center"/>
                </w:tcPr>
                <w:p w14:paraId="01E612F1">
                  <w:pPr>
                    <w:keepNext w:val="0"/>
                    <w:keepLines w:val="0"/>
                    <w:suppressLineNumbers w:val="0"/>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本项目相符性分析</w:t>
                  </w:r>
                </w:p>
              </w:tc>
              <w:tc>
                <w:tcPr>
                  <w:tcW w:w="536" w:type="pct"/>
                  <w:noWrap w:val="0"/>
                  <w:vAlign w:val="center"/>
                </w:tcPr>
                <w:p w14:paraId="4C689AD3">
                  <w:pPr>
                    <w:keepNext w:val="0"/>
                    <w:keepLines w:val="0"/>
                    <w:suppressLineNumbers w:val="0"/>
                    <w:spacing w:before="0" w:beforeAutospacing="0" w:after="0" w:afterAutospacing="0"/>
                    <w:ind w:left="0" w:right="0"/>
                    <w:jc w:val="center"/>
                    <w:rPr>
                      <w:rFonts w:hint="eastAsia"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是否相符</w:t>
                  </w:r>
                </w:p>
              </w:tc>
            </w:tr>
            <w:tr w14:paraId="23A25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restart"/>
                  <w:noWrap w:val="0"/>
                  <w:vAlign w:val="center"/>
                </w:tcPr>
                <w:p w14:paraId="2720AAA5">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lang w:val="en-US" w:eastAsia="zh-CN"/>
                    </w:rPr>
                    <w:t>无锡市中心城区（新吴区）</w:t>
                  </w:r>
                </w:p>
              </w:tc>
              <w:tc>
                <w:tcPr>
                  <w:tcW w:w="403" w:type="pct"/>
                  <w:noWrap w:val="0"/>
                  <w:vAlign w:val="center"/>
                </w:tcPr>
                <w:p w14:paraId="514A378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空间布局约束</w:t>
                  </w:r>
                </w:p>
              </w:tc>
              <w:tc>
                <w:tcPr>
                  <w:tcW w:w="1822" w:type="pct"/>
                  <w:noWrap w:val="0"/>
                  <w:vAlign w:val="center"/>
                </w:tcPr>
                <w:p w14:paraId="67B86A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（1）各类开发建设活动应符合无锡市国土空间总体规划、控制性详细规划等相关要求。</w:t>
                  </w:r>
                </w:p>
                <w:p w14:paraId="19386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rPr>
                    <w:t>（2）禁止引进列入《无锡市产业结构调整指导目录》（锡政办发〔2008〕6号）禁止淘汰类的产业。</w:t>
                  </w:r>
                </w:p>
              </w:tc>
              <w:tc>
                <w:tcPr>
                  <w:tcW w:w="1794" w:type="pct"/>
                  <w:noWrap w:val="0"/>
                  <w:vAlign w:val="center"/>
                </w:tcPr>
                <w:p w14:paraId="3B79D305">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本项目位于</w:t>
                  </w:r>
                  <w:r>
                    <w:rPr>
                      <w:rFonts w:hint="eastAsia" w:ascii="Times New Roman" w:hAnsi="Times New Roman" w:eastAsia="宋体" w:cs="Times New Roman"/>
                      <w:color w:val="auto"/>
                      <w:sz w:val="21"/>
                      <w:szCs w:val="21"/>
                      <w:highlight w:val="none"/>
                      <w:lang w:val="en-US" w:eastAsia="zh-CN"/>
                    </w:rPr>
                    <w:t>无锡市新吴区观山路36号</w:t>
                  </w:r>
                  <w:r>
                    <w:rPr>
                      <w:rFonts w:hint="eastAsia" w:ascii="Times New Roman" w:hAnsi="Times New Roman" w:eastAsia="宋体" w:cs="Times New Roman"/>
                      <w:color w:val="auto"/>
                      <w:sz w:val="21"/>
                      <w:szCs w:val="21"/>
                      <w:highlight w:val="none"/>
                    </w:rPr>
                    <w:t>，属于无锡（太湖）国际科技园，本项目所在区域</w:t>
                  </w:r>
                  <w:r>
                    <w:rPr>
                      <w:rFonts w:hint="eastAsia" w:cs="Times New Roman"/>
                      <w:color w:val="auto"/>
                      <w:sz w:val="21"/>
                      <w:szCs w:val="21"/>
                      <w:highlight w:val="none"/>
                      <w:lang w:val="en-US" w:eastAsia="zh-CN"/>
                    </w:rPr>
                    <w:t>用地性质为“</w:t>
                  </w:r>
                  <w:r>
                    <w:rPr>
                      <w:rFonts w:hint="eastAsia"/>
                      <w:color w:val="auto"/>
                      <w:highlight w:val="none"/>
                      <w:lang w:val="en-US" w:eastAsia="zh-CN"/>
                    </w:rPr>
                    <w:t>生产研发用地+科研设计用地</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w:t>
                  </w:r>
                  <w:r>
                    <w:rPr>
                      <w:rFonts w:hint="eastAsia"/>
                      <w:color w:val="auto"/>
                      <w:sz w:val="21"/>
                      <w:szCs w:val="21"/>
                      <w:highlight w:val="none"/>
                      <w:lang w:val="en-US" w:eastAsia="zh-CN"/>
                    </w:rPr>
                    <w:t>企业主要针对隐形矫治器进行研发生产，</w:t>
                  </w:r>
                  <w:r>
                    <w:rPr>
                      <w:rFonts w:hint="eastAsia" w:ascii="Times New Roman" w:hAnsi="Times New Roman" w:eastAsia="宋体" w:cs="Times New Roman"/>
                      <w:color w:val="auto"/>
                      <w:sz w:val="21"/>
                      <w:szCs w:val="21"/>
                      <w:highlight w:val="none"/>
                    </w:rPr>
                    <w:t>符合项目所在地规划</w:t>
                  </w:r>
                  <w:r>
                    <w:rPr>
                      <w:rFonts w:hint="eastAsia" w:ascii="Times New Roman" w:hAnsi="Times New Roman" w:eastAsia="宋体" w:cs="Times New Roman"/>
                      <w:color w:val="auto"/>
                      <w:sz w:val="21"/>
                      <w:szCs w:val="21"/>
                      <w:highlight w:val="none"/>
                      <w:lang w:eastAsia="zh-CN"/>
                    </w:rPr>
                    <w:t>。</w:t>
                  </w:r>
                </w:p>
                <w:p w14:paraId="4CB3EE03">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rPr>
                    <w:t>属于《无锡市产业结构调整指导目录》（锡政办发〔2008〕6号）</w:t>
                  </w:r>
                  <w:r>
                    <w:rPr>
                      <w:rFonts w:hint="eastAsia" w:ascii="Times New Roman" w:hAnsi="Times New Roman" w:eastAsia="宋体" w:cs="Times New Roman"/>
                      <w:color w:val="auto"/>
                      <w:sz w:val="21"/>
                      <w:szCs w:val="21"/>
                      <w:highlight w:val="none"/>
                      <w:lang w:val="en-US" w:eastAsia="zh-CN"/>
                    </w:rPr>
                    <w:t>中的</w:t>
                  </w:r>
                  <w:r>
                    <w:rPr>
                      <w:rFonts w:hint="default" w:ascii="Times New Roman" w:hAnsi="Times New Roman" w:eastAsia="宋体" w:cs="Times New Roman"/>
                      <w:color w:val="auto"/>
                      <w:sz w:val="21"/>
                      <w:szCs w:val="21"/>
                      <w:highlight w:val="none"/>
                    </w:rPr>
                    <w:t>禁止淘汰类的产业。</w:t>
                  </w:r>
                </w:p>
              </w:tc>
              <w:tc>
                <w:tcPr>
                  <w:tcW w:w="536" w:type="pct"/>
                  <w:noWrap w:val="0"/>
                  <w:vAlign w:val="center"/>
                </w:tcPr>
                <w:p w14:paraId="57FFE7E0">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rPr>
                    <w:t>相符</w:t>
                  </w:r>
                </w:p>
              </w:tc>
            </w:tr>
            <w:tr w14:paraId="3BC8C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continue"/>
                  <w:noWrap w:val="0"/>
                  <w:vAlign w:val="center"/>
                </w:tcPr>
                <w:p w14:paraId="71CA4A5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p>
              </w:tc>
              <w:tc>
                <w:tcPr>
                  <w:tcW w:w="403" w:type="pct"/>
                  <w:noWrap w:val="0"/>
                  <w:vAlign w:val="center"/>
                </w:tcPr>
                <w:p w14:paraId="3CAF3397">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污染物排放管控</w:t>
                  </w:r>
                </w:p>
              </w:tc>
              <w:tc>
                <w:tcPr>
                  <w:tcW w:w="1822" w:type="pct"/>
                  <w:noWrap w:val="0"/>
                  <w:vAlign w:val="center"/>
                </w:tcPr>
                <w:p w14:paraId="0094A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严格实施污染物总量控制制度，根据区域环境质量改善目标，削减污染物排放总量</w:t>
                  </w:r>
                  <w:r>
                    <w:rPr>
                      <w:rFonts w:hint="default" w:ascii="Times New Roman" w:hAnsi="Times New Roman" w:eastAsia="宋体" w:cs="Times New Roman"/>
                      <w:color w:val="auto"/>
                      <w:sz w:val="21"/>
                      <w:szCs w:val="21"/>
                      <w:highlight w:val="none"/>
                    </w:rPr>
                    <w:t>。</w:t>
                  </w:r>
                </w:p>
                <w:p w14:paraId="11C974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val="en-US" w:eastAsia="zh-CN"/>
                    </w:rPr>
                    <w:t>强化餐饮油烟治理，加强噪声污染防治，严格施工扬尘监管，加强土壤和地下水污染防治与修复</w:t>
                  </w:r>
                  <w:r>
                    <w:rPr>
                      <w:rFonts w:hint="default" w:ascii="Times New Roman" w:hAnsi="Times New Roman" w:eastAsia="宋体" w:cs="Times New Roman"/>
                      <w:color w:val="auto"/>
                      <w:sz w:val="21"/>
                      <w:szCs w:val="21"/>
                      <w:highlight w:val="none"/>
                    </w:rPr>
                    <w:t>。</w:t>
                  </w:r>
                </w:p>
              </w:tc>
              <w:tc>
                <w:tcPr>
                  <w:tcW w:w="1794" w:type="pct"/>
                  <w:noWrap w:val="0"/>
                  <w:vAlign w:val="center"/>
                </w:tcPr>
                <w:p w14:paraId="04D59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本项目非甲烷总烃、颗粒物的排放总量在新吴区内平衡，</w:t>
                  </w:r>
                  <w:r>
                    <w:rPr>
                      <w:rFonts w:hint="eastAsia" w:cs="Times New Roman"/>
                      <w:color w:val="auto"/>
                      <w:kern w:val="2"/>
                      <w:sz w:val="21"/>
                      <w:szCs w:val="21"/>
                      <w:highlight w:val="none"/>
                      <w:lang w:val="en-US" w:eastAsia="zh-CN" w:bidi="ar-SA"/>
                    </w:rPr>
                    <w:t>本项目新增设备清洗废液作为危险废物委托资质单位处置，不外排</w:t>
                  </w:r>
                  <w:r>
                    <w:rPr>
                      <w:rFonts w:hint="default" w:ascii="Times New Roman" w:hAnsi="Times New Roman" w:eastAsia="宋体" w:cs="Times New Roman"/>
                      <w:color w:val="auto"/>
                      <w:kern w:val="2"/>
                      <w:sz w:val="21"/>
                      <w:szCs w:val="21"/>
                      <w:highlight w:val="none"/>
                      <w:lang w:val="en-US" w:eastAsia="zh-CN" w:bidi="ar-SA"/>
                    </w:rPr>
                    <w:t>。本项目将加强各类污染物防治措施，避免对土壤和地下水造成影响。</w:t>
                  </w:r>
                </w:p>
              </w:tc>
              <w:tc>
                <w:tcPr>
                  <w:tcW w:w="536" w:type="pct"/>
                  <w:noWrap w:val="0"/>
                  <w:vAlign w:val="center"/>
                </w:tcPr>
                <w:p w14:paraId="0C541C55">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相符</w:t>
                  </w:r>
                </w:p>
              </w:tc>
            </w:tr>
            <w:tr w14:paraId="4D1E1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continue"/>
                  <w:noWrap w:val="0"/>
                  <w:vAlign w:val="center"/>
                </w:tcPr>
                <w:p w14:paraId="538A4A79">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p>
              </w:tc>
              <w:tc>
                <w:tcPr>
                  <w:tcW w:w="403" w:type="pct"/>
                  <w:noWrap w:val="0"/>
                  <w:vAlign w:val="center"/>
                </w:tcPr>
                <w:p w14:paraId="3695483A">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环境风险防控</w:t>
                  </w:r>
                </w:p>
              </w:tc>
              <w:tc>
                <w:tcPr>
                  <w:tcW w:w="1822" w:type="pct"/>
                  <w:noWrap w:val="0"/>
                  <w:vAlign w:val="center"/>
                </w:tcPr>
                <w:p w14:paraId="19795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lang w:val="en-US" w:eastAsia="zh-CN"/>
                    </w:rPr>
                    <w:t>合理布局工业、商业、居住、科教等功能区块，严格控制噪声、恶臭、油烟等污染排放较大的建设项目布局</w:t>
                  </w:r>
                  <w:r>
                    <w:rPr>
                      <w:rFonts w:hint="default" w:ascii="Times New Roman" w:hAnsi="Times New Roman" w:eastAsia="宋体" w:cs="Times New Roman"/>
                      <w:color w:val="auto"/>
                      <w:sz w:val="21"/>
                      <w:szCs w:val="21"/>
                      <w:highlight w:val="none"/>
                    </w:rPr>
                    <w:t>。</w:t>
                  </w:r>
                </w:p>
              </w:tc>
              <w:tc>
                <w:tcPr>
                  <w:tcW w:w="1794" w:type="pct"/>
                  <w:noWrap w:val="0"/>
                  <w:vAlign w:val="center"/>
                </w:tcPr>
                <w:p w14:paraId="42829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本项目</w:t>
                  </w:r>
                  <w:r>
                    <w:rPr>
                      <w:rFonts w:hint="eastAsia" w:ascii="Times New Roman" w:hAnsi="Times New Roman" w:eastAsia="宋体"/>
                      <w:color w:val="auto"/>
                      <w:szCs w:val="21"/>
                      <w:highlight w:val="none"/>
                      <w:lang w:val="en-US" w:eastAsia="zh-CN"/>
                    </w:rPr>
                    <w:t>为</w:t>
                  </w:r>
                  <w:r>
                    <w:rPr>
                      <w:rFonts w:hint="eastAsia"/>
                      <w:color w:val="auto"/>
                      <w:szCs w:val="21"/>
                      <w:highlight w:val="none"/>
                      <w:lang w:val="en-US" w:eastAsia="zh-CN"/>
                    </w:rPr>
                    <w:t>技术改造</w:t>
                  </w:r>
                  <w:r>
                    <w:rPr>
                      <w:rFonts w:hint="eastAsia" w:ascii="Times New Roman" w:hAnsi="Times New Roman" w:eastAsia="宋体"/>
                      <w:color w:val="auto"/>
                      <w:szCs w:val="21"/>
                      <w:highlight w:val="none"/>
                      <w:lang w:val="en-US" w:eastAsia="zh-CN"/>
                    </w:rPr>
                    <w:t>项目，</w:t>
                  </w:r>
                  <w:r>
                    <w:rPr>
                      <w:rFonts w:hint="eastAsia"/>
                      <w:color w:val="auto"/>
                      <w:szCs w:val="21"/>
                      <w:highlight w:val="none"/>
                      <w:lang w:val="en-US" w:eastAsia="zh-CN"/>
                    </w:rPr>
                    <w:t>不涉及</w:t>
                  </w:r>
                  <w:r>
                    <w:rPr>
                      <w:rFonts w:hint="eastAsia" w:ascii="Times New Roman" w:hAnsi="Times New Roman" w:eastAsia="宋体"/>
                      <w:color w:val="auto"/>
                      <w:szCs w:val="21"/>
                      <w:highlight w:val="none"/>
                      <w:lang w:val="en-US" w:eastAsia="zh-CN"/>
                    </w:rPr>
                    <w:t>恶臭、油烟</w:t>
                  </w:r>
                  <w:r>
                    <w:rPr>
                      <w:rFonts w:hint="eastAsia"/>
                      <w:color w:val="auto"/>
                      <w:szCs w:val="21"/>
                      <w:highlight w:val="none"/>
                      <w:lang w:val="en-US" w:eastAsia="zh-CN"/>
                    </w:rPr>
                    <w:t>排放</w:t>
                  </w:r>
                  <w:r>
                    <w:rPr>
                      <w:rFonts w:hint="eastAsia" w:ascii="Times New Roman" w:hAnsi="Times New Roman" w:eastAsia="宋体"/>
                      <w:color w:val="auto"/>
                      <w:szCs w:val="21"/>
                      <w:highlight w:val="none"/>
                      <w:lang w:val="en-US" w:eastAsia="zh-CN"/>
                    </w:rPr>
                    <w:t>；本项目设备噪声较小，通过厂房隔声、距离衰减等措施影响较小</w:t>
                  </w:r>
                  <w:r>
                    <w:rPr>
                      <w:rFonts w:hint="default" w:ascii="Times New Roman" w:hAnsi="Times New Roman" w:eastAsia="宋体"/>
                      <w:color w:val="auto"/>
                      <w:szCs w:val="21"/>
                      <w:highlight w:val="none"/>
                    </w:rPr>
                    <w:t>。</w:t>
                  </w:r>
                </w:p>
              </w:tc>
              <w:tc>
                <w:tcPr>
                  <w:tcW w:w="536" w:type="pct"/>
                  <w:noWrap w:val="0"/>
                  <w:vAlign w:val="center"/>
                </w:tcPr>
                <w:p w14:paraId="03D75A72">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color w:val="auto"/>
                      <w:szCs w:val="21"/>
                      <w:highlight w:val="none"/>
                    </w:rPr>
                    <w:t>相符</w:t>
                  </w:r>
                </w:p>
              </w:tc>
            </w:tr>
            <w:tr w14:paraId="20FAE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3" w:type="pct"/>
                  <w:vMerge w:val="continue"/>
                  <w:noWrap w:val="0"/>
                  <w:vAlign w:val="center"/>
                </w:tcPr>
                <w:p w14:paraId="389E4D0C">
                  <w:pPr>
                    <w:keepNext w:val="0"/>
                    <w:keepLines w:val="0"/>
                    <w:suppressLineNumbers w:val="0"/>
                    <w:spacing w:before="0" w:beforeAutospacing="0" w:after="0" w:afterAutospacing="0"/>
                    <w:ind w:left="0" w:right="0"/>
                    <w:jc w:val="left"/>
                    <w:rPr>
                      <w:rFonts w:hint="default" w:ascii="Times New Roman" w:hAnsi="Times New Roman" w:eastAsia="宋体"/>
                      <w:color w:val="auto"/>
                      <w:szCs w:val="21"/>
                      <w:highlight w:val="none"/>
                    </w:rPr>
                  </w:pPr>
                </w:p>
              </w:tc>
              <w:tc>
                <w:tcPr>
                  <w:tcW w:w="403" w:type="pct"/>
                  <w:noWrap w:val="0"/>
                  <w:vAlign w:val="center"/>
                </w:tcPr>
                <w:p w14:paraId="456B4B80">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资源开发效率要求</w:t>
                  </w:r>
                </w:p>
              </w:tc>
              <w:tc>
                <w:tcPr>
                  <w:tcW w:w="1822" w:type="pct"/>
                  <w:noWrap w:val="0"/>
                  <w:vAlign w:val="center"/>
                </w:tcPr>
                <w:p w14:paraId="71EC54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lang w:val="en-US" w:eastAsia="zh-CN"/>
                    </w:rPr>
                    <w:t>全面开展节水型社会建设，推进节水产品推广普及，限制高耗水服务业用水</w:t>
                  </w:r>
                  <w:r>
                    <w:rPr>
                      <w:rFonts w:hint="default" w:ascii="Times New Roman" w:hAnsi="Times New Roman" w:eastAsia="宋体" w:cs="Times New Roman"/>
                      <w:color w:val="auto"/>
                      <w:sz w:val="21"/>
                      <w:szCs w:val="21"/>
                      <w:highlight w:val="none"/>
                    </w:rPr>
                    <w:t>。</w:t>
                  </w:r>
                </w:p>
              </w:tc>
              <w:tc>
                <w:tcPr>
                  <w:tcW w:w="1794" w:type="pct"/>
                  <w:noWrap w:val="0"/>
                  <w:vAlign w:val="center"/>
                </w:tcPr>
                <w:p w14:paraId="34F5A3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 w:val="21"/>
                      <w:szCs w:val="21"/>
                      <w:highlight w:val="none"/>
                      <w:lang w:val="en-US" w:eastAsia="zh-CN"/>
                    </w:rPr>
                    <w:t>本项目</w:t>
                  </w:r>
                  <w:r>
                    <w:rPr>
                      <w:rFonts w:hint="eastAsia"/>
                      <w:color w:val="auto"/>
                      <w:sz w:val="21"/>
                      <w:szCs w:val="21"/>
                      <w:highlight w:val="none"/>
                      <w:lang w:val="en-US" w:eastAsia="zh-CN"/>
                    </w:rPr>
                    <w:t>新增设备清洗废液作为危险废物委托资质单位处置</w:t>
                  </w:r>
                  <w:r>
                    <w:rPr>
                      <w:rFonts w:hint="eastAsia" w:ascii="Times New Roman" w:hAnsi="Times New Roman" w:eastAsia="宋体"/>
                      <w:color w:val="auto"/>
                      <w:sz w:val="21"/>
                      <w:szCs w:val="21"/>
                      <w:highlight w:val="none"/>
                      <w:lang w:val="en-US" w:eastAsia="zh-CN"/>
                    </w:rPr>
                    <w:t>，现有项目生活污水经化粪池预处理、食堂废水经隔油池预处理后和超声波清废水、实验室冷却水、实验室水浴废水一并接管至太湖新城污水处理厂处理，尾水排入京杭运河</w:t>
                  </w:r>
                  <w:r>
                    <w:rPr>
                      <w:rFonts w:hint="eastAsia" w:ascii="Times New Roman" w:hAnsi="Times New Roman" w:eastAsia="宋体"/>
                      <w:color w:val="auto"/>
                      <w:sz w:val="21"/>
                      <w:szCs w:val="21"/>
                      <w:highlight w:val="none"/>
                    </w:rPr>
                    <w:t>。</w:t>
                  </w:r>
                </w:p>
              </w:tc>
              <w:tc>
                <w:tcPr>
                  <w:tcW w:w="536" w:type="pct"/>
                  <w:noWrap w:val="0"/>
                  <w:vAlign w:val="center"/>
                </w:tcPr>
                <w:p w14:paraId="7EC52FBF">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color w:val="auto"/>
                      <w:szCs w:val="21"/>
                      <w:highlight w:val="none"/>
                    </w:rPr>
                    <w:t>相符</w:t>
                  </w:r>
                </w:p>
              </w:tc>
            </w:tr>
          </w:tbl>
          <w:p w14:paraId="02E366C5">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由上表可见，本项目符合</w:t>
            </w:r>
            <w:r>
              <w:rPr>
                <w:rFonts w:hint="eastAsia" w:ascii="Times New Roman" w:hAnsi="Times New Roman" w:eastAsia="宋体" w:cs="Times New Roman"/>
                <w:color w:val="auto"/>
                <w:sz w:val="24"/>
                <w:highlight w:val="none"/>
                <w:lang w:val="en-US" w:eastAsia="zh-CN"/>
              </w:rPr>
              <w:t>无锡市中心城区（新吴区）环境管控单元</w:t>
            </w:r>
            <w:r>
              <w:rPr>
                <w:rFonts w:hint="default" w:ascii="Times New Roman" w:hAnsi="Times New Roman" w:eastAsia="宋体" w:cs="Times New Roman"/>
                <w:color w:val="auto"/>
                <w:sz w:val="24"/>
                <w:highlight w:val="none"/>
                <w:lang w:val="en-US" w:eastAsia="zh-CN"/>
              </w:rPr>
              <w:t>的生态环境准入清单要求</w:t>
            </w:r>
            <w:r>
              <w:rPr>
                <w:rFonts w:hint="eastAsia" w:ascii="Times New Roman" w:hAnsi="Times New Roman" w:eastAsia="宋体" w:cs="Times New Roman"/>
                <w:color w:val="auto"/>
                <w:sz w:val="24"/>
                <w:highlight w:val="none"/>
                <w:lang w:val="en-US" w:eastAsia="zh-CN"/>
              </w:rPr>
              <w:t>。</w:t>
            </w:r>
          </w:p>
          <w:p w14:paraId="21108424">
            <w:pPr>
              <w:keepNext w:val="0"/>
              <w:keepLines w:val="0"/>
              <w:widowControl/>
              <w:suppressLineNumbers w:val="0"/>
              <w:snapToGrid w:val="0"/>
              <w:spacing w:before="0" w:beforeAutospacing="0" w:after="0" w:afterAutospacing="0" w:line="360" w:lineRule="auto"/>
              <w:ind w:left="0" w:right="0" w:firstLine="482"/>
              <w:rPr>
                <w:rFonts w:hint="default" w:ascii="Times New Roman" w:hAnsi="Times New Roman" w:eastAsia="宋体"/>
                <w:b/>
                <w:bCs/>
                <w:color w:val="auto"/>
                <w:kern w:val="0"/>
                <w:sz w:val="24"/>
                <w:highlight w:val="none"/>
              </w:rPr>
            </w:pPr>
            <w:r>
              <w:rPr>
                <w:rFonts w:hint="default" w:ascii="Times New Roman" w:hAnsi="Times New Roman" w:eastAsia="宋体"/>
                <w:b/>
                <w:bCs/>
                <w:color w:val="auto"/>
                <w:kern w:val="0"/>
                <w:sz w:val="24"/>
                <w:highlight w:val="none"/>
              </w:rPr>
              <w:t>（3）与环境质量底线的相符性</w:t>
            </w:r>
          </w:p>
          <w:p w14:paraId="07114EE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b w:val="0"/>
                <w:bCs/>
                <w:color w:val="auto"/>
                <w:sz w:val="24"/>
                <w:highlight w:val="none"/>
              </w:rPr>
              <w:t>根据《无锡市生态环境状况公报（</w:t>
            </w:r>
            <w:r>
              <w:rPr>
                <w:rFonts w:hint="eastAsia" w:cs="Times New Roman"/>
                <w:b w:val="0"/>
                <w:bCs/>
                <w:color w:val="auto"/>
                <w:sz w:val="24"/>
                <w:highlight w:val="none"/>
                <w:lang w:val="en-US" w:eastAsia="zh-CN"/>
              </w:rPr>
              <w:t>2024</w:t>
            </w:r>
            <w:r>
              <w:rPr>
                <w:rFonts w:hint="eastAsia" w:ascii="Times New Roman" w:hAnsi="Times New Roman" w:eastAsia="宋体" w:cs="Times New Roman"/>
                <w:b w:val="0"/>
                <w:bCs/>
                <w:color w:val="auto"/>
                <w:sz w:val="24"/>
                <w:highlight w:val="none"/>
              </w:rPr>
              <w:t>年度）》，按照《环境空气质量标准》（GB 3095-2012）二级标准进行年度评价，所辖“二市六区”环境空气质量六项指标中，细颗粒物、可吸入颗粒物、二氧化氮、二氧化硫和一氧化碳浓度均达标，臭氧浓度均未达标。因此判定为非达标区。根据《无锡市大气环境质量限期达标规划（2018</w:t>
            </w:r>
            <w:r>
              <w:rPr>
                <w:rFonts w:hint="eastAsia"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rPr>
              <w:t>2025年）》，</w:t>
            </w:r>
            <w:r>
              <w:rPr>
                <w:rFonts w:hint="eastAsia" w:ascii="Times New Roman" w:hAnsi="Times New Roman" w:eastAsia="宋体" w:cs="Times New Roman"/>
                <w:b w:val="0"/>
                <w:bCs/>
                <w:color w:val="auto"/>
                <w:sz w:val="24"/>
                <w:highlight w:val="none"/>
                <w:lang w:val="en-US" w:eastAsia="zh-CN"/>
              </w:rPr>
              <w:t>通过采取一系列措施后，环境空气质量预计在2025年实现全面达标。</w:t>
            </w:r>
            <w:r>
              <w:rPr>
                <w:rFonts w:hint="default"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lang w:eastAsia="zh-CN"/>
              </w:rPr>
              <w:t>所在地</w:t>
            </w:r>
            <w:r>
              <w:rPr>
                <w:rFonts w:hint="default" w:ascii="Times New Roman" w:hAnsi="Times New Roman" w:eastAsia="宋体" w:cs="Times New Roman"/>
                <w:color w:val="auto"/>
                <w:sz w:val="24"/>
                <w:highlight w:val="none"/>
              </w:rPr>
              <w:t>非甲烷总烃满足《大气污染物综合排放标准详解》中推荐值标准</w:t>
            </w:r>
            <w:r>
              <w:rPr>
                <w:rFonts w:hint="eastAsia" w:ascii="Times New Roman" w:hAnsi="Times New Roman" w:eastAsia="宋体" w:cs="Times New Roman"/>
                <w:b w:val="0"/>
                <w:bCs/>
                <w:color w:val="auto"/>
                <w:sz w:val="24"/>
                <w:highlight w:val="none"/>
              </w:rPr>
              <w:t>，该区域环境空气质量较好</w:t>
            </w:r>
            <w:r>
              <w:rPr>
                <w:rFonts w:hint="default" w:ascii="Times New Roman" w:hAnsi="Times New Roman" w:eastAsia="宋体" w:cs="Times New Roman"/>
                <w:color w:val="auto"/>
                <w:sz w:val="24"/>
                <w:highlight w:val="none"/>
              </w:rPr>
              <w:t>。</w:t>
            </w:r>
          </w:p>
          <w:p w14:paraId="5676744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eastAsia"/>
                <w:snapToGrid w:val="0"/>
                <w:color w:val="auto"/>
                <w:sz w:val="24"/>
                <w:highlight w:val="none"/>
                <w:shd w:val="clear" w:color="auto" w:fill="auto"/>
                <w:lang w:val="zh-CN"/>
              </w:rPr>
              <w:t>根据《无锡市生态环境状况公报（202</w:t>
            </w:r>
            <w:r>
              <w:rPr>
                <w:rFonts w:hint="eastAsia"/>
                <w:snapToGrid w:val="0"/>
                <w:color w:val="auto"/>
                <w:sz w:val="24"/>
                <w:highlight w:val="none"/>
                <w:shd w:val="clear" w:color="auto" w:fill="auto"/>
                <w:lang w:val="en-US" w:eastAsia="zh-CN"/>
              </w:rPr>
              <w:t>4</w:t>
            </w:r>
            <w:r>
              <w:rPr>
                <w:rFonts w:hint="eastAsia"/>
                <w:snapToGrid w:val="0"/>
                <w:color w:val="auto"/>
                <w:sz w:val="24"/>
                <w:highlight w:val="none"/>
                <w:shd w:val="clear" w:color="auto" w:fill="auto"/>
                <w:lang w:val="zh-CN"/>
              </w:rPr>
              <w:t>年度）》，2024 年，</w:t>
            </w:r>
            <w:r>
              <w:rPr>
                <w:rFonts w:hint="eastAsia"/>
                <w:snapToGrid w:val="0"/>
                <w:color w:val="auto"/>
                <w:sz w:val="24"/>
                <w:highlight w:val="none"/>
                <w:shd w:val="clear" w:color="auto" w:fill="auto"/>
                <w:lang w:val="en-US" w:eastAsia="zh-CN"/>
              </w:rPr>
              <w:t>全市</w:t>
            </w:r>
            <w:r>
              <w:rPr>
                <w:rFonts w:hint="eastAsia"/>
                <w:snapToGrid w:val="0"/>
                <w:color w:val="auto"/>
                <w:sz w:val="24"/>
                <w:highlight w:val="none"/>
                <w:shd w:val="clear" w:color="auto" w:fill="auto"/>
                <w:lang w:val="zh-CN"/>
              </w:rPr>
              <w:t>地表水环境质量持续改善。国省考河流断面水质优Ⅲ比例达到100%，太湖无锡水域水质自2007年以来首次达到III类，连续17年实现安全度夏。</w:t>
            </w:r>
            <w:r>
              <w:rPr>
                <w:rFonts w:hint="eastAsia" w:ascii="Times New Roman" w:hAnsi="Times New Roman" w:eastAsia="宋体"/>
                <w:snapToGrid w:val="0"/>
                <w:color w:val="auto"/>
                <w:sz w:val="24"/>
                <w:highlight w:val="none"/>
                <w:shd w:val="clear" w:color="auto" w:fill="auto"/>
                <w:lang w:val="zh-CN"/>
              </w:rPr>
              <w:t>2024 年，</w:t>
            </w:r>
            <w:r>
              <w:rPr>
                <w:rFonts w:hint="eastAsia"/>
                <w:snapToGrid w:val="0"/>
                <w:color w:val="auto"/>
                <w:sz w:val="24"/>
                <w:highlight w:val="none"/>
                <w:shd w:val="clear" w:color="auto" w:fill="auto"/>
                <w:lang w:val="en-US" w:eastAsia="zh-CN"/>
              </w:rPr>
              <w:t>全</w:t>
            </w:r>
            <w:r>
              <w:rPr>
                <w:rFonts w:hint="eastAsia" w:ascii="Times New Roman" w:hAnsi="Times New Roman" w:eastAsia="宋体"/>
                <w:snapToGrid w:val="0"/>
                <w:color w:val="auto"/>
                <w:sz w:val="24"/>
                <w:highlight w:val="none"/>
                <w:shd w:val="clear" w:color="auto" w:fill="auto"/>
                <w:lang w:val="zh-CN"/>
              </w:rPr>
              <w:t>市声环境质量总体较好，昼间声环境质量保持稳定。</w:t>
            </w:r>
            <w:r>
              <w:rPr>
                <w:rFonts w:hint="default" w:ascii="Times New Roman" w:hAnsi="Times New Roman" w:eastAsia="宋体" w:cs="Times New Roman"/>
                <w:b w:val="0"/>
                <w:bCs/>
                <w:color w:val="auto"/>
                <w:sz w:val="24"/>
                <w:highlight w:val="none"/>
              </w:rPr>
              <w:t>本项目</w:t>
            </w:r>
            <w:r>
              <w:rPr>
                <w:rFonts w:hint="eastAsia" w:cs="Times New Roman"/>
                <w:b w:val="0"/>
                <w:bCs/>
                <w:color w:val="auto"/>
                <w:sz w:val="24"/>
                <w:highlight w:val="none"/>
                <w:lang w:val="en-US" w:eastAsia="zh-CN"/>
              </w:rPr>
              <w:t>各类污染物经有效处置后均可达标排放，对周围环境影响较小</w:t>
            </w:r>
            <w:r>
              <w:rPr>
                <w:rFonts w:hint="default" w:ascii="Times New Roman" w:hAnsi="Times New Roman" w:eastAsia="宋体" w:cs="Times New Roman"/>
                <w:b w:val="0"/>
                <w:bCs/>
                <w:color w:val="auto"/>
                <w:sz w:val="24"/>
                <w:highlight w:val="none"/>
              </w:rPr>
              <w:t>。</w:t>
            </w:r>
          </w:p>
          <w:p w14:paraId="01F11B7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因此，本项目符合环境质量底线的要求。</w:t>
            </w:r>
          </w:p>
          <w:p w14:paraId="01673E8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b/>
                <w:bCs/>
                <w:color w:val="auto"/>
                <w:kern w:val="0"/>
                <w:sz w:val="24"/>
                <w:highlight w:val="none"/>
              </w:rPr>
            </w:pPr>
            <w:r>
              <w:rPr>
                <w:rFonts w:hint="default" w:ascii="Times New Roman" w:hAnsi="Times New Roman" w:eastAsia="宋体"/>
                <w:b/>
                <w:bCs/>
                <w:color w:val="auto"/>
                <w:kern w:val="0"/>
                <w:sz w:val="24"/>
                <w:highlight w:val="none"/>
              </w:rPr>
              <w:t>（4）与资源利用上线的相符性</w:t>
            </w:r>
          </w:p>
          <w:p w14:paraId="30ECC08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w:t>
            </w:r>
            <w:r>
              <w:rPr>
                <w:rFonts w:hint="eastAsia" w:ascii="Times New Roman" w:hAnsi="Times New Roman" w:eastAsia="宋体" w:cs="Times New Roman"/>
                <w:color w:val="auto"/>
                <w:sz w:val="24"/>
                <w:highlight w:val="none"/>
                <w:lang w:val="en-US" w:eastAsia="zh-CN"/>
              </w:rPr>
              <w:t>无锡市新吴区观山路36号</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bCs/>
                <w:color w:val="auto"/>
                <w:sz w:val="24"/>
                <w:szCs w:val="24"/>
                <w:highlight w:val="none"/>
                <w:lang w:val="en-US" w:eastAsia="zh-CN"/>
              </w:rPr>
              <w:t>在原有厂房内进行生产，位于无锡(太湖)国际科技园规划范围内</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所使用的能源主要为</w:t>
            </w:r>
            <w:r>
              <w:rPr>
                <w:rFonts w:hint="default" w:ascii="Times New Roman" w:hAnsi="Times New Roman" w:eastAsia="宋体" w:cs="Times New Roman"/>
                <w:snapToGrid w:val="0"/>
                <w:color w:val="auto"/>
                <w:kern w:val="0"/>
                <w:sz w:val="24"/>
                <w:highlight w:val="none"/>
              </w:rPr>
              <w:t>水、电</w:t>
            </w:r>
            <w:r>
              <w:rPr>
                <w:rFonts w:hint="default" w:ascii="Times New Roman" w:hAnsi="Times New Roman" w:eastAsia="宋体" w:cs="Times New Roman"/>
                <w:color w:val="auto"/>
                <w:sz w:val="24"/>
                <w:szCs w:val="24"/>
                <w:highlight w:val="none"/>
              </w:rPr>
              <w:t>。本项目用水水源来自市政管网，用电由市政供电系统供电，能满足本项目的用水和用电</w:t>
            </w:r>
            <w:r>
              <w:rPr>
                <w:rFonts w:hint="default" w:ascii="Times New Roman" w:hAnsi="Times New Roman" w:eastAsia="宋体" w:cs="Times New Roman"/>
                <w:color w:val="auto"/>
                <w:sz w:val="24"/>
                <w:szCs w:val="24"/>
                <w:highlight w:val="none"/>
                <w:lang w:eastAsia="zh-CN"/>
              </w:rPr>
              <w:t>需求，</w:t>
            </w:r>
            <w:r>
              <w:rPr>
                <w:rFonts w:hint="default" w:ascii="Times New Roman" w:hAnsi="Times New Roman" w:eastAsia="宋体" w:cs="Times New Roman"/>
                <w:color w:val="auto"/>
                <w:sz w:val="24"/>
                <w:highlight w:val="none"/>
              </w:rPr>
              <w:t>不会达到资源利用上线</w:t>
            </w:r>
            <w:r>
              <w:rPr>
                <w:rFonts w:hint="default" w:ascii="Times New Roman" w:hAnsi="Times New Roman" w:eastAsia="宋体" w:cs="Times New Roman"/>
                <w:color w:val="auto"/>
                <w:sz w:val="24"/>
                <w:highlight w:val="none"/>
                <w:lang w:val="en-US" w:eastAsia="zh-CN"/>
              </w:rPr>
              <w:t>。</w:t>
            </w:r>
          </w:p>
          <w:p w14:paraId="2E826ED0">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b/>
                <w:bCs/>
                <w:color w:val="auto"/>
                <w:kern w:val="0"/>
                <w:sz w:val="24"/>
                <w:highlight w:val="none"/>
                <w:lang w:val="en-US" w:eastAsia="zh-CN"/>
              </w:rPr>
            </w:pPr>
            <w:r>
              <w:rPr>
                <w:rFonts w:hint="default" w:ascii="Times New Roman" w:hAnsi="Times New Roman" w:eastAsia="宋体"/>
                <w:b/>
                <w:bCs/>
                <w:color w:val="auto"/>
                <w:kern w:val="0"/>
                <w:sz w:val="24"/>
                <w:highlight w:val="none"/>
              </w:rPr>
              <w:t>（5）</w:t>
            </w:r>
            <w:r>
              <w:rPr>
                <w:rFonts w:hint="eastAsia"/>
                <w:b/>
                <w:bCs/>
                <w:color w:val="auto"/>
                <w:kern w:val="0"/>
                <w:sz w:val="24"/>
                <w:highlight w:val="none"/>
                <w:lang w:val="en-US" w:eastAsia="zh-CN"/>
              </w:rPr>
              <w:t>生态环境准入清单的相符性</w:t>
            </w:r>
          </w:p>
          <w:p w14:paraId="041BA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①与无锡（太湖）国际科技园</w:t>
            </w:r>
            <w:r>
              <w:rPr>
                <w:rFonts w:hint="eastAsia" w:cs="Times New Roman"/>
                <w:b/>
                <w:bCs/>
                <w:color w:val="auto"/>
                <w:sz w:val="24"/>
                <w:highlight w:val="none"/>
                <w:lang w:val="en-US" w:eastAsia="zh-CN"/>
              </w:rPr>
              <w:t>生态环境准入清单</w:t>
            </w:r>
            <w:r>
              <w:rPr>
                <w:rFonts w:hint="eastAsia" w:ascii="Times New Roman" w:hAnsi="Times New Roman" w:eastAsia="宋体" w:cs="Times New Roman"/>
                <w:b/>
                <w:bCs/>
                <w:color w:val="auto"/>
                <w:sz w:val="24"/>
                <w:highlight w:val="none"/>
                <w:lang w:val="en-US" w:eastAsia="zh-CN"/>
              </w:rPr>
              <w:t>的相符性</w:t>
            </w:r>
          </w:p>
          <w:p w14:paraId="12052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w:t>
            </w:r>
            <w:r>
              <w:rPr>
                <w:rFonts w:hint="eastAsia" w:ascii="Times New Roman" w:hAnsi="Times New Roman" w:eastAsia="宋体" w:cs="Times New Roman"/>
                <w:color w:val="auto"/>
                <w:sz w:val="24"/>
                <w:szCs w:val="24"/>
                <w:highlight w:val="none"/>
                <w:lang w:eastAsia="zh-CN"/>
              </w:rPr>
              <w:t>无锡市新吴区观山路36号</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根据</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关于无锡(太湖)国际科技园开发建设规划(2024-2035年)环境影响报告书的审查意见</w:t>
            </w:r>
            <w:r>
              <w:rPr>
                <w:rFonts w:hint="eastAsia" w:cs="Times New Roman"/>
                <w:color w:val="auto"/>
                <w:sz w:val="24"/>
                <w:highlight w:val="none"/>
                <w:lang w:eastAsia="zh-CN"/>
              </w:rPr>
              <w:t>》（</w:t>
            </w:r>
            <w:r>
              <w:rPr>
                <w:rFonts w:hint="eastAsia" w:cs="Times New Roman"/>
                <w:color w:val="auto"/>
                <w:sz w:val="24"/>
                <w:highlight w:val="none"/>
                <w:lang w:val="en-US" w:eastAsia="zh-CN"/>
              </w:rPr>
              <w:t>锡新环发[2025]19号</w:t>
            </w:r>
            <w:r>
              <w:rPr>
                <w:rFonts w:hint="eastAsia" w:cs="Times New Roman"/>
                <w:color w:val="auto"/>
                <w:sz w:val="24"/>
                <w:highlight w:val="none"/>
                <w:lang w:eastAsia="zh-CN"/>
              </w:rPr>
              <w:t>）</w:t>
            </w:r>
            <w:r>
              <w:rPr>
                <w:rFonts w:hint="eastAsia" w:cs="Times New Roman"/>
                <w:color w:val="auto"/>
                <w:sz w:val="24"/>
                <w:highlight w:val="none"/>
                <w:lang w:val="en-US" w:eastAsia="zh-CN"/>
              </w:rPr>
              <w:t>附件：“无锡（太湖）国际科技园生态环境准入清单”</w:t>
            </w:r>
            <w:r>
              <w:rPr>
                <w:rFonts w:hint="default" w:ascii="Times New Roman" w:hAnsi="Times New Roman" w:eastAsia="宋体" w:cs="Times New Roman"/>
                <w:color w:val="auto"/>
                <w:sz w:val="24"/>
                <w:highlight w:val="none"/>
              </w:rPr>
              <w:t>中提出</w:t>
            </w:r>
            <w:r>
              <w:rPr>
                <w:rFonts w:hint="eastAsia" w:ascii="Times New Roman" w:hAnsi="Times New Roman" w:eastAsia="宋体" w:cs="Times New Roman"/>
                <w:color w:val="auto"/>
                <w:sz w:val="24"/>
                <w:highlight w:val="none"/>
              </w:rPr>
              <w:t>的</w:t>
            </w:r>
            <w:r>
              <w:rPr>
                <w:rFonts w:hint="default" w:ascii="Times New Roman" w:hAnsi="Times New Roman" w:eastAsia="宋体" w:cs="Times New Roman"/>
                <w:color w:val="auto"/>
                <w:sz w:val="24"/>
                <w:highlight w:val="none"/>
              </w:rPr>
              <w:t>相关条件，本项目区域</w:t>
            </w:r>
            <w:r>
              <w:rPr>
                <w:rFonts w:hint="eastAsia" w:cs="Times New Roman"/>
                <w:color w:val="auto"/>
                <w:sz w:val="24"/>
                <w:highlight w:val="none"/>
                <w:lang w:val="en-US" w:eastAsia="zh-CN"/>
              </w:rPr>
              <w:t>生态环境准入清单的</w:t>
            </w:r>
            <w:r>
              <w:rPr>
                <w:rFonts w:hint="default" w:ascii="Times New Roman" w:hAnsi="Times New Roman" w:eastAsia="宋体" w:cs="Times New Roman"/>
                <w:color w:val="auto"/>
                <w:sz w:val="24"/>
                <w:highlight w:val="none"/>
              </w:rPr>
              <w:t>相符性分析具体情况见</w:t>
            </w:r>
            <w:r>
              <w:rPr>
                <w:rFonts w:hint="eastAsia" w:ascii="Times New Roman" w:hAnsi="Times New Roman" w:eastAsia="宋体" w:cs="Times New Roman"/>
                <w:color w:val="auto"/>
                <w:sz w:val="24"/>
                <w:highlight w:val="none"/>
              </w:rPr>
              <w:t>下表</w:t>
            </w:r>
            <w:r>
              <w:rPr>
                <w:rFonts w:hint="default" w:ascii="Times New Roman" w:hAnsi="Times New Roman" w:eastAsia="宋体" w:cs="Times New Roman"/>
                <w:color w:val="auto"/>
                <w:sz w:val="24"/>
                <w:highlight w:val="none"/>
              </w:rPr>
              <w:t>。</w:t>
            </w:r>
          </w:p>
          <w:p w14:paraId="0C875457">
            <w:pPr>
              <w:keepNext w:val="0"/>
              <w:keepLines w:val="0"/>
              <w:numPr>
                <w:ilvl w:val="0"/>
                <w:numId w:val="0"/>
              </w:numPr>
              <w:suppressLineNumbers w:val="0"/>
              <w:snapToGrid w:val="0"/>
              <w:spacing w:before="0" w:beforeAutospacing="0" w:after="0" w:afterAutospacing="0"/>
              <w:ind w:left="425" w:leftChars="0" w:right="0" w:rightChars="0" w:hanging="425" w:firstLineChars="0"/>
              <w:jc w:val="center"/>
              <w:rPr>
                <w:rFonts w:hint="eastAsia" w:ascii="Times New Roman" w:hAnsi="Times New Roman" w:eastAsia="宋体" w:cs="Times New Roman"/>
                <w:b/>
                <w:bCs/>
                <w:color w:val="auto"/>
                <w:sz w:val="24"/>
                <w:highlight w:val="none"/>
                <w:lang w:eastAsia="zh-CN"/>
              </w:rPr>
            </w:pPr>
            <w:r>
              <w:rPr>
                <w:rFonts w:hint="default" w:ascii="Times New Roman" w:hAnsi="Times New Roman" w:eastAsia="宋体" w:cs="宋体"/>
                <w:b/>
                <w:bCs/>
                <w:color w:val="auto"/>
                <w:kern w:val="2"/>
                <w:sz w:val="24"/>
                <w:szCs w:val="24"/>
                <w:highlight w:val="none"/>
                <w:lang w:val="en-US" w:eastAsia="zh-CN" w:bidi="ar-SA"/>
              </w:rPr>
              <w:t>表1-</w:t>
            </w:r>
            <w:r>
              <w:rPr>
                <w:rFonts w:hint="eastAsia" w:cs="宋体"/>
                <w:b/>
                <w:bCs/>
                <w:color w:val="auto"/>
                <w:kern w:val="2"/>
                <w:sz w:val="24"/>
                <w:szCs w:val="24"/>
                <w:highlight w:val="none"/>
                <w:lang w:val="en-US" w:eastAsia="zh-CN" w:bidi="ar-SA"/>
              </w:rPr>
              <w:t>4</w:t>
            </w:r>
            <w:r>
              <w:rPr>
                <w:rFonts w:hint="eastAsia" w:ascii="Times New Roman" w:hAnsi="Times New Roman" w:eastAsia="宋体" w:cs="宋体"/>
                <w:b/>
                <w:bCs/>
                <w:color w:val="auto"/>
                <w:kern w:val="2"/>
                <w:sz w:val="24"/>
                <w:szCs w:val="24"/>
                <w:highlight w:val="none"/>
                <w:lang w:val="en-US" w:eastAsia="zh-CN" w:bidi="ar-SA"/>
              </w:rPr>
              <w:t xml:space="preserve">  </w:t>
            </w:r>
            <w:r>
              <w:rPr>
                <w:rFonts w:hint="default" w:ascii="Times New Roman" w:hAnsi="Times New Roman" w:eastAsia="宋体"/>
                <w:b/>
                <w:bCs/>
                <w:color w:val="auto"/>
                <w:sz w:val="24"/>
                <w:highlight w:val="none"/>
              </w:rPr>
              <w:t>无锡（太湖）国际科技园</w:t>
            </w:r>
            <w:r>
              <w:rPr>
                <w:rFonts w:hint="eastAsia"/>
                <w:b/>
                <w:bCs/>
                <w:color w:val="auto"/>
                <w:sz w:val="24"/>
                <w:highlight w:val="none"/>
                <w:lang w:val="en-US" w:eastAsia="zh-CN"/>
              </w:rPr>
              <w:t>生态</w:t>
            </w:r>
            <w:r>
              <w:rPr>
                <w:rFonts w:hint="eastAsia" w:ascii="Times New Roman" w:hAnsi="Times New Roman" w:eastAsia="宋体" w:cs="Times New Roman"/>
                <w:b/>
                <w:bCs/>
                <w:color w:val="auto"/>
                <w:sz w:val="24"/>
                <w:highlight w:val="none"/>
                <w:lang w:eastAsia="zh-CN"/>
              </w:rPr>
              <w:t>环境准入清单</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582"/>
              <w:gridCol w:w="4408"/>
              <w:gridCol w:w="3470"/>
              <w:gridCol w:w="807"/>
            </w:tblGrid>
            <w:tr w14:paraId="1E1ED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noWrap w:val="0"/>
                  <w:vAlign w:val="center"/>
                </w:tcPr>
                <w:p w14:paraId="3D0365B4">
                  <w:pPr>
                    <w:keepNext w:val="0"/>
                    <w:keepLines w:val="0"/>
                    <w:suppressLineNumbers w:val="0"/>
                    <w:adjustRightInd w:val="0"/>
                    <w:snapToGrid w:val="0"/>
                    <w:spacing w:before="0" w:beforeAutospacing="0" w:after="0" w:afterAutospacing="0"/>
                    <w:ind w:left="0" w:leftChars="0" w:right="0" w:rightChars="0"/>
                    <w:jc w:val="center"/>
                    <w:rPr>
                      <w:rFonts w:hint="eastAsia"/>
                      <w:b/>
                      <w:bCs/>
                      <w:color w:val="auto"/>
                      <w:sz w:val="21"/>
                      <w:highlight w:val="none"/>
                      <w:lang w:val="en-US" w:eastAsia="zh-CN"/>
                    </w:rPr>
                  </w:pPr>
                  <w:r>
                    <w:rPr>
                      <w:rFonts w:hint="eastAsia"/>
                      <w:b/>
                      <w:bCs/>
                      <w:color w:val="auto"/>
                      <w:sz w:val="21"/>
                      <w:highlight w:val="none"/>
                      <w:lang w:val="en-US" w:eastAsia="zh-CN"/>
                    </w:rPr>
                    <w:t>清单类型</w:t>
                  </w:r>
                </w:p>
              </w:tc>
              <w:tc>
                <w:tcPr>
                  <w:tcW w:w="4408" w:type="dxa"/>
                  <w:noWrap w:val="0"/>
                  <w:vAlign w:val="center"/>
                </w:tcPr>
                <w:p w14:paraId="19035F1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b/>
                      <w:bCs/>
                      <w:color w:val="auto"/>
                      <w:sz w:val="21"/>
                      <w:highlight w:val="none"/>
                    </w:rPr>
                  </w:pPr>
                  <w:r>
                    <w:rPr>
                      <w:rFonts w:hint="default" w:ascii="Times New Roman" w:hAnsi="Times New Roman" w:eastAsia="宋体"/>
                      <w:b/>
                      <w:bCs/>
                      <w:color w:val="auto"/>
                      <w:sz w:val="21"/>
                      <w:highlight w:val="none"/>
                    </w:rPr>
                    <w:t>具体要求</w:t>
                  </w:r>
                </w:p>
              </w:tc>
              <w:tc>
                <w:tcPr>
                  <w:tcW w:w="3470" w:type="dxa"/>
                  <w:noWrap w:val="0"/>
                  <w:vAlign w:val="center"/>
                </w:tcPr>
                <w:p w14:paraId="4FEB92A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b/>
                      <w:bCs/>
                      <w:color w:val="auto"/>
                      <w:sz w:val="21"/>
                      <w:highlight w:val="none"/>
                    </w:rPr>
                  </w:pPr>
                  <w:r>
                    <w:rPr>
                      <w:rFonts w:hint="default" w:ascii="Times New Roman" w:hAnsi="Times New Roman" w:eastAsia="宋体"/>
                      <w:b/>
                      <w:bCs/>
                      <w:color w:val="auto"/>
                      <w:sz w:val="21"/>
                      <w:highlight w:val="none"/>
                    </w:rPr>
                    <w:t>本项目</w:t>
                  </w:r>
                </w:p>
              </w:tc>
              <w:tc>
                <w:tcPr>
                  <w:tcW w:w="807" w:type="dxa"/>
                  <w:noWrap w:val="0"/>
                  <w:vAlign w:val="center"/>
                </w:tcPr>
                <w:p w14:paraId="1E99BC9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b/>
                      <w:bCs/>
                      <w:color w:val="auto"/>
                      <w:sz w:val="21"/>
                      <w:highlight w:val="none"/>
                    </w:rPr>
                  </w:pPr>
                  <w:r>
                    <w:rPr>
                      <w:rFonts w:hint="default" w:ascii="Times New Roman" w:hAnsi="Times New Roman" w:eastAsia="宋体"/>
                      <w:b/>
                      <w:bCs/>
                      <w:color w:val="auto"/>
                      <w:sz w:val="21"/>
                      <w:highlight w:val="none"/>
                    </w:rPr>
                    <w:t>相符性</w:t>
                  </w:r>
                </w:p>
              </w:tc>
            </w:tr>
            <w:tr w14:paraId="1BB94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noWrap w:val="0"/>
                  <w:vAlign w:val="center"/>
                </w:tcPr>
                <w:p w14:paraId="50DFBC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highlight w:val="none"/>
                      <w:lang w:val="en-US" w:eastAsia="zh-CN"/>
                    </w:rPr>
                  </w:pPr>
                  <w:r>
                    <w:rPr>
                      <w:rFonts w:hint="eastAsia"/>
                      <w:b w:val="0"/>
                      <w:bCs w:val="0"/>
                      <w:color w:val="auto"/>
                      <w:sz w:val="21"/>
                      <w:highlight w:val="none"/>
                      <w:lang w:val="en-US" w:eastAsia="zh-CN"/>
                    </w:rPr>
                    <w:t>规划范围和面积</w:t>
                  </w:r>
                </w:p>
              </w:tc>
              <w:tc>
                <w:tcPr>
                  <w:tcW w:w="4408" w:type="dxa"/>
                  <w:noWrap w:val="0"/>
                  <w:vAlign w:val="center"/>
                </w:tcPr>
                <w:p w14:paraId="15EC8521">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lang w:val="en-US" w:eastAsia="zh-CN"/>
                    </w:rPr>
                    <w:t>无锡(太湖)国际科技园位于无锡市主城区南部，规划范围东至京杭运河、西至华谊路、南至太湖岸线和望虞河、北至高浪路总用地面积22.31km²。</w:t>
                  </w:r>
                </w:p>
              </w:tc>
              <w:tc>
                <w:tcPr>
                  <w:tcW w:w="3470" w:type="dxa"/>
                  <w:noWrap w:val="0"/>
                  <w:vAlign w:val="center"/>
                </w:tcPr>
                <w:p w14:paraId="3FBBF69D">
                  <w:pPr>
                    <w:keepNext w:val="0"/>
                    <w:keepLines w:val="0"/>
                    <w:suppressLineNumbers w:val="0"/>
                    <w:adjustRightInd w:val="0"/>
                    <w:snapToGrid w:val="0"/>
                    <w:spacing w:before="0" w:beforeAutospacing="0" w:after="0" w:afterAutospacing="0"/>
                    <w:ind w:left="0" w:right="0"/>
                    <w:jc w:val="center"/>
                    <w:rPr>
                      <w:rFonts w:hint="default"/>
                      <w:b w:val="0"/>
                      <w:bCs w:val="0"/>
                      <w:color w:val="auto"/>
                      <w:sz w:val="21"/>
                      <w:highlight w:val="none"/>
                      <w:lang w:val="en-US" w:eastAsia="zh-CN"/>
                    </w:rPr>
                  </w:pPr>
                  <w:r>
                    <w:rPr>
                      <w:rFonts w:hint="eastAsia"/>
                      <w:b w:val="0"/>
                      <w:bCs w:val="0"/>
                      <w:color w:val="auto"/>
                      <w:sz w:val="21"/>
                      <w:highlight w:val="none"/>
                      <w:lang w:val="en-US" w:eastAsia="zh-CN"/>
                    </w:rPr>
                    <w:t>本项目位于无锡市新吴区观山路36号，属于</w:t>
                  </w:r>
                  <w:r>
                    <w:rPr>
                      <w:rFonts w:hint="default"/>
                      <w:b w:val="0"/>
                      <w:bCs w:val="0"/>
                      <w:color w:val="auto"/>
                      <w:sz w:val="21"/>
                      <w:highlight w:val="none"/>
                      <w:lang w:val="en-US" w:eastAsia="zh-CN"/>
                    </w:rPr>
                    <w:t>无锡(太湖)国际科技园</w:t>
                  </w:r>
                  <w:r>
                    <w:rPr>
                      <w:rFonts w:hint="eastAsia"/>
                      <w:b w:val="0"/>
                      <w:bCs w:val="0"/>
                      <w:color w:val="auto"/>
                      <w:sz w:val="21"/>
                      <w:highlight w:val="none"/>
                      <w:lang w:val="en-US" w:eastAsia="zh-CN"/>
                    </w:rPr>
                    <w:t>规划范围。</w:t>
                  </w:r>
                </w:p>
              </w:tc>
              <w:tc>
                <w:tcPr>
                  <w:tcW w:w="807" w:type="dxa"/>
                  <w:noWrap w:val="0"/>
                  <w:vAlign w:val="center"/>
                </w:tcPr>
                <w:p w14:paraId="59C4E02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
                      <w:bCs/>
                      <w:color w:val="auto"/>
                      <w:sz w:val="21"/>
                      <w:highlight w:val="none"/>
                      <w:lang w:val="en-US" w:eastAsia="zh-CN"/>
                    </w:rPr>
                  </w:pPr>
                  <w:r>
                    <w:rPr>
                      <w:rFonts w:hint="default" w:ascii="Times New Roman" w:hAnsi="Times New Roman" w:eastAsia="宋体"/>
                      <w:color w:val="auto"/>
                      <w:sz w:val="21"/>
                      <w:highlight w:val="none"/>
                    </w:rPr>
                    <w:t>符合</w:t>
                  </w:r>
                </w:p>
              </w:tc>
            </w:tr>
            <w:tr w14:paraId="3E2CD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75" w:hRule="atLeast"/>
                <w:jc w:val="center"/>
              </w:trPr>
              <w:tc>
                <w:tcPr>
                  <w:tcW w:w="582" w:type="dxa"/>
                  <w:noWrap w:val="0"/>
                  <w:vAlign w:val="center"/>
                </w:tcPr>
                <w:p w14:paraId="74C0B3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highlight w:val="none"/>
                      <w:lang w:val="en-US" w:eastAsia="zh-CN"/>
                    </w:rPr>
                  </w:pPr>
                  <w:r>
                    <w:rPr>
                      <w:rFonts w:hint="eastAsia"/>
                      <w:b w:val="0"/>
                      <w:bCs w:val="0"/>
                      <w:color w:val="auto"/>
                      <w:sz w:val="21"/>
                      <w:highlight w:val="none"/>
                      <w:lang w:val="en-US" w:eastAsia="zh-CN"/>
                    </w:rPr>
                    <w:t>园区特征</w:t>
                  </w:r>
                </w:p>
              </w:tc>
              <w:tc>
                <w:tcPr>
                  <w:tcW w:w="4408" w:type="dxa"/>
                  <w:noWrap w:val="0"/>
                  <w:vAlign w:val="center"/>
                </w:tcPr>
                <w:p w14:paraId="7B64EE7F">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1、全域位于太湖一级保护区，区域涉及的主要河流有京杭运河、望虞河。2、不涉及国家级生态保护红线，涉及贡湖锡东饮用水水源保护区二级保护区、太湖(无锡市区)重要保护区、望虞河(无锡市区)清水通道维护区生态空间管控区域和少量永久基本农田，但均不涉及占用并禁止任何不符合主体功能的开发行为。3、本轮规划以打造无锡高新区(新吴区)“创新智核”为目标，规划发展物联网、集成电路、生命科技、数字经济、绿色低碳5个特色主导产业，建设能源数字化、平台经济、小微特机器人等“10个产业生态圈”，布局人工智能与人形机器人、元宇宙、第三代半导体、硅基光电、合成生物、储能等X个未来产业，构建“5+10+X”特色产业集群矩阵。</w:t>
                  </w:r>
                </w:p>
              </w:tc>
              <w:tc>
                <w:tcPr>
                  <w:tcW w:w="3470" w:type="dxa"/>
                  <w:noWrap w:val="0"/>
                  <w:vAlign w:val="center"/>
                </w:tcPr>
                <w:p w14:paraId="70E0AAE1">
                  <w:pPr>
                    <w:keepNext w:val="0"/>
                    <w:keepLines w:val="0"/>
                    <w:suppressLineNumbers w:val="0"/>
                    <w:adjustRightInd w:val="0"/>
                    <w:snapToGrid w:val="0"/>
                    <w:spacing w:before="0" w:beforeAutospacing="0" w:after="0" w:afterAutospacing="0"/>
                    <w:ind w:left="0" w:right="0"/>
                    <w:jc w:val="center"/>
                    <w:rPr>
                      <w:rFonts w:hint="default"/>
                      <w:b w:val="0"/>
                      <w:bCs w:val="0"/>
                      <w:color w:val="auto"/>
                      <w:sz w:val="21"/>
                      <w:highlight w:val="none"/>
                      <w:lang w:val="en-US" w:eastAsia="zh-CN"/>
                    </w:rPr>
                  </w:pPr>
                  <w:r>
                    <w:rPr>
                      <w:rFonts w:hint="eastAsia"/>
                      <w:b w:val="0"/>
                      <w:bCs w:val="0"/>
                      <w:color w:val="auto"/>
                      <w:sz w:val="21"/>
                      <w:highlight w:val="none"/>
                      <w:lang w:val="en-US" w:eastAsia="zh-CN"/>
                    </w:rPr>
                    <w:t>本项目位于</w:t>
                  </w:r>
                  <w:r>
                    <w:rPr>
                      <w:rFonts w:hint="default"/>
                      <w:b w:val="0"/>
                      <w:bCs w:val="0"/>
                      <w:color w:val="auto"/>
                      <w:sz w:val="21"/>
                      <w:highlight w:val="none"/>
                      <w:lang w:val="en-US" w:eastAsia="zh-CN"/>
                    </w:rPr>
                    <w:t>太湖一级保护区</w:t>
                  </w:r>
                  <w:r>
                    <w:rPr>
                      <w:rFonts w:hint="eastAsia"/>
                      <w:b w:val="0"/>
                      <w:bCs w:val="0"/>
                      <w:color w:val="auto"/>
                      <w:sz w:val="21"/>
                      <w:highlight w:val="none"/>
                      <w:lang w:val="en-US" w:eastAsia="zh-CN"/>
                    </w:rPr>
                    <w:t>；不涉及国家级生态保护红线：距离最近的国家级生态红线-贡湖锡东饮用水水源保护区4.0km、无锡太湖大溪港省级湿地公园4.0km；距离最近的生态空间管控区域-太湖（无锡市区）重要保护区4.0km、无锡太湖大溪港省级湿地公园4.0km。本项目属于C3589其他医疗设备及器械制造，主要针对医用高分子材料生产线和隐形矫治器生产线进行技术改造，属于自主创新的生命科技产业，符合无锡（太湖）国际科技园的产业定位。</w:t>
                  </w:r>
                </w:p>
              </w:tc>
              <w:tc>
                <w:tcPr>
                  <w:tcW w:w="807" w:type="dxa"/>
                  <w:noWrap w:val="0"/>
                  <w:vAlign w:val="center"/>
                </w:tcPr>
                <w:p w14:paraId="7B58BED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
                      <w:bCs/>
                      <w:color w:val="auto"/>
                      <w:sz w:val="21"/>
                      <w:highlight w:val="none"/>
                      <w:lang w:val="en-US" w:eastAsia="zh-CN"/>
                    </w:rPr>
                  </w:pPr>
                  <w:r>
                    <w:rPr>
                      <w:rFonts w:hint="default" w:ascii="Times New Roman" w:hAnsi="Times New Roman" w:eastAsia="宋体"/>
                      <w:color w:val="auto"/>
                      <w:sz w:val="21"/>
                      <w:highlight w:val="none"/>
                    </w:rPr>
                    <w:t>符合</w:t>
                  </w:r>
                </w:p>
              </w:tc>
            </w:tr>
            <w:tr w14:paraId="697A9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917" w:hRule="atLeast"/>
                <w:jc w:val="center"/>
              </w:trPr>
              <w:tc>
                <w:tcPr>
                  <w:tcW w:w="582" w:type="dxa"/>
                  <w:vMerge w:val="restart"/>
                  <w:noWrap w:val="0"/>
                  <w:vAlign w:val="center"/>
                </w:tcPr>
                <w:p w14:paraId="12F24C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产业准入要求</w:t>
                  </w:r>
                </w:p>
              </w:tc>
              <w:tc>
                <w:tcPr>
                  <w:tcW w:w="4408" w:type="dxa"/>
                  <w:noWrap w:val="0"/>
                  <w:vAlign w:val="center"/>
                </w:tcPr>
                <w:p w14:paraId="6AF40664">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1、禁止引进与《产业结构调整指导目录(2024年本)》、《长江经济带发展负面清单指南》(试行，2022年版)及江苏省实施细则、《太湖流域管理条例》、《江苏省太湖水污染防治条例》、《大运河江苏段核心监控区国土空间管控暂行办法》、《大运河无锡段核心监控区国土空间管控细则(试行)》、《无锡市饮用水水源保护办法》等国家、地方法律法规、产业政策相冲突的项目。</w:t>
                  </w:r>
                </w:p>
              </w:tc>
              <w:tc>
                <w:tcPr>
                  <w:tcW w:w="3470" w:type="dxa"/>
                  <w:noWrap w:val="0"/>
                  <w:vAlign w:val="center"/>
                </w:tcPr>
                <w:p w14:paraId="124585B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color w:val="auto"/>
                      <w:sz w:val="21"/>
                      <w:szCs w:val="21"/>
                      <w:highlight w:val="none"/>
                      <w:lang w:val="en-US" w:eastAsia="zh-CN"/>
                    </w:rPr>
                    <w:t>本项目</w:t>
                  </w:r>
                  <w:r>
                    <w:rPr>
                      <w:rFonts w:hint="eastAsia" w:ascii="Times New Roman" w:hAnsi="Times New Roman" w:eastAsia="宋体"/>
                      <w:color w:val="auto"/>
                      <w:sz w:val="21"/>
                      <w:highlight w:val="none"/>
                      <w:lang w:val="en-US" w:eastAsia="zh-CN"/>
                    </w:rPr>
                    <w:t>行业类</w:t>
                  </w:r>
                  <w:r>
                    <w:rPr>
                      <w:rFonts w:hint="eastAsia" w:ascii="Times New Roman" w:hAnsi="Times New Roman" w:eastAsia="宋体" w:cs="Times New Roman"/>
                      <w:color w:val="auto"/>
                      <w:sz w:val="21"/>
                      <w:highlight w:val="none"/>
                      <w:lang w:val="en-US" w:eastAsia="zh-CN"/>
                    </w:rPr>
                    <w:t>别为[C3589]其他医疗设备及器械制造</w:t>
                  </w:r>
                  <w:r>
                    <w:rPr>
                      <w:rFonts w:hint="eastAsia" w:cs="Times New Roman"/>
                      <w:color w:val="auto"/>
                      <w:sz w:val="21"/>
                      <w:highlight w:val="none"/>
                      <w:lang w:val="en-US" w:eastAsia="zh-CN"/>
                    </w:rPr>
                    <w:t>，主要</w:t>
                  </w:r>
                  <w:r>
                    <w:rPr>
                      <w:rFonts w:hint="eastAsia"/>
                      <w:color w:val="auto"/>
                      <w:sz w:val="21"/>
                      <w:szCs w:val="21"/>
                      <w:highlight w:val="none"/>
                      <w:lang w:val="en-US" w:eastAsia="zh-CN"/>
                    </w:rPr>
                    <w:t>对医用高分子材料生产线和隐形矫治器生产线进行技术改造</w:t>
                  </w:r>
                  <w:r>
                    <w:rPr>
                      <w:rFonts w:hint="eastAsia" w:ascii="Times New Roman" w:hAnsi="Times New Roman" w:eastAsia="宋体" w:cs="Times New Roman"/>
                      <w:color w:val="auto"/>
                      <w:sz w:val="21"/>
                      <w:highlight w:val="none"/>
                      <w:lang w:val="en-US" w:eastAsia="zh-CN"/>
                    </w:rPr>
                    <w:t>；不</w:t>
                  </w:r>
                  <w:r>
                    <w:rPr>
                      <w:rFonts w:hint="default" w:ascii="Times New Roman" w:hAnsi="Times New Roman" w:eastAsia="宋体" w:cs="Times New Roman"/>
                      <w:color w:val="auto"/>
                      <w:sz w:val="21"/>
                      <w:szCs w:val="21"/>
                      <w:highlight w:val="none"/>
                    </w:rPr>
                    <w:t>属于《</w:t>
                  </w:r>
                  <w:r>
                    <w:rPr>
                      <w:rFonts w:hint="eastAsia" w:ascii="Times New Roman" w:hAnsi="Times New Roman" w:eastAsia="宋体" w:cs="Times New Roman"/>
                      <w:color w:val="auto"/>
                      <w:sz w:val="21"/>
                      <w:szCs w:val="21"/>
                      <w:highlight w:val="none"/>
                      <w:lang w:eastAsia="zh-CN"/>
                    </w:rPr>
                    <w:t>产业结构调整指导目录（2024年本）</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中限制类、淘汰类</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不属于</w:t>
                  </w:r>
                  <w:r>
                    <w:rPr>
                      <w:rFonts w:hint="default" w:ascii="Times New Roman" w:hAnsi="Times New Roman" w:eastAsia="宋体" w:cs="Times New Roman"/>
                      <w:color w:val="auto"/>
                      <w:sz w:val="21"/>
                      <w:szCs w:val="21"/>
                      <w:highlight w:val="none"/>
                    </w:rPr>
                    <w:t>《长江经济带发展负面清单指南》(试行，2022年版)及江苏省实施细则、《太湖流域管理条例》、《江苏省太湖水污染防治条例》、《大运河江苏段核心监控区国土空间管控暂行办法》、《大运河无锡段核心监控区国土空间管控细则(试行)》、《无锡市饮用水水源保护办法》等国家、地方法律法规、产业政策相冲突的项目。</w:t>
                  </w:r>
                </w:p>
              </w:tc>
              <w:tc>
                <w:tcPr>
                  <w:tcW w:w="807" w:type="dxa"/>
                  <w:noWrap w:val="0"/>
                  <w:vAlign w:val="center"/>
                </w:tcPr>
                <w:p w14:paraId="28ABA817">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12CC3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3CECA5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3CE8E36F">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2、禁止建设生产和使用高VOCs含量的涂料、油墨、胶粘剂项目(现阶段确实无法实施原料替代的项目需提供不可替代的论证说明)。</w:t>
                  </w:r>
                </w:p>
              </w:tc>
              <w:tc>
                <w:tcPr>
                  <w:tcW w:w="3470" w:type="dxa"/>
                  <w:noWrap w:val="0"/>
                  <w:vAlign w:val="center"/>
                </w:tcPr>
                <w:p w14:paraId="29A02D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lang w:val="en-US" w:eastAsia="zh-CN"/>
                    </w:rPr>
                  </w:pPr>
                  <w:r>
                    <w:rPr>
                      <w:rFonts w:hint="default" w:ascii="Times New Roman" w:hAnsi="Times New Roman" w:eastAsia="宋体"/>
                      <w:color w:val="auto"/>
                      <w:sz w:val="21"/>
                      <w:highlight w:val="none"/>
                      <w:lang w:val="en-US" w:eastAsia="zh-CN"/>
                    </w:rPr>
                    <w:t>本项目不涉及</w:t>
                  </w:r>
                  <w:r>
                    <w:rPr>
                      <w:rFonts w:hint="eastAsia"/>
                      <w:color w:val="auto"/>
                      <w:sz w:val="21"/>
                      <w:highlight w:val="none"/>
                      <w:lang w:val="en-US" w:eastAsia="zh-CN"/>
                    </w:rPr>
                    <w:t>生产和使用高VOCs含量的</w:t>
                  </w:r>
                  <w:r>
                    <w:rPr>
                      <w:rFonts w:hint="default" w:ascii="Times New Roman" w:hAnsi="Times New Roman" w:eastAsia="宋体"/>
                      <w:color w:val="auto"/>
                      <w:sz w:val="21"/>
                      <w:highlight w:val="none"/>
                      <w:lang w:val="en-US" w:eastAsia="zh-CN"/>
                    </w:rPr>
                    <w:t>溶剂型涂料、油墨、胶粘剂、清洗剂。现有项目使用的氟保护漆等为不可替代材料，根据无锡市口腔医学会不可替代的意见，目前氟保护漆暂无可替代产品。企业将在满足工艺要求的前提下使用低VOC水基型材料进行替代，从源头减少VOCs产生。（详见附件17）</w:t>
                  </w:r>
                </w:p>
              </w:tc>
              <w:tc>
                <w:tcPr>
                  <w:tcW w:w="807" w:type="dxa"/>
                  <w:noWrap w:val="0"/>
                  <w:vAlign w:val="center"/>
                </w:tcPr>
                <w:p w14:paraId="769191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2DF64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43F490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6DE1326F">
                  <w:pPr>
                    <w:keepNext w:val="0"/>
                    <w:keepLines w:val="0"/>
                    <w:suppressLineNumbers w:val="0"/>
                    <w:spacing w:before="0" w:beforeAutospacing="0" w:after="0" w:afterAutospacing="0"/>
                    <w:ind w:left="0" w:right="0"/>
                    <w:jc w:val="both"/>
                    <w:rPr>
                      <w:rFonts w:hint="default" w:ascii="Times New Roman" w:hAnsi="Times New Roman" w:eastAsia="宋体"/>
                      <w:color w:val="auto"/>
                      <w:sz w:val="21"/>
                      <w:highlight w:val="none"/>
                    </w:rPr>
                  </w:pPr>
                  <w:r>
                    <w:rPr>
                      <w:rFonts w:hint="default" w:ascii="Times New Roman" w:hAnsi="Times New Roman" w:eastAsia="宋体"/>
                      <w:color w:val="auto"/>
                      <w:sz w:val="21"/>
                      <w:szCs w:val="21"/>
                      <w:highlight w:val="none"/>
                    </w:rPr>
                    <w:t>3、禁止引入单纯电镀加工项目，禁止涉重金属废水排放项目准入。</w:t>
                  </w:r>
                </w:p>
              </w:tc>
              <w:tc>
                <w:tcPr>
                  <w:tcW w:w="3470" w:type="dxa"/>
                  <w:noWrap w:val="0"/>
                  <w:vAlign w:val="center"/>
                </w:tcPr>
                <w:p w14:paraId="5A6258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本项目不属于电镀加工项目，不属于重金属废水排放项目。</w:t>
                  </w:r>
                </w:p>
              </w:tc>
              <w:tc>
                <w:tcPr>
                  <w:tcW w:w="807" w:type="dxa"/>
                  <w:noWrap w:val="0"/>
                  <w:vAlign w:val="center"/>
                </w:tcPr>
                <w:p w14:paraId="3039FD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5816C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6FDAEB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594AC1F8">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4、禁止新建化工、医药生产项目。</w:t>
                  </w:r>
                </w:p>
              </w:tc>
              <w:tc>
                <w:tcPr>
                  <w:tcW w:w="3470" w:type="dxa"/>
                  <w:noWrap w:val="0"/>
                  <w:vAlign w:val="center"/>
                </w:tcPr>
                <w:p w14:paraId="42B628DB">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本项目不属于化工、医药生产项目。</w:t>
                  </w:r>
                </w:p>
              </w:tc>
              <w:tc>
                <w:tcPr>
                  <w:tcW w:w="807" w:type="dxa"/>
                  <w:noWrap w:val="0"/>
                  <w:vAlign w:val="center"/>
                </w:tcPr>
                <w:p w14:paraId="27D734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525CB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5D665E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62A5A779">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5、遏制建材、钢铁等“两高”类项目盲目发展。</w:t>
                  </w:r>
                </w:p>
              </w:tc>
              <w:tc>
                <w:tcPr>
                  <w:tcW w:w="3470" w:type="dxa"/>
                  <w:noWrap w:val="0"/>
                  <w:vAlign w:val="center"/>
                </w:tcPr>
                <w:p w14:paraId="314BDB7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本项目不属于建材、钢铁等“两高”类项目。</w:t>
                  </w:r>
                </w:p>
              </w:tc>
              <w:tc>
                <w:tcPr>
                  <w:tcW w:w="807" w:type="dxa"/>
                  <w:noWrap w:val="0"/>
                  <w:vAlign w:val="center"/>
                </w:tcPr>
                <w:p w14:paraId="533B7CE9">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085F5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12C029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76005A1F">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6、全域禁止引入不符合太湖条例的含氮磷废水排放的项目。</w:t>
                  </w:r>
                </w:p>
              </w:tc>
              <w:tc>
                <w:tcPr>
                  <w:tcW w:w="3470" w:type="dxa"/>
                  <w:noWrap w:val="0"/>
                  <w:vAlign w:val="center"/>
                </w:tcPr>
                <w:p w14:paraId="72BC3ED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本项目不新增生产废水的产生及排放，不属于不符合太湖条例的含氮磷废水排放的项目。</w:t>
                  </w:r>
                </w:p>
              </w:tc>
              <w:tc>
                <w:tcPr>
                  <w:tcW w:w="807" w:type="dxa"/>
                  <w:noWrap w:val="0"/>
                  <w:vAlign w:val="center"/>
                </w:tcPr>
                <w:p w14:paraId="6B491655">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0C254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582" w:type="dxa"/>
                  <w:vMerge w:val="restart"/>
                  <w:noWrap w:val="0"/>
                  <w:vAlign w:val="center"/>
                </w:tcPr>
                <w:p w14:paraId="3AF81DFF">
                  <w:pPr>
                    <w:keepNext w:val="0"/>
                    <w:keepLines w:val="0"/>
                    <w:suppressLineNumbers w:val="0"/>
                    <w:adjustRightInd w:val="0"/>
                    <w:snapToGrid w:val="0"/>
                    <w:spacing w:before="0" w:beforeAutospacing="0" w:after="0" w:afterAutospacing="0"/>
                    <w:ind w:left="0" w:right="0"/>
                    <w:jc w:val="center"/>
                    <w:rPr>
                      <w:rFonts w:hint="default"/>
                      <w:color w:val="auto"/>
                      <w:sz w:val="21"/>
                      <w:highlight w:val="none"/>
                      <w:lang w:val="en-US" w:eastAsia="zh-CN"/>
                    </w:rPr>
                  </w:pPr>
                  <w:r>
                    <w:rPr>
                      <w:rFonts w:hint="eastAsia"/>
                      <w:color w:val="auto"/>
                      <w:sz w:val="21"/>
                      <w:highlight w:val="none"/>
                      <w:lang w:val="en-US" w:eastAsia="zh-CN"/>
                    </w:rPr>
                    <w:t>空间布局约束</w:t>
                  </w:r>
                </w:p>
              </w:tc>
              <w:tc>
                <w:tcPr>
                  <w:tcW w:w="4408" w:type="dxa"/>
                  <w:noWrap w:val="0"/>
                  <w:vAlign w:val="center"/>
                </w:tcPr>
                <w:p w14:paraId="1465AE65">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1、严格落实《江苏省禁止用地项目目录(2013年本)》、《江苏省限制用地项目目录(2013年本)》等文件中有关条件、标准或要求。</w:t>
                  </w:r>
                </w:p>
              </w:tc>
              <w:tc>
                <w:tcPr>
                  <w:tcW w:w="3470" w:type="dxa"/>
                  <w:noWrap w:val="0"/>
                  <w:vAlign w:val="center"/>
                </w:tcPr>
                <w:p w14:paraId="1ABCCFD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olor w:val="auto"/>
                      <w:sz w:val="21"/>
                      <w:highlight w:val="none"/>
                      <w:lang w:val="en-US"/>
                    </w:rPr>
                  </w:pPr>
                  <w:r>
                    <w:rPr>
                      <w:rFonts w:hint="eastAsia"/>
                      <w:color w:val="auto"/>
                      <w:sz w:val="21"/>
                      <w:highlight w:val="none"/>
                      <w:lang w:val="en-US" w:eastAsia="zh-CN"/>
                    </w:rPr>
                    <w:t>本项目是在现有厂区范围内进行建设，不新增用地，符合</w:t>
                  </w:r>
                  <w:r>
                    <w:rPr>
                      <w:rFonts w:hint="default" w:ascii="Times New Roman" w:hAnsi="Times New Roman" w:eastAsia="宋体"/>
                      <w:color w:val="auto"/>
                      <w:sz w:val="21"/>
                      <w:highlight w:val="none"/>
                      <w:lang w:val="en-US" w:eastAsia="zh-CN"/>
                    </w:rPr>
                    <w:t>《江苏省禁止用地项目目录(2013年本)》、《江苏省限制用地项目目录(2013年本)》等文件中有关条件、标准或要求。</w:t>
                  </w:r>
                </w:p>
              </w:tc>
              <w:tc>
                <w:tcPr>
                  <w:tcW w:w="807" w:type="dxa"/>
                  <w:noWrap w:val="0"/>
                  <w:vAlign w:val="center"/>
                </w:tcPr>
                <w:p w14:paraId="34C15B3E">
                  <w:pPr>
                    <w:keepNext w:val="0"/>
                    <w:keepLines w:val="0"/>
                    <w:suppressLineNumbers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7DFAB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1BC60278">
                  <w:pPr>
                    <w:keepNext w:val="0"/>
                    <w:keepLines w:val="0"/>
                    <w:suppressLineNumbers w:val="0"/>
                    <w:adjustRightInd w:val="0"/>
                    <w:snapToGrid w:val="0"/>
                    <w:spacing w:before="0" w:beforeAutospacing="0" w:after="0" w:afterAutospacing="0"/>
                    <w:ind w:left="0" w:right="0"/>
                    <w:jc w:val="center"/>
                    <w:rPr>
                      <w:rFonts w:hint="default"/>
                      <w:color w:val="auto"/>
                      <w:sz w:val="21"/>
                      <w:highlight w:val="none"/>
                      <w:lang w:val="en-US" w:eastAsia="zh-CN"/>
                    </w:rPr>
                  </w:pPr>
                </w:p>
              </w:tc>
              <w:tc>
                <w:tcPr>
                  <w:tcW w:w="4408" w:type="dxa"/>
                  <w:noWrap w:val="0"/>
                  <w:vAlign w:val="center"/>
                </w:tcPr>
                <w:p w14:paraId="487B809C">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2、规划居住用地周边优先引入无污染或轻污染的企业或项目，并加强绿化隔离带建设，结合具体项目确定并落实防护距离的设置。</w:t>
                  </w:r>
                </w:p>
              </w:tc>
              <w:tc>
                <w:tcPr>
                  <w:tcW w:w="3470" w:type="dxa"/>
                  <w:noWrap w:val="0"/>
                  <w:vAlign w:val="center"/>
                </w:tcPr>
                <w:p w14:paraId="11B81ABF">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本项目建成后全厂设置卫生防护距离为生产车间1号楼外50m、生产车间2号楼外50m、生产车间3号楼外100m、生产车间4号楼外50m、实验室外50m以及</w:t>
                  </w:r>
                  <w:r>
                    <w:rPr>
                      <w:rFonts w:hint="eastAsia" w:cs="Times New Roman"/>
                      <w:color w:val="auto"/>
                      <w:sz w:val="21"/>
                      <w:highlight w:val="none"/>
                      <w:lang w:val="en-US" w:eastAsia="zh-CN"/>
                    </w:rPr>
                    <w:t>危险废物</w:t>
                  </w:r>
                  <w:r>
                    <w:rPr>
                      <w:rFonts w:hint="eastAsia" w:ascii="Times New Roman" w:hAnsi="Times New Roman" w:eastAsia="宋体" w:cs="Times New Roman"/>
                      <w:color w:val="auto"/>
                      <w:sz w:val="21"/>
                      <w:highlight w:val="none"/>
                      <w:lang w:val="en-US" w:eastAsia="zh-CN"/>
                    </w:rPr>
                    <w:t>仓库外50m所形成的包络线</w:t>
                  </w:r>
                  <w:r>
                    <w:rPr>
                      <w:rFonts w:hint="default" w:ascii="Times New Roman" w:hAnsi="Times New Roman" w:eastAsia="宋体" w:cs="Times New Roman"/>
                      <w:color w:val="auto"/>
                      <w:sz w:val="21"/>
                      <w:highlight w:val="none"/>
                      <w:lang w:val="en-US" w:eastAsia="zh-CN"/>
                    </w:rPr>
                    <w:t>，根据周围环境图，卫生防护距离范围内无环境敏感保护目标。</w:t>
                  </w:r>
                </w:p>
              </w:tc>
              <w:tc>
                <w:tcPr>
                  <w:tcW w:w="807" w:type="dxa"/>
                  <w:noWrap w:val="0"/>
                  <w:vAlign w:val="center"/>
                </w:tcPr>
                <w:p w14:paraId="63A46B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3699C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2CDD732E">
                  <w:pPr>
                    <w:keepNext w:val="0"/>
                    <w:keepLines w:val="0"/>
                    <w:suppressLineNumbers w:val="0"/>
                    <w:adjustRightInd w:val="0"/>
                    <w:snapToGrid w:val="0"/>
                    <w:spacing w:before="0" w:beforeAutospacing="0" w:after="0" w:afterAutospacing="0"/>
                    <w:ind w:left="0" w:right="0"/>
                    <w:jc w:val="center"/>
                    <w:rPr>
                      <w:rFonts w:hint="default"/>
                      <w:color w:val="auto"/>
                      <w:sz w:val="21"/>
                      <w:highlight w:val="none"/>
                      <w:lang w:val="en-US" w:eastAsia="zh-CN"/>
                    </w:rPr>
                  </w:pPr>
                </w:p>
              </w:tc>
              <w:tc>
                <w:tcPr>
                  <w:tcW w:w="4408" w:type="dxa"/>
                  <w:noWrap w:val="0"/>
                  <w:vAlign w:val="center"/>
                </w:tcPr>
                <w:p w14:paraId="64E79830">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3、全域禁止设置剧毒物质、危险化学品的贮存、输送设施和废物回收场、垃圾场。</w:t>
                  </w:r>
                </w:p>
              </w:tc>
              <w:tc>
                <w:tcPr>
                  <w:tcW w:w="3470" w:type="dxa"/>
                  <w:noWrap w:val="0"/>
                  <w:vAlign w:val="center"/>
                </w:tcPr>
                <w:p w14:paraId="2F68C74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本项目不</w:t>
                  </w:r>
                  <w:r>
                    <w:rPr>
                      <w:rFonts w:hint="default" w:ascii="Times New Roman" w:hAnsi="Times New Roman" w:eastAsia="宋体" w:cs="Times New Roman"/>
                      <w:color w:val="auto"/>
                      <w:sz w:val="21"/>
                      <w:highlight w:val="none"/>
                      <w:lang w:val="en-US" w:eastAsia="zh-CN"/>
                    </w:rPr>
                    <w:t>设置剧毒物质、危险化学品的贮存、输送设施和废物回收场、垃圾场</w:t>
                  </w:r>
                </w:p>
              </w:tc>
              <w:tc>
                <w:tcPr>
                  <w:tcW w:w="807" w:type="dxa"/>
                  <w:noWrap w:val="0"/>
                  <w:vAlign w:val="center"/>
                </w:tcPr>
                <w:p w14:paraId="384B4D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650A7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582" w:type="dxa"/>
                  <w:vMerge w:val="continue"/>
                  <w:noWrap w:val="0"/>
                  <w:vAlign w:val="center"/>
                </w:tcPr>
                <w:p w14:paraId="6422F37E">
                  <w:pPr>
                    <w:keepNext w:val="0"/>
                    <w:keepLines w:val="0"/>
                    <w:suppressLineNumbers w:val="0"/>
                    <w:adjustRightInd w:val="0"/>
                    <w:snapToGrid w:val="0"/>
                    <w:spacing w:before="0" w:beforeAutospacing="0" w:after="0" w:afterAutospacing="0"/>
                    <w:ind w:left="0" w:right="0"/>
                    <w:jc w:val="center"/>
                    <w:rPr>
                      <w:rFonts w:hint="default"/>
                      <w:color w:val="auto"/>
                      <w:sz w:val="21"/>
                      <w:highlight w:val="none"/>
                      <w:lang w:val="en-US" w:eastAsia="zh-CN"/>
                    </w:rPr>
                  </w:pPr>
                </w:p>
              </w:tc>
              <w:tc>
                <w:tcPr>
                  <w:tcW w:w="4408" w:type="dxa"/>
                  <w:noWrap w:val="0"/>
                  <w:vAlign w:val="center"/>
                </w:tcPr>
                <w:p w14:paraId="73D5E0B2">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4、环湖高速以南的区域内禁止新建、改建、扩建排放水污染物和存在水环境污染隐患的建设项目。</w:t>
                  </w:r>
                </w:p>
              </w:tc>
              <w:tc>
                <w:tcPr>
                  <w:tcW w:w="3470" w:type="dxa"/>
                  <w:noWrap w:val="0"/>
                  <w:vAlign w:val="center"/>
                </w:tcPr>
                <w:p w14:paraId="3985A6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本项目位于江苏省无锡市新吴区观山路36号，不在环湖高速以南的区域。</w:t>
                  </w:r>
                </w:p>
              </w:tc>
              <w:tc>
                <w:tcPr>
                  <w:tcW w:w="807" w:type="dxa"/>
                  <w:noWrap w:val="0"/>
                  <w:vAlign w:val="center"/>
                </w:tcPr>
                <w:p w14:paraId="40B5FF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2A177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21128A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3D204E34">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5、严格落实江苏省生态空间管控区域管控要求，除开展对生态功能不造成破坏的有限人为活动外，任何单位和个人不得擅自占用区内的生态空间管控区域。</w:t>
                  </w:r>
                </w:p>
              </w:tc>
              <w:tc>
                <w:tcPr>
                  <w:tcW w:w="3470" w:type="dxa"/>
                  <w:noWrap w:val="0"/>
                  <w:vAlign w:val="center"/>
                </w:tcPr>
                <w:p w14:paraId="5F0D06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sz w:val="21"/>
                      <w:highlight w:val="none"/>
                    </w:rPr>
                  </w:pPr>
                  <w:r>
                    <w:rPr>
                      <w:rFonts w:hint="eastAsia"/>
                      <w:color w:val="auto"/>
                      <w:sz w:val="21"/>
                      <w:highlight w:val="none"/>
                      <w:lang w:val="en-US" w:eastAsia="zh-CN"/>
                    </w:rPr>
                    <w:t>本项目</w:t>
                  </w:r>
                  <w:r>
                    <w:rPr>
                      <w:rFonts w:hint="default" w:ascii="Times New Roman" w:hAnsi="Times New Roman" w:eastAsia="宋体"/>
                      <w:color w:val="auto"/>
                      <w:sz w:val="21"/>
                      <w:highlight w:val="none"/>
                      <w:lang w:val="en-US" w:eastAsia="zh-CN"/>
                    </w:rPr>
                    <w:t>严格落实江苏省生态空间管控区域管控要求，</w:t>
                  </w:r>
                  <w:r>
                    <w:rPr>
                      <w:rFonts w:hint="eastAsia"/>
                      <w:color w:val="auto"/>
                      <w:sz w:val="21"/>
                      <w:highlight w:val="none"/>
                      <w:lang w:val="en-US" w:eastAsia="zh-CN"/>
                    </w:rPr>
                    <w:t>不</w:t>
                  </w:r>
                  <w:r>
                    <w:rPr>
                      <w:rFonts w:hint="default" w:ascii="Times New Roman" w:hAnsi="Times New Roman" w:eastAsia="宋体"/>
                      <w:color w:val="auto"/>
                      <w:sz w:val="21"/>
                      <w:highlight w:val="none"/>
                      <w:lang w:val="en-US" w:eastAsia="zh-CN"/>
                    </w:rPr>
                    <w:t>擅自占用区内的生态空间管控区域。</w:t>
                  </w:r>
                </w:p>
              </w:tc>
              <w:tc>
                <w:tcPr>
                  <w:tcW w:w="807" w:type="dxa"/>
                  <w:noWrap w:val="0"/>
                  <w:vAlign w:val="center"/>
                </w:tcPr>
                <w:p w14:paraId="38EF01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1B903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2FF72B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3EE8DF42">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6、严格落实《基本农田保护条例》，除国家重点建设项目并经国务院批准外，任何单位和个人不得改变或者占用区内的基本农田。</w:t>
                  </w:r>
                </w:p>
              </w:tc>
              <w:tc>
                <w:tcPr>
                  <w:tcW w:w="3470" w:type="dxa"/>
                  <w:noWrap w:val="0"/>
                  <w:vAlign w:val="center"/>
                </w:tcPr>
                <w:p w14:paraId="391C74D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本项目</w:t>
                  </w:r>
                  <w:r>
                    <w:rPr>
                      <w:rFonts w:hint="default" w:ascii="Times New Roman" w:hAnsi="Times New Roman" w:eastAsia="宋体" w:cs="Times New Roman"/>
                      <w:color w:val="auto"/>
                      <w:sz w:val="21"/>
                      <w:highlight w:val="none"/>
                      <w:lang w:val="en-US" w:eastAsia="zh-CN"/>
                    </w:rPr>
                    <w:t>严格落实《基本农田保护条例》，</w:t>
                  </w:r>
                  <w:r>
                    <w:rPr>
                      <w:rFonts w:hint="eastAsia" w:cs="Times New Roman"/>
                      <w:color w:val="auto"/>
                      <w:sz w:val="21"/>
                      <w:highlight w:val="none"/>
                      <w:lang w:val="en-US" w:eastAsia="zh-CN"/>
                    </w:rPr>
                    <w:t>不改变或</w:t>
                  </w:r>
                  <w:r>
                    <w:rPr>
                      <w:rFonts w:hint="default" w:ascii="Times New Roman" w:hAnsi="Times New Roman" w:eastAsia="宋体" w:cs="Times New Roman"/>
                      <w:color w:val="auto"/>
                      <w:sz w:val="21"/>
                      <w:highlight w:val="none"/>
                      <w:lang w:val="en-US" w:eastAsia="zh-CN"/>
                    </w:rPr>
                    <w:t>者占用区内的基本农田。</w:t>
                  </w:r>
                </w:p>
              </w:tc>
              <w:tc>
                <w:tcPr>
                  <w:tcW w:w="807" w:type="dxa"/>
                  <w:noWrap w:val="0"/>
                  <w:vAlign w:val="center"/>
                </w:tcPr>
                <w:p w14:paraId="2B6508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4EBD0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restart"/>
                  <w:noWrap w:val="0"/>
                  <w:vAlign w:val="center"/>
                </w:tcPr>
                <w:p w14:paraId="4E4993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污染物排放管控</w:t>
                  </w:r>
                </w:p>
              </w:tc>
              <w:tc>
                <w:tcPr>
                  <w:tcW w:w="4408" w:type="dxa"/>
                  <w:noWrap w:val="0"/>
                  <w:vAlign w:val="center"/>
                </w:tcPr>
                <w:p w14:paraId="082B2721">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1、对于国家排放标准中已规定大气污染物特别排放限值的行业全面执行大气污染物特别排放限值。</w:t>
                  </w:r>
                </w:p>
              </w:tc>
              <w:tc>
                <w:tcPr>
                  <w:tcW w:w="3470" w:type="dxa"/>
                  <w:vMerge w:val="restart"/>
                  <w:noWrap w:val="0"/>
                  <w:vAlign w:val="center"/>
                </w:tcPr>
                <w:p w14:paraId="1A19E61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kern w:val="2"/>
                      <w:sz w:val="21"/>
                      <w:szCs w:val="21"/>
                      <w:highlight w:val="none"/>
                      <w:lang w:val="en-US" w:eastAsia="zh-CN" w:bidi="ar-SA"/>
                    </w:rPr>
                    <w:t>本项目</w:t>
                  </w:r>
                  <w:r>
                    <w:rPr>
                      <w:rFonts w:hint="eastAsia" w:ascii="Times New Roman" w:hAnsi="Times New Roman" w:eastAsia="宋体" w:cs="Times New Roman"/>
                      <w:color w:val="auto"/>
                      <w:kern w:val="2"/>
                      <w:sz w:val="21"/>
                      <w:szCs w:val="21"/>
                      <w:highlight w:val="none"/>
                      <w:lang w:val="en-US" w:eastAsia="zh-CN" w:bidi="ar-SA"/>
                    </w:rPr>
                    <w:t>新增</w:t>
                  </w:r>
                  <w:r>
                    <w:rPr>
                      <w:rFonts w:hint="default" w:ascii="Times New Roman" w:hAnsi="Times New Roman" w:eastAsia="宋体" w:cs="Times New Roman"/>
                      <w:color w:val="auto"/>
                      <w:kern w:val="2"/>
                      <w:sz w:val="21"/>
                      <w:szCs w:val="21"/>
                      <w:highlight w:val="none"/>
                      <w:lang w:val="en-US" w:eastAsia="zh-CN" w:bidi="ar-SA"/>
                    </w:rPr>
                    <w:t>非甲烷总烃、颗粒物的排放总量在新吴区内平衡，</w:t>
                  </w:r>
                  <w:r>
                    <w:rPr>
                      <w:rFonts w:hint="eastAsia" w:cs="Times New Roman"/>
                      <w:color w:val="auto"/>
                      <w:kern w:val="2"/>
                      <w:sz w:val="21"/>
                      <w:szCs w:val="21"/>
                      <w:highlight w:val="none"/>
                      <w:lang w:val="en-US" w:eastAsia="zh-CN" w:bidi="ar-SA"/>
                    </w:rPr>
                    <w:t>本项目新增设备清洗废水作为危险废物委托资质单位处置，不外排</w:t>
                  </w:r>
                  <w:r>
                    <w:rPr>
                      <w:rFonts w:hint="default" w:ascii="Times New Roman" w:hAnsi="Times New Roman" w:eastAsia="宋体" w:cs="Times New Roman"/>
                      <w:color w:val="auto"/>
                      <w:kern w:val="2"/>
                      <w:sz w:val="21"/>
                      <w:szCs w:val="21"/>
                      <w:highlight w:val="none"/>
                      <w:lang w:val="en-US" w:eastAsia="zh-CN" w:bidi="ar-SA"/>
                    </w:rPr>
                    <w:t>。本项目将加强各类污染物防治措施，避免对土壤和地下水造成影响。</w:t>
                  </w:r>
                </w:p>
              </w:tc>
              <w:tc>
                <w:tcPr>
                  <w:tcW w:w="807" w:type="dxa"/>
                  <w:vMerge w:val="restart"/>
                  <w:noWrap w:val="0"/>
                  <w:vAlign w:val="center"/>
                </w:tcPr>
                <w:p w14:paraId="1700D6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0C52C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33485D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1EDE86BA">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2、严格新建项目总量前置审批，新建项目按省、市相关文件落实“等量”或“减量”替代要求。</w:t>
                  </w:r>
                </w:p>
              </w:tc>
              <w:tc>
                <w:tcPr>
                  <w:tcW w:w="3470" w:type="dxa"/>
                  <w:vMerge w:val="continue"/>
                  <w:noWrap w:val="0"/>
                  <w:vAlign w:val="center"/>
                </w:tcPr>
                <w:p w14:paraId="17101ED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p>
              </w:tc>
              <w:tc>
                <w:tcPr>
                  <w:tcW w:w="807" w:type="dxa"/>
                  <w:vMerge w:val="continue"/>
                  <w:noWrap w:val="0"/>
                  <w:vAlign w:val="center"/>
                </w:tcPr>
                <w:p w14:paraId="224450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r>
            <w:tr w14:paraId="08AA6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7D5614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3F9DD944">
                  <w:pPr>
                    <w:keepNext w:val="0"/>
                    <w:keepLines w:val="0"/>
                    <w:suppressLineNumbers w:val="0"/>
                    <w:spacing w:before="0" w:beforeAutospacing="0" w:after="0" w:afterAutospacing="0"/>
                    <w:ind w:left="0" w:right="0"/>
                    <w:jc w:val="both"/>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3、总量控制：大气污染物</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近期</w:t>
                  </w:r>
                  <w:r>
                    <w:rPr>
                      <w:rFonts w:hint="eastAsia"/>
                      <w:color w:val="auto"/>
                      <w:sz w:val="21"/>
                      <w:szCs w:val="21"/>
                      <w:highlight w:val="none"/>
                      <w:lang w:val="en-US" w:eastAsia="zh-CN"/>
                    </w:rPr>
                    <w:t>：</w:t>
                  </w:r>
                  <w:r>
                    <w:rPr>
                      <w:rFonts w:hint="eastAsia" w:ascii="Times New Roman" w:hAnsi="Times New Roman" w:eastAsia="宋体"/>
                      <w:color w:val="auto"/>
                      <w:sz w:val="21"/>
                      <w:szCs w:val="21"/>
                      <w:highlight w:val="none"/>
                      <w:lang w:val="en-US" w:eastAsia="zh-CN"/>
                    </w:rPr>
                    <w:t>颗粒物5.5848吨/年、二氧化硫0.8293 吨/年、氮氧化物7.0277吨/年、VOCs 7.2023吨/年;远期：颗粒物4.9540吨/年、二氧化硫1.1450吨/年、氮氧化物7.2347吨/年、VOCs9.4567吨/年。水污染物:近期:排水量463.30万吨/年、COD185.32吨/年、氨氮</w:t>
                  </w:r>
                </w:p>
                <w:p w14:paraId="13DC5A5B">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19.20 吨/年、总氮46.09吨/年、总磷1.15吨/年；远期：排水量694.90万吨/年、COD 277.96吨/年、氨氮29.28吨/年、总氮70.28 吨/年、总磷 1.76 吨/年。</w:t>
                  </w:r>
                </w:p>
              </w:tc>
              <w:tc>
                <w:tcPr>
                  <w:tcW w:w="3470" w:type="dxa"/>
                  <w:vMerge w:val="continue"/>
                  <w:noWrap w:val="0"/>
                  <w:vAlign w:val="center"/>
                </w:tcPr>
                <w:p w14:paraId="26F166C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p>
              </w:tc>
              <w:tc>
                <w:tcPr>
                  <w:tcW w:w="807" w:type="dxa"/>
                  <w:vMerge w:val="continue"/>
                  <w:noWrap w:val="0"/>
                  <w:vAlign w:val="center"/>
                </w:tcPr>
                <w:p w14:paraId="799C5E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r>
            <w:tr w14:paraId="745CB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755" w:hRule="atLeast"/>
                <w:jc w:val="center"/>
              </w:trPr>
              <w:tc>
                <w:tcPr>
                  <w:tcW w:w="582" w:type="dxa"/>
                  <w:vMerge w:val="restart"/>
                  <w:noWrap w:val="0"/>
                  <w:vAlign w:val="center"/>
                </w:tcPr>
                <w:p w14:paraId="1D0A1A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环境风险防控</w:t>
                  </w:r>
                </w:p>
              </w:tc>
              <w:tc>
                <w:tcPr>
                  <w:tcW w:w="4408" w:type="dxa"/>
                  <w:noWrap w:val="0"/>
                  <w:vAlign w:val="center"/>
                </w:tcPr>
                <w:p w14:paraId="25D2235D">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1、生产、使用、储存危险化学品或其他存在环境风险的企业事业单位，应当采取风险防范措施，并按要求编制环境风险应急预案。</w:t>
                  </w:r>
                </w:p>
              </w:tc>
              <w:tc>
                <w:tcPr>
                  <w:tcW w:w="3470" w:type="dxa"/>
                  <w:vMerge w:val="restart"/>
                  <w:noWrap w:val="0"/>
                  <w:vAlign w:val="center"/>
                </w:tcPr>
                <w:p w14:paraId="22E2440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bCs/>
                      <w:color w:val="auto"/>
                      <w:highlight w:val="none"/>
                      <w:lang w:val="en-US" w:eastAsia="zh-CN"/>
                    </w:rPr>
                    <w:t>企业已于2025年2月26日取得突发环境事件应急预案备案表，备案编号为320214-2025-054-L，后期应根据《江苏省突发环境事件应急预案管理办法》要求对环境应急预案进行修编。企业应</w:t>
                  </w:r>
                  <w:r>
                    <w:rPr>
                      <w:rFonts w:hint="eastAsia" w:cs="Times New Roman"/>
                      <w:bCs/>
                      <w:color w:val="auto"/>
                      <w:highlight w:val="none"/>
                      <w:lang w:val="en-US" w:eastAsia="zh-CN"/>
                    </w:rPr>
                    <w:t>按照要求采取风险防范措施，建设突发水污染事件应急防范体系，</w:t>
                  </w:r>
                  <w:r>
                    <w:rPr>
                      <w:rFonts w:hint="default"/>
                      <w:bCs/>
                      <w:color w:val="auto"/>
                      <w:highlight w:val="none"/>
                      <w:lang w:eastAsia="zh-CN"/>
                    </w:rPr>
                    <w:t>定期开展环境应急演练，完善环境应急响应联动机制，提升应急实战水平。探索建立突发环境事件隐患排查长效机制，保障区域环境安全。</w:t>
                  </w:r>
                </w:p>
              </w:tc>
              <w:tc>
                <w:tcPr>
                  <w:tcW w:w="807" w:type="dxa"/>
                  <w:vMerge w:val="restart"/>
                  <w:noWrap w:val="0"/>
                  <w:vAlign w:val="center"/>
                </w:tcPr>
                <w:p w14:paraId="28AAD3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4B8A4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7C21AA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7C09A87F">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US" w:eastAsia="zh-CN"/>
                    </w:rPr>
                    <w:t>2、加强区内各级大中小园区管理，建立突发水污染事件应急防范体系，完善园区突发水污染事件三级防控体系工程建设。</w:t>
                  </w:r>
                </w:p>
              </w:tc>
              <w:tc>
                <w:tcPr>
                  <w:tcW w:w="3470" w:type="dxa"/>
                  <w:vMerge w:val="continue"/>
                  <w:noWrap w:val="0"/>
                  <w:vAlign w:val="center"/>
                </w:tcPr>
                <w:p w14:paraId="04B3E9F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p>
              </w:tc>
              <w:tc>
                <w:tcPr>
                  <w:tcW w:w="807" w:type="dxa"/>
                  <w:vMerge w:val="continue"/>
                  <w:noWrap w:val="0"/>
                  <w:vAlign w:val="center"/>
                </w:tcPr>
                <w:p w14:paraId="6390DC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r>
            <w:tr w14:paraId="56175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restart"/>
                  <w:noWrap w:val="0"/>
                  <w:vAlign w:val="center"/>
                </w:tcPr>
                <w:p w14:paraId="767440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lang w:val="en-US" w:eastAsia="zh-CN"/>
                    </w:rPr>
                  </w:pPr>
                  <w:r>
                    <w:rPr>
                      <w:rFonts w:hint="eastAsia"/>
                      <w:color w:val="auto"/>
                      <w:sz w:val="21"/>
                      <w:highlight w:val="none"/>
                      <w:lang w:val="en-US" w:eastAsia="zh-CN"/>
                    </w:rPr>
                    <w:t>资源开发利用要求</w:t>
                  </w:r>
                </w:p>
              </w:tc>
              <w:tc>
                <w:tcPr>
                  <w:tcW w:w="4408" w:type="dxa"/>
                  <w:noWrap w:val="0"/>
                  <w:vAlign w:val="center"/>
                </w:tcPr>
                <w:p w14:paraId="14DB2F28">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1、到2035年，土地资源总量不高于22.31平方公里，建设用地总量不高于19.259平方公里，工业用地总量不高于2.982 平方公里。</w:t>
                  </w:r>
                </w:p>
              </w:tc>
              <w:tc>
                <w:tcPr>
                  <w:tcW w:w="3470" w:type="dxa"/>
                  <w:vMerge w:val="restart"/>
                  <w:noWrap w:val="0"/>
                  <w:vAlign w:val="center"/>
                </w:tcPr>
                <w:p w14:paraId="689E695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本项目位于</w:t>
                  </w:r>
                  <w:r>
                    <w:rPr>
                      <w:rFonts w:hint="default" w:ascii="Times New Roman" w:hAnsi="Times New Roman" w:eastAsia="宋体" w:cs="Times New Roman"/>
                      <w:color w:val="auto"/>
                      <w:sz w:val="21"/>
                      <w:highlight w:val="none"/>
                      <w:lang w:val="en-US" w:eastAsia="zh-CN"/>
                    </w:rPr>
                    <w:t>无锡市新吴区观山路36号</w:t>
                  </w:r>
                  <w:r>
                    <w:rPr>
                      <w:rFonts w:hint="default" w:ascii="Times New Roman" w:hAnsi="Times New Roman" w:eastAsia="宋体" w:cs="Times New Roman"/>
                      <w:color w:val="auto"/>
                      <w:sz w:val="21"/>
                      <w:highlight w:val="none"/>
                    </w:rPr>
                    <w:t>，</w:t>
                  </w:r>
                  <w:r>
                    <w:rPr>
                      <w:rFonts w:hint="default" w:ascii="Times New Roman" w:hAnsi="Times New Roman" w:eastAsia="宋体" w:cs="Times New Roman"/>
                      <w:color w:val="auto"/>
                      <w:sz w:val="21"/>
                      <w:highlight w:val="none"/>
                      <w:lang w:val="en-US" w:eastAsia="zh-CN"/>
                    </w:rPr>
                    <w:t>在原有厂房内进行生产</w:t>
                  </w:r>
                  <w:r>
                    <w:rPr>
                      <w:rFonts w:hint="eastAsia" w:cs="Times New Roman"/>
                      <w:color w:val="auto"/>
                      <w:sz w:val="21"/>
                      <w:highlight w:val="none"/>
                      <w:lang w:val="en-US" w:eastAsia="zh-CN"/>
                    </w:rPr>
                    <w:t>，不新增用地。本项目</w:t>
                  </w:r>
                  <w:r>
                    <w:rPr>
                      <w:rFonts w:hint="default" w:ascii="Times New Roman" w:hAnsi="Times New Roman" w:eastAsia="宋体" w:cs="Times New Roman"/>
                      <w:color w:val="auto"/>
                      <w:sz w:val="21"/>
                      <w:highlight w:val="none"/>
                    </w:rPr>
                    <w:t>所使用的能源主要为</w:t>
                  </w:r>
                  <w:r>
                    <w:rPr>
                      <w:rFonts w:hint="eastAsia" w:cs="Times New Roman"/>
                      <w:color w:val="auto"/>
                      <w:sz w:val="21"/>
                      <w:highlight w:val="none"/>
                      <w:lang w:val="en-US" w:eastAsia="zh-CN"/>
                    </w:rPr>
                    <w:t>自来</w:t>
                  </w:r>
                  <w:r>
                    <w:rPr>
                      <w:rFonts w:hint="default" w:ascii="Times New Roman" w:hAnsi="Times New Roman" w:eastAsia="宋体" w:cs="Times New Roman"/>
                      <w:color w:val="auto"/>
                      <w:sz w:val="21"/>
                      <w:highlight w:val="none"/>
                    </w:rPr>
                    <w:t>水、电。本项目用水水源来自市政管网，用电由市政供电系统供电，能满足本项目的用水和用电</w:t>
                  </w:r>
                  <w:r>
                    <w:rPr>
                      <w:rFonts w:hint="default" w:ascii="Times New Roman" w:hAnsi="Times New Roman" w:eastAsia="宋体" w:cs="Times New Roman"/>
                      <w:color w:val="auto"/>
                      <w:sz w:val="21"/>
                      <w:highlight w:val="none"/>
                      <w:lang w:eastAsia="zh-CN"/>
                    </w:rPr>
                    <w:t>需求，</w:t>
                  </w:r>
                  <w:r>
                    <w:rPr>
                      <w:rFonts w:hint="default" w:ascii="Times New Roman" w:hAnsi="Times New Roman" w:eastAsia="宋体" w:cs="Times New Roman"/>
                      <w:color w:val="auto"/>
                      <w:sz w:val="21"/>
                      <w:highlight w:val="none"/>
                    </w:rPr>
                    <w:t>不会达到资源利用上线</w:t>
                  </w:r>
                  <w:r>
                    <w:rPr>
                      <w:rFonts w:hint="default" w:ascii="Times New Roman" w:hAnsi="Times New Roman" w:eastAsia="宋体" w:cs="Times New Roman"/>
                      <w:color w:val="auto"/>
                      <w:sz w:val="21"/>
                      <w:highlight w:val="none"/>
                      <w:lang w:val="en-US" w:eastAsia="zh-CN"/>
                    </w:rPr>
                    <w:t>。</w:t>
                  </w:r>
                </w:p>
                <w:p w14:paraId="199C3A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lang w:val="en-US"/>
                    </w:rPr>
                  </w:pPr>
                  <w:r>
                    <w:rPr>
                      <w:rFonts w:hint="eastAsia" w:cs="Times New Roman"/>
                      <w:color w:val="auto"/>
                      <w:sz w:val="21"/>
                      <w:highlight w:val="none"/>
                      <w:lang w:val="en-US" w:eastAsia="zh-CN"/>
                    </w:rPr>
                    <w:t>本项目不销售使用燃料为“II类”。本项目生产工艺、设备、资源能源利用、污染物排放、废物回收利用、环境管理应达到同行业领先水平。本项目不开采地下水。</w:t>
                  </w:r>
                </w:p>
              </w:tc>
              <w:tc>
                <w:tcPr>
                  <w:tcW w:w="807" w:type="dxa"/>
                  <w:vMerge w:val="restart"/>
                  <w:noWrap w:val="0"/>
                  <w:vAlign w:val="center"/>
                </w:tcPr>
                <w:p w14:paraId="66EA88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r>
                    <w:rPr>
                      <w:rFonts w:hint="default" w:ascii="Times New Roman" w:hAnsi="Times New Roman" w:eastAsia="宋体"/>
                      <w:color w:val="auto"/>
                      <w:sz w:val="21"/>
                      <w:highlight w:val="none"/>
                    </w:rPr>
                    <w:t>符合</w:t>
                  </w:r>
                </w:p>
              </w:tc>
            </w:tr>
            <w:tr w14:paraId="64A86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374A73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1D57EA57">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2、到2035年，园区单位工业增加值新鲜水耗≤10.55立方米/万元。</w:t>
                  </w:r>
                </w:p>
              </w:tc>
              <w:tc>
                <w:tcPr>
                  <w:tcW w:w="3470" w:type="dxa"/>
                  <w:vMerge w:val="continue"/>
                  <w:noWrap w:val="0"/>
                  <w:vAlign w:val="center"/>
                </w:tcPr>
                <w:p w14:paraId="034A08E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p>
              </w:tc>
              <w:tc>
                <w:tcPr>
                  <w:tcW w:w="807" w:type="dxa"/>
                  <w:vMerge w:val="continue"/>
                  <w:noWrap w:val="0"/>
                  <w:vAlign w:val="center"/>
                </w:tcPr>
                <w:p w14:paraId="7EC85D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r>
            <w:tr w14:paraId="23A11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59" w:hRule="atLeast"/>
                <w:jc w:val="center"/>
              </w:trPr>
              <w:tc>
                <w:tcPr>
                  <w:tcW w:w="582" w:type="dxa"/>
                  <w:vMerge w:val="continue"/>
                  <w:noWrap w:val="0"/>
                  <w:vAlign w:val="center"/>
                </w:tcPr>
                <w:p w14:paraId="4E7C60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57D05D4D">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3、到2035年，园区单位工业增加值综合能耗≤0.085吨标煤/万元。</w:t>
                  </w:r>
                </w:p>
              </w:tc>
              <w:tc>
                <w:tcPr>
                  <w:tcW w:w="3470" w:type="dxa"/>
                  <w:vMerge w:val="continue"/>
                  <w:noWrap w:val="0"/>
                  <w:vAlign w:val="center"/>
                </w:tcPr>
                <w:p w14:paraId="716938F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p>
              </w:tc>
              <w:tc>
                <w:tcPr>
                  <w:tcW w:w="807" w:type="dxa"/>
                  <w:vMerge w:val="continue"/>
                  <w:noWrap w:val="0"/>
                  <w:vAlign w:val="center"/>
                </w:tcPr>
                <w:p w14:paraId="721669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r>
            <w:tr w14:paraId="6853C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60E415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4C723802">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4、禁止销售使用燃料为“II类”(较严)，具体包括：①除单台出力大于等于20蒸吨/小时锅炉以外燃用的煤炭及其制品。②石油焦、油页岩、原油、重油、渣油、煤焦油。</w:t>
                  </w:r>
                </w:p>
              </w:tc>
              <w:tc>
                <w:tcPr>
                  <w:tcW w:w="3470" w:type="dxa"/>
                  <w:vMerge w:val="continue"/>
                  <w:noWrap w:val="0"/>
                  <w:vAlign w:val="center"/>
                </w:tcPr>
                <w:p w14:paraId="7E5FB7C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p>
              </w:tc>
              <w:tc>
                <w:tcPr>
                  <w:tcW w:w="807" w:type="dxa"/>
                  <w:vMerge w:val="continue"/>
                  <w:noWrap w:val="0"/>
                  <w:vAlign w:val="center"/>
                </w:tcPr>
                <w:p w14:paraId="36B554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r>
            <w:tr w14:paraId="1CF60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582" w:type="dxa"/>
                  <w:vMerge w:val="continue"/>
                  <w:noWrap w:val="0"/>
                  <w:vAlign w:val="center"/>
                </w:tcPr>
                <w:p w14:paraId="77B899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5AA7DF09">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5、入区重点企业清洁生产应达国内先进水平以上，引进项目的生产工艺、设备，以及资源能源利用、污染物排放、废物回收利用、环境管理要求等必须达到同行业领先水平。</w:t>
                  </w:r>
                </w:p>
              </w:tc>
              <w:tc>
                <w:tcPr>
                  <w:tcW w:w="3470" w:type="dxa"/>
                  <w:vMerge w:val="continue"/>
                  <w:noWrap w:val="0"/>
                  <w:vAlign w:val="center"/>
                </w:tcPr>
                <w:p w14:paraId="1C6DFD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p>
              </w:tc>
              <w:tc>
                <w:tcPr>
                  <w:tcW w:w="807" w:type="dxa"/>
                  <w:vMerge w:val="continue"/>
                  <w:noWrap w:val="0"/>
                  <w:vAlign w:val="center"/>
                </w:tcPr>
                <w:p w14:paraId="5C1E3C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r>
            <w:tr w14:paraId="62DCC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621" w:hRule="atLeast"/>
                <w:jc w:val="center"/>
              </w:trPr>
              <w:tc>
                <w:tcPr>
                  <w:tcW w:w="582" w:type="dxa"/>
                  <w:vMerge w:val="continue"/>
                  <w:noWrap w:val="0"/>
                  <w:vAlign w:val="center"/>
                </w:tcPr>
                <w:p w14:paraId="3EBF58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c>
                <w:tcPr>
                  <w:tcW w:w="4408" w:type="dxa"/>
                  <w:noWrap w:val="0"/>
                  <w:vAlign w:val="center"/>
                </w:tcPr>
                <w:p w14:paraId="3CF841EF">
                  <w:pPr>
                    <w:keepNext w:val="0"/>
                    <w:keepLines w:val="0"/>
                    <w:suppressLineNumbers w:val="0"/>
                    <w:spacing w:before="0" w:beforeAutospacing="0" w:after="0" w:afterAutospacing="0"/>
                    <w:ind w:left="0" w:right="0"/>
                    <w:jc w:val="both"/>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6、全面开展节水型社会建设，推进节水产品推广普及，限制高耗水服务业用水。禁止开采地下水。</w:t>
                  </w:r>
                </w:p>
              </w:tc>
              <w:tc>
                <w:tcPr>
                  <w:tcW w:w="3470" w:type="dxa"/>
                  <w:vMerge w:val="continue"/>
                  <w:noWrap w:val="0"/>
                  <w:vAlign w:val="center"/>
                </w:tcPr>
                <w:p w14:paraId="3C7FECB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highlight w:val="none"/>
                    </w:rPr>
                  </w:pPr>
                </w:p>
              </w:tc>
              <w:tc>
                <w:tcPr>
                  <w:tcW w:w="807" w:type="dxa"/>
                  <w:vMerge w:val="continue"/>
                  <w:noWrap w:val="0"/>
                  <w:vAlign w:val="center"/>
                </w:tcPr>
                <w:p w14:paraId="4CDC52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highlight w:val="none"/>
                    </w:rPr>
                  </w:pPr>
                </w:p>
              </w:tc>
            </w:tr>
          </w:tbl>
          <w:p w14:paraId="1EC8CD7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66" w:firstLineChars="200"/>
              <w:jc w:val="both"/>
              <w:textAlignment w:val="auto"/>
              <w:rPr>
                <w:rFonts w:hint="eastAsia" w:ascii="Times New Roman" w:hAnsi="Times New Roman" w:eastAsia="宋体" w:cs="Times New Roman"/>
                <w:color w:val="auto"/>
                <w:spacing w:val="-4"/>
                <w:highlight w:val="none"/>
              </w:rPr>
            </w:pPr>
            <w:r>
              <w:rPr>
                <w:rFonts w:hint="eastAsia" w:ascii="Times New Roman" w:hAnsi="Times New Roman" w:eastAsia="宋体" w:cs="Times New Roman"/>
                <w:b/>
                <w:bCs/>
                <w:color w:val="auto"/>
                <w:spacing w:val="-4"/>
                <w:sz w:val="24"/>
                <w:szCs w:val="32"/>
                <w:highlight w:val="none"/>
                <w:lang w:val="en-US" w:eastAsia="zh-CN"/>
              </w:rPr>
              <w:t>②</w:t>
            </w:r>
            <w:r>
              <w:rPr>
                <w:rFonts w:hint="eastAsia" w:ascii="Times New Roman" w:hAnsi="Times New Roman" w:eastAsia="宋体" w:cs="Times New Roman"/>
                <w:b/>
                <w:bCs/>
                <w:color w:val="auto"/>
                <w:sz w:val="24"/>
                <w:szCs w:val="32"/>
                <w:highlight w:val="none"/>
              </w:rPr>
              <w:t>与</w:t>
            </w:r>
            <w:r>
              <w:rPr>
                <w:rFonts w:hint="default" w:ascii="Times New Roman" w:hAnsi="Times New Roman" w:eastAsia="宋体" w:cs="Times New Roman"/>
                <w:b/>
                <w:bCs/>
                <w:color w:val="auto"/>
                <w:sz w:val="24"/>
                <w:szCs w:val="24"/>
                <w:highlight w:val="none"/>
              </w:rPr>
              <w:t>《市场准入负面清单》（</w:t>
            </w:r>
            <w:r>
              <w:rPr>
                <w:rFonts w:hint="eastAsia" w:cs="Times New Roman"/>
                <w:b/>
                <w:bCs/>
                <w:color w:val="auto"/>
                <w:sz w:val="24"/>
                <w:szCs w:val="24"/>
                <w:highlight w:val="none"/>
                <w:lang w:val="en-US" w:eastAsia="zh-CN"/>
              </w:rPr>
              <w:t>2025</w:t>
            </w:r>
            <w:r>
              <w:rPr>
                <w:rFonts w:hint="default" w:ascii="Times New Roman" w:hAnsi="Times New Roman" w:eastAsia="宋体" w:cs="Times New Roman"/>
                <w:b/>
                <w:bCs/>
                <w:color w:val="auto"/>
                <w:sz w:val="24"/>
                <w:szCs w:val="24"/>
                <w:highlight w:val="none"/>
              </w:rPr>
              <w:t>年版）</w:t>
            </w:r>
            <w:r>
              <w:rPr>
                <w:rFonts w:hint="default" w:ascii="Times New Roman" w:hAnsi="Times New Roman" w:eastAsia="宋体" w:cs="Times New Roman"/>
                <w:b/>
                <w:bCs/>
                <w:color w:val="auto"/>
                <w:sz w:val="24"/>
                <w:szCs w:val="24"/>
                <w:highlight w:val="none"/>
                <w:lang w:eastAsia="zh-CN"/>
              </w:rPr>
              <w:t>、《长江经济带发展负面清单指南（试行，2022年版）》（长江办</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eastAsia="zh-CN"/>
              </w:rPr>
              <w:t>2022</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eastAsia="zh-CN"/>
              </w:rPr>
              <w:t>7号）</w:t>
            </w:r>
            <w:r>
              <w:rPr>
                <w:rFonts w:hint="eastAsia"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kern w:val="0"/>
                <w:sz w:val="24"/>
                <w:szCs w:val="24"/>
                <w:highlight w:val="none"/>
              </w:rPr>
              <w:t>《长江经济带发展负面清单指南（试行，2022版）江苏省实施细则》（长江办</w:t>
            </w:r>
            <w:r>
              <w:rPr>
                <w:rFonts w:hint="eastAsia"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rPr>
              <w:t>2022</w:t>
            </w:r>
            <w:r>
              <w:rPr>
                <w:rFonts w:hint="eastAsia" w:ascii="Times New Roman" w:hAnsi="Times New Roman" w:eastAsia="宋体" w:cs="Times New Roman"/>
                <w:b/>
                <w:bCs/>
                <w:color w:val="auto"/>
                <w:kern w:val="0"/>
                <w:sz w:val="24"/>
                <w:szCs w:val="24"/>
                <w:highlight w:val="none"/>
                <w:lang w:eastAsia="zh-CN"/>
              </w:rPr>
              <w:t>〕</w:t>
            </w:r>
            <w:r>
              <w:rPr>
                <w:rFonts w:hint="default" w:ascii="Times New Roman" w:hAnsi="Times New Roman" w:eastAsia="宋体" w:cs="Times New Roman"/>
                <w:b/>
                <w:bCs/>
                <w:color w:val="auto"/>
                <w:kern w:val="0"/>
                <w:sz w:val="24"/>
                <w:szCs w:val="24"/>
                <w:highlight w:val="none"/>
              </w:rPr>
              <w:t>55号）</w:t>
            </w:r>
            <w:r>
              <w:rPr>
                <w:rFonts w:hint="default" w:ascii="Times New Roman" w:hAnsi="Times New Roman" w:eastAsia="宋体" w:cs="Times New Roman"/>
                <w:b/>
                <w:bCs/>
                <w:color w:val="auto"/>
                <w:sz w:val="24"/>
                <w:szCs w:val="24"/>
                <w:highlight w:val="none"/>
              </w:rPr>
              <w:t>相符性</w:t>
            </w:r>
          </w:p>
          <w:p w14:paraId="70C6F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本项目行业类别为[C3589]其他医疗设备及器械制造，经对照《市场准入负面清单》（202</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年版），本项目的建设不属于禁止准入类。因此，本项目的建设未列入《市场准入负面清单》（202</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年版）。</w:t>
            </w:r>
          </w:p>
          <w:p w14:paraId="4EDFC0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szCs w:val="24"/>
                <w:highlight w:val="none"/>
              </w:rPr>
              <w:t>此外，对照《长江经济带发展负面清单指南（试行，2022年版）》（长江办</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7号）、《长江经济带发展负面清单指南（试行，2022年版）》江苏省实施细则（苏长江办发</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2022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55号），本项目无码头，不涉及生态红线区域，不涉及饮用水源地保护区，不属于文件中禁止建设的项目，不违背文件要求</w:t>
            </w:r>
            <w:r>
              <w:rPr>
                <w:rFonts w:hint="eastAsia" w:ascii="Times New Roman" w:hAnsi="Times New Roman" w:eastAsia="宋体" w:cs="Times New Roman"/>
                <w:color w:val="auto"/>
                <w:sz w:val="24"/>
                <w:szCs w:val="24"/>
                <w:highlight w:val="none"/>
                <w:lang w:eastAsia="zh-CN"/>
              </w:rPr>
              <w:t>。</w:t>
            </w:r>
          </w:p>
          <w:p w14:paraId="0F9E980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综上所述，建设项目符合国家、地方产业政策，项目选址符合区域总体规划，并能够满足生态保护红线，环境质量底线、资源利用上限以及环境准入负面清单的要求</w:t>
            </w:r>
            <w:r>
              <w:rPr>
                <w:rFonts w:hint="eastAsia" w:ascii="Times New Roman" w:hAnsi="Times New Roman" w:eastAsia="宋体" w:cs="宋体"/>
                <w:color w:val="auto"/>
                <w:kern w:val="2"/>
                <w:sz w:val="24"/>
                <w:szCs w:val="24"/>
                <w:highlight w:val="none"/>
                <w:lang w:val="en-US" w:eastAsia="zh-CN" w:bidi="ar-SA"/>
              </w:rPr>
              <w:t>。</w:t>
            </w:r>
          </w:p>
          <w:p w14:paraId="5F77E3C1">
            <w:pPr>
              <w:keepNext w:val="0"/>
              <w:keepLines w:val="0"/>
              <w:suppressLineNumbers w:val="0"/>
              <w:snapToGrid w:val="0"/>
              <w:spacing w:before="0" w:beforeAutospacing="0" w:after="0" w:afterAutospacing="0" w:line="360" w:lineRule="auto"/>
              <w:ind w:left="0" w:right="0"/>
              <w:rPr>
                <w:rFonts w:hint="eastAsia" w:ascii="Times New Roman" w:hAnsi="Times New Roman" w:eastAsia="宋体" w:cs="Times New Roman"/>
                <w:color w:val="auto"/>
                <w:spacing w:val="-4"/>
                <w:highlight w:val="none"/>
              </w:rPr>
            </w:pPr>
            <w:r>
              <w:rPr>
                <w:rFonts w:hint="eastAsia" w:ascii="Times New Roman" w:hAnsi="Times New Roman" w:eastAsia="宋体" w:cs="Times New Roman"/>
                <w:b/>
                <w:bCs/>
                <w:color w:val="auto"/>
                <w:spacing w:val="-4"/>
                <w:sz w:val="24"/>
                <w:szCs w:val="32"/>
                <w:highlight w:val="none"/>
                <w:lang w:val="en-US" w:eastAsia="zh-CN"/>
              </w:rPr>
              <w:t>2、</w:t>
            </w:r>
            <w:r>
              <w:rPr>
                <w:rFonts w:hint="eastAsia" w:ascii="Times New Roman" w:hAnsi="Times New Roman" w:eastAsia="宋体" w:cs="Times New Roman"/>
                <w:b/>
                <w:bCs/>
                <w:color w:val="auto"/>
                <w:sz w:val="24"/>
                <w:szCs w:val="32"/>
                <w:highlight w:val="none"/>
              </w:rPr>
              <w:t>与《关于印发大运河江苏段核心监控区国土空间管控暂行办法的通知》（苏政发〔2021〕20号）、《市政府关于印发大运河无锡段核心监控区国土空间管控细则（试行）的通知》（锡政规〔2023〕7号）的相符性分析</w:t>
            </w:r>
          </w:p>
          <w:p w14:paraId="0E1D2663">
            <w:pPr>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113" w:righ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本项目距离京杭运河约765米，位于大运河无锡段核心监控区，属于核心监控区内的建成区。</w:t>
            </w:r>
          </w:p>
          <w:p w14:paraId="23F5085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181" w:firstLineChars="75"/>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表1-</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与苏政发〔2021〕20号</w:t>
            </w:r>
            <w:r>
              <w:rPr>
                <w:rFonts w:hint="eastAsia" w:cs="Times New Roman"/>
                <w:b/>
                <w:bCs/>
                <w:color w:val="auto"/>
                <w:sz w:val="24"/>
                <w:szCs w:val="24"/>
                <w:highlight w:val="none"/>
                <w:lang w:eastAsia="zh-CN"/>
              </w:rPr>
              <w:t>、</w:t>
            </w:r>
            <w:r>
              <w:rPr>
                <w:rFonts w:hint="eastAsia" w:ascii="Times New Roman" w:hAnsi="Times New Roman" w:eastAsia="宋体" w:cs="Times New Roman"/>
                <w:b/>
                <w:bCs/>
                <w:color w:val="auto"/>
                <w:sz w:val="24"/>
                <w:szCs w:val="32"/>
                <w:highlight w:val="none"/>
              </w:rPr>
              <w:t>锡政规〔2023〕7号</w:t>
            </w:r>
            <w:r>
              <w:rPr>
                <w:rFonts w:hint="default" w:ascii="Times New Roman" w:hAnsi="Times New Roman" w:eastAsia="宋体" w:cs="Times New Roman"/>
                <w:b/>
                <w:bCs/>
                <w:color w:val="auto"/>
                <w:sz w:val="24"/>
                <w:szCs w:val="24"/>
                <w:highlight w:val="none"/>
              </w:rPr>
              <w:t>的相符性分析</w:t>
            </w:r>
          </w:p>
          <w:tbl>
            <w:tblPr>
              <w:tblStyle w:val="25"/>
              <w:tblW w:w="498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4636"/>
              <w:gridCol w:w="2392"/>
              <w:gridCol w:w="939"/>
            </w:tblGrid>
            <w:tr w14:paraId="381E9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trPr>
              <w:tc>
                <w:tcPr>
                  <w:tcW w:w="695" w:type="pct"/>
                  <w:tcBorders>
                    <w:tl2br w:val="nil"/>
                    <w:tr2bl w:val="nil"/>
                  </w:tcBorders>
                  <w:noWrap w:val="0"/>
                  <w:vAlign w:val="center"/>
                </w:tcPr>
                <w:p w14:paraId="0C4482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文件名称</w:t>
                  </w:r>
                </w:p>
              </w:tc>
              <w:tc>
                <w:tcPr>
                  <w:tcW w:w="2504" w:type="pct"/>
                  <w:tcBorders>
                    <w:tl2br w:val="nil"/>
                    <w:tr2bl w:val="nil"/>
                  </w:tcBorders>
                  <w:noWrap w:val="0"/>
                  <w:vAlign w:val="center"/>
                </w:tcPr>
                <w:p w14:paraId="663349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1292" w:type="pct"/>
                  <w:tcBorders>
                    <w:tl2br w:val="nil"/>
                    <w:tr2bl w:val="nil"/>
                  </w:tcBorders>
                  <w:noWrap w:val="0"/>
                  <w:vAlign w:val="center"/>
                </w:tcPr>
                <w:p w14:paraId="7C948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本项目</w:t>
                  </w:r>
                  <w:r>
                    <w:rPr>
                      <w:rFonts w:hint="default" w:ascii="Times New Roman" w:hAnsi="Times New Roman" w:eastAsia="宋体" w:cs="Times New Roman"/>
                      <w:b/>
                      <w:bCs/>
                      <w:color w:val="auto"/>
                      <w:sz w:val="21"/>
                      <w:szCs w:val="21"/>
                      <w:highlight w:val="none"/>
                      <w:lang w:eastAsia="zh-CN"/>
                    </w:rPr>
                    <w:t>情况</w:t>
                  </w:r>
                </w:p>
              </w:tc>
              <w:tc>
                <w:tcPr>
                  <w:tcW w:w="507" w:type="pct"/>
                  <w:tcBorders>
                    <w:tl2br w:val="nil"/>
                    <w:tr2bl w:val="nil"/>
                  </w:tcBorders>
                  <w:noWrap w:val="0"/>
                  <w:vAlign w:val="center"/>
                </w:tcPr>
                <w:p w14:paraId="328590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相符性分析</w:t>
                  </w:r>
                </w:p>
              </w:tc>
            </w:tr>
            <w:tr w14:paraId="57D45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95" w:type="pct"/>
                  <w:tcBorders>
                    <w:tl2br w:val="nil"/>
                    <w:tr2bl w:val="nil"/>
                  </w:tcBorders>
                  <w:noWrap w:val="0"/>
                  <w:vAlign w:val="center"/>
                </w:tcPr>
                <w:p w14:paraId="422102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苏政发〔2021〕20号</w:t>
                  </w:r>
                </w:p>
              </w:tc>
              <w:tc>
                <w:tcPr>
                  <w:tcW w:w="2504" w:type="pct"/>
                  <w:tcBorders>
                    <w:tl2br w:val="nil"/>
                    <w:tr2bl w:val="nil"/>
                  </w:tcBorders>
                  <w:noWrap w:val="0"/>
                  <w:vAlign w:val="center"/>
                </w:tcPr>
                <w:p w14:paraId="3C02F2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建成区（城市、建制镇）内，严禁实施不符合产业政策、规划和管制要求的建设项目</w:t>
                  </w:r>
                  <w:r>
                    <w:rPr>
                      <w:rFonts w:hint="eastAsia" w:ascii="Times New Roman" w:hAnsi="Times New Roman" w:eastAsia="宋体" w:cs="Times New Roman"/>
                      <w:color w:val="auto"/>
                      <w:sz w:val="21"/>
                      <w:szCs w:val="21"/>
                      <w:highlight w:val="none"/>
                      <w:vertAlign w:val="baseline"/>
                      <w:lang w:val="en-US" w:eastAsia="zh-CN"/>
                    </w:rPr>
                    <w:t>。</w:t>
                  </w:r>
                </w:p>
                <w:p w14:paraId="46CAB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城市建成区老城改造应加强建筑高度管控，开展建筑高度影响分析，按照高层禁建区管理，落实限高、限密度的具体要求，限制各类用地调整为大型的工商业、商务办公、住宅商品房、仓储物流设施等项目用地</w:t>
                  </w:r>
                  <w:r>
                    <w:rPr>
                      <w:rFonts w:hint="eastAsia" w:ascii="Times New Roman" w:hAnsi="Times New Roman" w:eastAsia="宋体" w:cs="Times New Roman"/>
                      <w:color w:val="auto"/>
                      <w:sz w:val="21"/>
                      <w:szCs w:val="21"/>
                      <w:highlight w:val="none"/>
                      <w:vertAlign w:val="baseline"/>
                      <w:lang w:val="en-US" w:eastAsia="zh-CN"/>
                    </w:rPr>
                    <w:t>。</w:t>
                  </w:r>
                </w:p>
              </w:tc>
              <w:tc>
                <w:tcPr>
                  <w:tcW w:w="1292" w:type="pct"/>
                  <w:tcBorders>
                    <w:tl2br w:val="nil"/>
                    <w:tr2bl w:val="nil"/>
                  </w:tcBorders>
                  <w:noWrap w:val="0"/>
                  <w:vAlign w:val="center"/>
                </w:tcPr>
                <w:p w14:paraId="0A2271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olor w:val="auto"/>
                      <w:szCs w:val="21"/>
                      <w:highlight w:val="none"/>
                    </w:rPr>
                    <w:t>位于</w:t>
                  </w:r>
                  <w:r>
                    <w:rPr>
                      <w:rFonts w:hint="eastAsia" w:ascii="Times New Roman" w:hAnsi="Times New Roman" w:eastAsia="宋体" w:cs="Times New Roman"/>
                      <w:color w:val="auto"/>
                      <w:sz w:val="21"/>
                      <w:szCs w:val="21"/>
                      <w:highlight w:val="none"/>
                      <w:lang w:eastAsia="zh-CN"/>
                    </w:rPr>
                    <w:t>无锡市新吴区观山路36号</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vertAlign w:val="baseline"/>
                      <w:lang w:val="en-US" w:eastAsia="zh-CN"/>
                    </w:rPr>
                    <w:t>属于核心监控区内的建成区，</w:t>
                  </w:r>
                  <w:r>
                    <w:rPr>
                      <w:rFonts w:hint="default" w:ascii="Times New Roman" w:hAnsi="Times New Roman" w:eastAsia="宋体" w:cs="Times New Roman"/>
                      <w:color w:val="auto"/>
                      <w:sz w:val="21"/>
                      <w:szCs w:val="21"/>
                      <w:highlight w:val="none"/>
                      <w:vertAlign w:val="baseline"/>
                      <w:lang w:val="en-US" w:eastAsia="zh-CN"/>
                    </w:rPr>
                    <w:t>行业类别为[C3589]其他医疗设备及器械制造</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对照符合国家和地方产业政策要求</w:t>
                  </w:r>
                  <w:r>
                    <w:rPr>
                      <w:rFonts w:hint="eastAsia" w:ascii="Times New Roman" w:hAnsi="Times New Roman" w:eastAsia="宋体" w:cs="Times New Roman"/>
                      <w:color w:val="auto"/>
                      <w:sz w:val="21"/>
                      <w:szCs w:val="21"/>
                      <w:highlight w:val="none"/>
                      <w:lang w:val="en-US" w:eastAsia="zh-CN"/>
                    </w:rPr>
                    <w:t>，符合用地规划</w:t>
                  </w:r>
                  <w:r>
                    <w:rPr>
                      <w:rFonts w:hint="default" w:ascii="Times New Roman" w:hAnsi="Times New Roman" w:eastAsia="宋体" w:cs="Times New Roman"/>
                      <w:color w:val="auto"/>
                      <w:sz w:val="21"/>
                      <w:szCs w:val="21"/>
                      <w:highlight w:val="none"/>
                      <w:lang w:val="en-US" w:eastAsia="zh-CN"/>
                    </w:rPr>
                    <w:t>；此外，项目</w:t>
                  </w:r>
                  <w:r>
                    <w:rPr>
                      <w:rFonts w:hint="eastAsia"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vertAlign w:val="baseline"/>
                      <w:lang w:val="en-US" w:eastAsia="zh-CN"/>
                    </w:rPr>
                    <w:t>无锡（太湖）国际科技园</w:t>
                  </w:r>
                  <w:r>
                    <w:rPr>
                      <w:rFonts w:hint="eastAsia" w:ascii="Times New Roman" w:hAnsi="Times New Roman" w:eastAsia="宋体" w:cs="Times New Roman"/>
                      <w:color w:val="auto"/>
                      <w:sz w:val="21"/>
                      <w:szCs w:val="21"/>
                      <w:highlight w:val="none"/>
                      <w:vertAlign w:val="baseline"/>
                      <w:lang w:val="en-US" w:eastAsia="zh-CN"/>
                    </w:rPr>
                    <w:t>的</w:t>
                  </w:r>
                  <w:r>
                    <w:rPr>
                      <w:rFonts w:hint="default" w:ascii="Times New Roman" w:hAnsi="Times New Roman" w:eastAsia="宋体" w:cs="Times New Roman"/>
                      <w:color w:val="auto"/>
                      <w:sz w:val="21"/>
                      <w:szCs w:val="21"/>
                      <w:highlight w:val="none"/>
                      <w:vertAlign w:val="baseline"/>
                      <w:lang w:val="en-US" w:eastAsia="zh-CN"/>
                    </w:rPr>
                    <w:t>产业定位</w:t>
                  </w:r>
                  <w:r>
                    <w:rPr>
                      <w:rFonts w:hint="default" w:ascii="Times New Roman" w:hAnsi="Times New Roman" w:eastAsia="宋体" w:cs="Times New Roman"/>
                      <w:color w:val="auto"/>
                      <w:sz w:val="21"/>
                      <w:szCs w:val="21"/>
                      <w:highlight w:val="none"/>
                      <w:lang w:val="en-US" w:eastAsia="zh-CN"/>
                    </w:rPr>
                    <w:t>。</w:t>
                  </w:r>
                </w:p>
              </w:tc>
              <w:tc>
                <w:tcPr>
                  <w:tcW w:w="507" w:type="pct"/>
                  <w:tcBorders>
                    <w:tl2br w:val="nil"/>
                    <w:tr2bl w:val="nil"/>
                  </w:tcBorders>
                  <w:noWrap w:val="0"/>
                  <w:vAlign w:val="center"/>
                </w:tcPr>
                <w:p w14:paraId="6719C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符合</w:t>
                  </w:r>
                </w:p>
              </w:tc>
            </w:tr>
            <w:tr w14:paraId="51043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95" w:type="pct"/>
                  <w:tcBorders>
                    <w:tl2br w:val="nil"/>
                    <w:tr2bl w:val="nil"/>
                  </w:tcBorders>
                  <w:noWrap w:val="0"/>
                  <w:vAlign w:val="center"/>
                </w:tcPr>
                <w:p w14:paraId="63856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锡政规〔2023〕7号</w:t>
                  </w:r>
                </w:p>
              </w:tc>
              <w:tc>
                <w:tcPr>
                  <w:tcW w:w="2504" w:type="pct"/>
                  <w:tcBorders>
                    <w:tl2br w:val="nil"/>
                    <w:tr2bl w:val="nil"/>
                  </w:tcBorders>
                  <w:noWrap w:val="0"/>
                  <w:vAlign w:val="center"/>
                </w:tcPr>
                <w:p w14:paraId="409DCE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建成区准入。建成区内，严禁实施不符合产业政策、规划和管制要求的建设项目：</w:t>
                  </w:r>
                </w:p>
                <w:p w14:paraId="4D6751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老城传统风貌区指世界文化遗产中国大运河遗产区范围和历史文化街区、历史风貌区的保护范围，具体包括京杭大运河—江南运河无锡城区段世界文化遗产区，清名桥沿河历史文化街区、惠山古镇历史文化街区及小娄巷历史文化街区的核心保护范围，蓉湖浜、西水关等历史风貌区的保护范围等</w:t>
                  </w:r>
                  <w:r>
                    <w:rPr>
                      <w:rFonts w:hint="eastAsia" w:ascii="Times New Roman" w:hAnsi="Times New Roman" w:eastAsia="宋体" w:cs="Times New Roman"/>
                      <w:color w:val="auto"/>
                      <w:sz w:val="21"/>
                      <w:szCs w:val="21"/>
                      <w:highlight w:val="none"/>
                      <w:vertAlign w:val="baseline"/>
                      <w:lang w:val="en-US" w:eastAsia="zh-CN"/>
                    </w:rPr>
                    <w:t>。</w:t>
                  </w:r>
                </w:p>
                <w:p w14:paraId="052D0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老城传统风貌区改造应加强建筑高度管控，开展建筑高度影响分析，新建建筑按照高层禁建区管理，落实限高、限密度的具体要求。老城传统风貌区内限制各类用地调整为大型的商业、商务办公、住宅商品房、仓储物流设施等项目用地。确需调整的，应征求文物保护、生态环境、住房城乡建设等相关主管部门意见</w:t>
                  </w:r>
                  <w:r>
                    <w:rPr>
                      <w:rFonts w:hint="eastAsia" w:ascii="Times New Roman" w:hAnsi="Times New Roman" w:eastAsia="宋体" w:cs="Times New Roman"/>
                      <w:color w:val="auto"/>
                      <w:sz w:val="21"/>
                      <w:szCs w:val="21"/>
                      <w:highlight w:val="none"/>
                      <w:vertAlign w:val="baseline"/>
                      <w:lang w:val="en-US" w:eastAsia="zh-CN"/>
                    </w:rPr>
                    <w:t>。</w:t>
                  </w:r>
                </w:p>
                <w:p w14:paraId="4820A8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二</w:t>
                  </w:r>
                  <w:r>
                    <w:rPr>
                      <w:rFonts w:hint="default" w:ascii="Times New Roman" w:hAnsi="Times New Roman" w:eastAsia="宋体" w:cs="Times New Roman"/>
                      <w:color w:val="auto"/>
                      <w:sz w:val="21"/>
                      <w:szCs w:val="21"/>
                      <w:highlight w:val="none"/>
                      <w:vertAlign w:val="baseline"/>
                      <w:lang w:val="en-US" w:eastAsia="zh-CN"/>
                    </w:rPr>
                    <w:t>）大运河遗产保护区，包含世界文化遗产中国大运河遗产区、缓冲区以及全国重点文物保护单位大运河保护范围等，应按照《中华人民共和国文物保护法》《大运河遗产保护管理办法》等相关法律法规及相关规划进行管理</w:t>
                  </w:r>
                  <w:r>
                    <w:rPr>
                      <w:rFonts w:hint="eastAsia" w:ascii="Times New Roman" w:hAnsi="Times New Roman" w:eastAsia="宋体" w:cs="Times New Roman"/>
                      <w:color w:val="auto"/>
                      <w:sz w:val="21"/>
                      <w:szCs w:val="21"/>
                      <w:highlight w:val="none"/>
                      <w:vertAlign w:val="baseline"/>
                      <w:lang w:val="en-US" w:eastAsia="zh-CN"/>
                    </w:rPr>
                    <w:t>。</w:t>
                  </w:r>
                </w:p>
              </w:tc>
              <w:tc>
                <w:tcPr>
                  <w:tcW w:w="1292" w:type="pct"/>
                  <w:tcBorders>
                    <w:tl2br w:val="nil"/>
                    <w:tr2bl w:val="nil"/>
                  </w:tcBorders>
                  <w:noWrap w:val="0"/>
                  <w:vAlign w:val="center"/>
                </w:tcPr>
                <w:p w14:paraId="54AB4B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val="en-US" w:eastAsia="zh-CN"/>
                    </w:rPr>
                    <w:t>项目</w:t>
                  </w:r>
                  <w:r>
                    <w:rPr>
                      <w:rFonts w:hint="eastAsia" w:ascii="Times New Roman" w:hAnsi="Times New Roman" w:eastAsia="宋体"/>
                      <w:color w:val="auto"/>
                      <w:szCs w:val="21"/>
                      <w:highlight w:val="none"/>
                    </w:rPr>
                    <w:t>位于</w:t>
                  </w:r>
                  <w:r>
                    <w:rPr>
                      <w:rFonts w:hint="eastAsia" w:ascii="Times New Roman" w:hAnsi="Times New Roman" w:eastAsia="宋体" w:cs="Times New Roman"/>
                      <w:color w:val="auto"/>
                      <w:sz w:val="21"/>
                      <w:szCs w:val="21"/>
                      <w:highlight w:val="none"/>
                      <w:lang w:eastAsia="zh-CN"/>
                    </w:rPr>
                    <w:t>无锡市新吴区观山路36号</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vertAlign w:val="baseline"/>
                      <w:lang w:val="en-US" w:eastAsia="zh-CN"/>
                    </w:rPr>
                    <w:t>属于核心监控区内的建成区，</w:t>
                  </w:r>
                  <w:r>
                    <w:rPr>
                      <w:rFonts w:hint="default" w:ascii="Times New Roman" w:hAnsi="Times New Roman" w:eastAsia="宋体" w:cs="Times New Roman"/>
                      <w:color w:val="auto"/>
                      <w:sz w:val="21"/>
                      <w:szCs w:val="21"/>
                      <w:highlight w:val="none"/>
                      <w:vertAlign w:val="baseline"/>
                      <w:lang w:val="en-US" w:eastAsia="zh-CN"/>
                    </w:rPr>
                    <w:t>行业类别为[C3589]其他医疗设备及器械制造</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val="en-US" w:eastAsia="zh-CN"/>
                    </w:rPr>
                    <w:t>对照符合国家和地方产业政策要求</w:t>
                  </w:r>
                  <w:r>
                    <w:rPr>
                      <w:rFonts w:hint="eastAsia" w:ascii="Times New Roman" w:hAnsi="Times New Roman" w:eastAsia="宋体" w:cs="Times New Roman"/>
                      <w:color w:val="auto"/>
                      <w:sz w:val="21"/>
                      <w:szCs w:val="21"/>
                      <w:highlight w:val="none"/>
                      <w:lang w:val="en-US" w:eastAsia="zh-CN"/>
                    </w:rPr>
                    <w:t>，符合用地规划</w:t>
                  </w:r>
                  <w:r>
                    <w:rPr>
                      <w:rFonts w:hint="default" w:ascii="Times New Roman" w:hAnsi="Times New Roman" w:eastAsia="宋体" w:cs="Times New Roman"/>
                      <w:color w:val="auto"/>
                      <w:sz w:val="21"/>
                      <w:szCs w:val="21"/>
                      <w:highlight w:val="none"/>
                      <w:lang w:val="en-US" w:eastAsia="zh-CN"/>
                    </w:rPr>
                    <w:t>；此外，项目</w:t>
                  </w:r>
                  <w:r>
                    <w:rPr>
                      <w:rFonts w:hint="eastAsia" w:ascii="Times New Roman" w:hAnsi="Times New Roman" w:eastAsia="宋体" w:cs="Times New Roman"/>
                      <w:color w:val="auto"/>
                      <w:sz w:val="21"/>
                      <w:szCs w:val="21"/>
                      <w:highlight w:val="none"/>
                      <w:lang w:val="en-US" w:eastAsia="zh-CN"/>
                    </w:rPr>
                    <w:t>符合</w:t>
                  </w:r>
                  <w:r>
                    <w:rPr>
                      <w:rFonts w:hint="default" w:ascii="Times New Roman" w:hAnsi="Times New Roman" w:eastAsia="宋体" w:cs="Times New Roman"/>
                      <w:color w:val="auto"/>
                      <w:sz w:val="21"/>
                      <w:szCs w:val="21"/>
                      <w:highlight w:val="none"/>
                      <w:vertAlign w:val="baseline"/>
                      <w:lang w:val="en-US" w:eastAsia="zh-CN"/>
                    </w:rPr>
                    <w:t>无锡（太湖）国际科技园</w:t>
                  </w:r>
                  <w:r>
                    <w:rPr>
                      <w:rFonts w:hint="eastAsia" w:ascii="Times New Roman" w:hAnsi="Times New Roman" w:eastAsia="宋体" w:cs="Times New Roman"/>
                      <w:color w:val="auto"/>
                      <w:sz w:val="21"/>
                      <w:szCs w:val="21"/>
                      <w:highlight w:val="none"/>
                      <w:vertAlign w:val="baseline"/>
                      <w:lang w:val="en-US" w:eastAsia="zh-CN"/>
                    </w:rPr>
                    <w:t>的</w:t>
                  </w:r>
                  <w:r>
                    <w:rPr>
                      <w:rFonts w:hint="default" w:ascii="Times New Roman" w:hAnsi="Times New Roman" w:eastAsia="宋体" w:cs="Times New Roman"/>
                      <w:color w:val="auto"/>
                      <w:sz w:val="21"/>
                      <w:szCs w:val="21"/>
                      <w:highlight w:val="none"/>
                      <w:vertAlign w:val="baseline"/>
                      <w:lang w:val="en-US" w:eastAsia="zh-CN"/>
                    </w:rPr>
                    <w:t>产业定位</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项目不涉及</w:t>
                  </w:r>
                  <w:r>
                    <w:rPr>
                      <w:rFonts w:hint="default" w:ascii="Times New Roman" w:hAnsi="Times New Roman" w:eastAsia="宋体" w:cs="Times New Roman"/>
                      <w:color w:val="auto"/>
                      <w:sz w:val="21"/>
                      <w:szCs w:val="21"/>
                      <w:highlight w:val="none"/>
                      <w:vertAlign w:val="baseline"/>
                      <w:lang w:val="en-US" w:eastAsia="zh-CN"/>
                    </w:rPr>
                    <w:t>老城传统风貌区</w:t>
                  </w:r>
                  <w:r>
                    <w:rPr>
                      <w:rFonts w:hint="eastAsia" w:ascii="Times New Roman" w:hAnsi="Times New Roman" w:eastAsia="宋体" w:cs="Times New Roman"/>
                      <w:color w:val="auto"/>
                      <w:sz w:val="21"/>
                      <w:szCs w:val="21"/>
                      <w:highlight w:val="none"/>
                      <w:vertAlign w:val="baseline"/>
                      <w:lang w:val="en-US" w:eastAsia="zh-CN"/>
                    </w:rPr>
                    <w:t>及</w:t>
                  </w:r>
                  <w:r>
                    <w:rPr>
                      <w:rFonts w:hint="default" w:ascii="Times New Roman" w:hAnsi="Times New Roman" w:eastAsia="宋体" w:cs="Times New Roman"/>
                      <w:color w:val="auto"/>
                      <w:sz w:val="21"/>
                      <w:szCs w:val="21"/>
                      <w:highlight w:val="none"/>
                      <w:vertAlign w:val="baseline"/>
                      <w:lang w:val="en-US" w:eastAsia="zh-CN"/>
                    </w:rPr>
                    <w:t>大运河遗产保护区</w:t>
                  </w:r>
                  <w:r>
                    <w:rPr>
                      <w:rFonts w:hint="eastAsia" w:ascii="Times New Roman" w:hAnsi="Times New Roman" w:eastAsia="宋体" w:cs="Times New Roman"/>
                      <w:color w:val="auto"/>
                      <w:sz w:val="21"/>
                      <w:szCs w:val="21"/>
                      <w:highlight w:val="none"/>
                      <w:vertAlign w:val="baseline"/>
                      <w:lang w:val="en-US" w:eastAsia="zh-CN"/>
                    </w:rPr>
                    <w:t>。</w:t>
                  </w:r>
                </w:p>
              </w:tc>
              <w:tc>
                <w:tcPr>
                  <w:tcW w:w="507" w:type="pct"/>
                  <w:tcBorders>
                    <w:tl2br w:val="nil"/>
                    <w:tr2bl w:val="nil"/>
                  </w:tcBorders>
                  <w:noWrap w:val="0"/>
                  <w:vAlign w:val="center"/>
                </w:tcPr>
                <w:p w14:paraId="00B6B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bl>
          <w:p w14:paraId="5860B961">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b w:val="0"/>
                <w:bCs/>
                <w:color w:val="auto"/>
                <w:sz w:val="24"/>
                <w:szCs w:val="24"/>
                <w:highlight w:val="none"/>
              </w:rPr>
              <w:t>本项目符合</w:t>
            </w:r>
            <w:r>
              <w:rPr>
                <w:rFonts w:hint="default" w:ascii="Times New Roman" w:hAnsi="Times New Roman" w:eastAsia="宋体" w:cs="Times New Roman"/>
                <w:color w:val="auto"/>
                <w:sz w:val="24"/>
                <w:szCs w:val="20"/>
                <w:highlight w:val="none"/>
              </w:rPr>
              <w:t>《大运河江苏段核心监控区国土空间管控暂行办法》（苏政发</w:t>
            </w:r>
            <w:r>
              <w:rPr>
                <w:rFonts w:hint="default" w:ascii="Times New Roman" w:hAnsi="Times New Roman" w:eastAsia="宋体" w:cs="Times New Roman"/>
                <w:color w:val="auto"/>
                <w:sz w:val="24"/>
                <w:szCs w:val="20"/>
                <w:highlight w:val="none"/>
                <w:lang w:val="en-US" w:eastAsia="zh-CN"/>
              </w:rPr>
              <w:t>〔2021〕</w:t>
            </w:r>
            <w:r>
              <w:rPr>
                <w:rFonts w:hint="default" w:ascii="Times New Roman" w:hAnsi="Times New Roman" w:eastAsia="宋体" w:cs="Times New Roman"/>
                <w:color w:val="auto"/>
                <w:sz w:val="24"/>
                <w:szCs w:val="20"/>
                <w:highlight w:val="none"/>
              </w:rPr>
              <w:t>20号）</w:t>
            </w:r>
            <w:r>
              <w:rPr>
                <w:rFonts w:hint="eastAsia" w:ascii="Times New Roman" w:hAnsi="Times New Roman" w:eastAsia="宋体" w:cs="Times New Roman"/>
                <w:color w:val="auto"/>
                <w:sz w:val="24"/>
                <w:szCs w:val="20"/>
                <w:highlight w:val="none"/>
                <w:lang w:eastAsia="zh-CN"/>
              </w:rPr>
              <w:t>、</w:t>
            </w:r>
            <w:r>
              <w:rPr>
                <w:rFonts w:hint="eastAsia" w:ascii="Times New Roman" w:hAnsi="Times New Roman" w:eastAsia="宋体" w:cs="Times New Roman"/>
                <w:color w:val="auto"/>
                <w:sz w:val="24"/>
                <w:szCs w:val="24"/>
                <w:highlight w:val="none"/>
                <w:lang w:val="en-US" w:eastAsia="zh-CN"/>
              </w:rPr>
              <w:t>《市政府关于印发大运河无锡段核心监控区国土空间管控细则（试行）的通知》（锡政规〔2023〕7号）</w:t>
            </w:r>
            <w:r>
              <w:rPr>
                <w:rFonts w:hint="default" w:ascii="Times New Roman" w:hAnsi="Times New Roman" w:eastAsia="宋体" w:cs="Times New Roman"/>
                <w:b w:val="0"/>
                <w:bCs/>
                <w:color w:val="auto"/>
                <w:sz w:val="24"/>
                <w:szCs w:val="24"/>
                <w:highlight w:val="none"/>
              </w:rPr>
              <w:t>中相关要求</w:t>
            </w:r>
            <w:r>
              <w:rPr>
                <w:rFonts w:hint="eastAsia" w:ascii="Times New Roman" w:hAnsi="Times New Roman" w:eastAsia="宋体" w:cs="Times New Roman"/>
                <w:b w:val="0"/>
                <w:bCs/>
                <w:color w:val="auto"/>
                <w:sz w:val="24"/>
                <w:szCs w:val="24"/>
                <w:highlight w:val="none"/>
                <w:lang w:eastAsia="zh-CN"/>
              </w:rPr>
              <w:t>。</w:t>
            </w:r>
          </w:p>
          <w:p w14:paraId="1D82F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、与产业政策相符性</w:t>
            </w:r>
          </w:p>
          <w:p w14:paraId="7E199F83">
            <w:pPr>
              <w:keepNext w:val="0"/>
              <w:keepLines w:val="0"/>
              <w:suppressLineNumbers w:val="0"/>
              <w:snapToGrid w:val="0"/>
              <w:spacing w:before="0" w:beforeAutospacing="0" w:after="0" w:afterAutospacing="0" w:line="360" w:lineRule="auto"/>
              <w:ind w:left="0" w:right="0" w:firstLine="435"/>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（1）</w:t>
            </w:r>
            <w:r>
              <w:rPr>
                <w:rFonts w:hint="default" w:ascii="Times New Roman" w:hAnsi="Times New Roman" w:eastAsia="宋体" w:cs="Times New Roman"/>
                <w:b/>
                <w:color w:val="auto"/>
                <w:sz w:val="24"/>
                <w:highlight w:val="none"/>
              </w:rPr>
              <w:t>与产业政策相符性</w:t>
            </w:r>
          </w:p>
          <w:p w14:paraId="11336F94">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color w:val="auto"/>
                <w:kern w:val="0"/>
                <w:sz w:val="24"/>
                <w:szCs w:val="22"/>
                <w:highlight w:val="none"/>
                <w:lang w:val="en-US" w:eastAsia="zh-CN" w:bidi="ar-SA"/>
              </w:rPr>
              <w:t>本项目行业类别为[C3589]其他医疗设备及器械制造，</w:t>
            </w:r>
            <w:r>
              <w:rPr>
                <w:rFonts w:hint="eastAsia" w:cs="Times New Roman"/>
                <w:color w:val="auto"/>
                <w:kern w:val="0"/>
                <w:sz w:val="24"/>
                <w:szCs w:val="22"/>
                <w:highlight w:val="none"/>
                <w:lang w:val="en-US" w:eastAsia="zh-CN" w:bidi="ar-SA"/>
              </w:rPr>
              <w:t>本项目对医用高分子材料生产线和隐形矫治器生产线进行技术改造。</w:t>
            </w:r>
            <w:r>
              <w:rPr>
                <w:rFonts w:hint="default" w:ascii="Times New Roman" w:hAnsi="Times New Roman" w:eastAsia="宋体" w:cs="Times New Roman"/>
                <w:color w:val="auto"/>
                <w:sz w:val="24"/>
                <w:highlight w:val="none"/>
              </w:rPr>
              <w:t>经查阅，</w:t>
            </w:r>
            <w:r>
              <w:rPr>
                <w:rFonts w:hint="default" w:ascii="Times New Roman" w:hAnsi="Times New Roman" w:eastAsia="宋体" w:cs="Times New Roman"/>
                <w:color w:val="auto"/>
                <w:sz w:val="24"/>
                <w:highlight w:val="none"/>
                <w:shd w:val="clear" w:color="auto" w:fill="auto"/>
              </w:rPr>
              <w:t>本项目</w:t>
            </w:r>
            <w:r>
              <w:rPr>
                <w:rFonts w:hint="eastAsia" w:ascii="Times New Roman" w:hAnsi="Times New Roman" w:eastAsia="宋体" w:cs="Times New Roman"/>
                <w:color w:val="auto"/>
                <w:sz w:val="24"/>
                <w:highlight w:val="none"/>
                <w:shd w:val="clear" w:color="auto" w:fill="auto"/>
              </w:rPr>
              <w:t>不属于《产业结构调整指导目录（</w:t>
            </w:r>
            <w:r>
              <w:rPr>
                <w:rFonts w:hint="eastAsia" w:ascii="Times New Roman" w:hAnsi="Times New Roman" w:eastAsia="宋体" w:cs="Times New Roman"/>
                <w:color w:val="auto"/>
                <w:sz w:val="24"/>
                <w:highlight w:val="none"/>
                <w:shd w:val="clear" w:color="auto" w:fill="auto"/>
                <w:lang w:val="en-US" w:eastAsia="zh-CN"/>
              </w:rPr>
              <w:t>2024</w:t>
            </w:r>
            <w:r>
              <w:rPr>
                <w:rFonts w:hint="eastAsia" w:ascii="Times New Roman" w:hAnsi="Times New Roman" w:eastAsia="宋体" w:cs="Times New Roman"/>
                <w:color w:val="auto"/>
                <w:sz w:val="24"/>
                <w:highlight w:val="none"/>
                <w:shd w:val="clear" w:color="auto" w:fill="auto"/>
              </w:rPr>
              <w:t>年</w:t>
            </w:r>
            <w:r>
              <w:rPr>
                <w:rFonts w:hint="eastAsia" w:ascii="Times New Roman" w:hAnsi="Times New Roman" w:eastAsia="宋体" w:cs="Times New Roman"/>
                <w:color w:val="auto"/>
                <w:sz w:val="24"/>
                <w:highlight w:val="none"/>
                <w:shd w:val="clear" w:color="auto" w:fill="auto"/>
                <w:lang w:eastAsia="zh-CN"/>
              </w:rPr>
              <w:t>本</w:t>
            </w:r>
            <w:r>
              <w:rPr>
                <w:rFonts w:hint="eastAsia" w:ascii="Times New Roman" w:hAnsi="Times New Roman" w:eastAsia="宋体" w:cs="Times New Roman"/>
                <w:color w:val="auto"/>
                <w:sz w:val="24"/>
                <w:highlight w:val="none"/>
                <w:shd w:val="clear" w:color="auto" w:fill="auto"/>
              </w:rPr>
              <w:t>）》</w:t>
            </w:r>
            <w:r>
              <w:rPr>
                <w:rFonts w:hint="default" w:ascii="Times New Roman" w:hAnsi="Times New Roman" w:eastAsia="宋体" w:cs="Times New Roman"/>
                <w:color w:val="auto"/>
                <w:sz w:val="24"/>
                <w:szCs w:val="24"/>
                <w:highlight w:val="none"/>
              </w:rPr>
              <w:t>（国家发展和改革委员会令第</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z w:val="24"/>
                <w:highlight w:val="none"/>
                <w:shd w:val="clear" w:color="auto" w:fill="auto"/>
              </w:rPr>
              <w:t>中规定的淘汰类项目</w:t>
            </w:r>
            <w:r>
              <w:rPr>
                <w:rFonts w:hint="eastAsia"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rPr>
              <w:t>不属于《无锡市产业结构调整指导目录</w:t>
            </w:r>
            <w:r>
              <w:rPr>
                <w:rFonts w:hint="eastAsia" w:ascii="Times New Roman" w:hAnsi="Times New Roman" w:eastAsia="宋体" w:cs="Times New Roman"/>
                <w:color w:val="auto"/>
                <w:sz w:val="24"/>
                <w:highlight w:val="none"/>
                <w:lang w:eastAsia="zh-CN"/>
              </w:rPr>
              <w:t>（试行）</w:t>
            </w:r>
            <w:r>
              <w:rPr>
                <w:rFonts w:hint="default" w:ascii="Times New Roman" w:hAnsi="Times New Roman" w:eastAsia="宋体" w:cs="Times New Roman"/>
                <w:color w:val="auto"/>
                <w:sz w:val="24"/>
                <w:highlight w:val="none"/>
              </w:rPr>
              <w:t>》（2008年本）中规定的禁止类和淘汰类项目；不属于《无锡市制造业转型发展指导目录》（2012年本）中规定的限制类和淘汰类项目；</w:t>
            </w:r>
            <w:r>
              <w:rPr>
                <w:rFonts w:hint="default" w:ascii="Times New Roman" w:hAnsi="Times New Roman" w:eastAsia="宋体" w:cs="Times New Roman"/>
                <w:color w:val="auto"/>
                <w:sz w:val="24"/>
                <w:szCs w:val="32"/>
                <w:highlight w:val="none"/>
              </w:rPr>
              <w:t>不属于《无锡新区转型发展投资指导目录》（2013年本</w:t>
            </w:r>
            <w:r>
              <w:rPr>
                <w:rFonts w:hint="default" w:ascii="Times New Roman" w:hAnsi="Times New Roman" w:eastAsia="宋体" w:cs="Times New Roman"/>
                <w:color w:val="auto"/>
                <w:sz w:val="24"/>
                <w:highlight w:val="none"/>
              </w:rPr>
              <w:t>）中规定的</w:t>
            </w:r>
            <w:r>
              <w:rPr>
                <w:rFonts w:hint="eastAsia" w:ascii="Times New Roman" w:hAnsi="Times New Roman" w:eastAsia="宋体"/>
                <w:color w:val="auto"/>
                <w:sz w:val="24"/>
                <w:highlight w:val="none"/>
              </w:rPr>
              <w:t>鼓励类</w:t>
            </w:r>
            <w:r>
              <w:rPr>
                <w:rFonts w:hint="default" w:ascii="Times New Roman" w:hAnsi="Times New Roman" w:eastAsia="宋体" w:cs="Times New Roman"/>
                <w:color w:val="auto"/>
                <w:sz w:val="24"/>
                <w:highlight w:val="none"/>
              </w:rPr>
              <w:t>项目；不属于《自然资源要素支撑产业高质量发展指导目录（2024年本）》中的限制和禁止用地项目；</w:t>
            </w:r>
            <w:r>
              <w:rPr>
                <w:rFonts w:hint="eastAsia" w:ascii="Times New Roman" w:hAnsi="Times New Roman" w:eastAsia="宋体" w:cs="Times New Roman"/>
                <w:color w:val="auto"/>
                <w:sz w:val="24"/>
                <w:highlight w:val="none"/>
                <w:lang w:eastAsia="zh-CN"/>
              </w:rPr>
              <w:t>不属于</w:t>
            </w:r>
            <w:r>
              <w:rPr>
                <w:rFonts w:hint="default" w:ascii="Times New Roman" w:hAnsi="Times New Roman" w:eastAsia="宋体" w:cs="Times New Roman"/>
                <w:color w:val="auto"/>
                <w:sz w:val="24"/>
                <w:highlight w:val="none"/>
              </w:rPr>
              <w:t>《江苏省太湖流域禁止和限制的产业产品目录（2024年本）》</w:t>
            </w:r>
            <w:r>
              <w:rPr>
                <w:rFonts w:hint="eastAsia" w:ascii="Times New Roman" w:hAnsi="Times New Roman" w:eastAsia="宋体" w:cs="Times New Roman"/>
                <w:color w:val="auto"/>
                <w:sz w:val="24"/>
                <w:highlight w:val="none"/>
                <w:lang w:eastAsia="zh-CN"/>
              </w:rPr>
              <w:t>中限制、淘汰、禁止类项目；</w:t>
            </w:r>
            <w:r>
              <w:rPr>
                <w:rFonts w:hint="eastAsia" w:ascii="Times New Roman" w:hAnsi="Times New Roman" w:eastAsia="宋体"/>
                <w:color w:val="auto"/>
                <w:sz w:val="24"/>
                <w:highlight w:val="none"/>
              </w:rPr>
              <w:t>根据《关于加强高耗能、高排放建设项目生态环境源头防控的指导意见》</w:t>
            </w:r>
            <w:r>
              <w:rPr>
                <w:rFonts w:hint="eastAsia" w:ascii="Times New Roman" w:hAnsi="Times New Roman" w:eastAsia="宋体"/>
                <w:color w:val="auto"/>
                <w:sz w:val="24"/>
                <w:highlight w:val="none"/>
                <w:lang w:eastAsia="zh-CN"/>
              </w:rPr>
              <w:t>（环环评〔2021〕45号）</w:t>
            </w:r>
            <w:r>
              <w:rPr>
                <w:rFonts w:hint="eastAsia" w:ascii="Times New Roman" w:hAnsi="Times New Roman" w:eastAsia="宋体"/>
                <w:color w:val="auto"/>
                <w:sz w:val="24"/>
                <w:highlight w:val="none"/>
              </w:rPr>
              <w:t>及《环境保护综合名录》（2021年版），本项目产品不属于“高污染、高环境风险产品”</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根据《江苏省“两高”项目管理目录（2024年版）》，本项目不属于“</w:t>
            </w:r>
            <w:r>
              <w:rPr>
                <w:rFonts w:hint="eastAsia" w:ascii="Times New Roman" w:hAnsi="Times New Roman" w:eastAsia="宋体"/>
                <w:color w:val="auto"/>
                <w:sz w:val="24"/>
                <w:highlight w:val="none"/>
                <w:lang w:eastAsia="zh-CN"/>
              </w:rPr>
              <w:t>两高</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项目</w:t>
            </w:r>
            <w:r>
              <w:rPr>
                <w:rFonts w:hint="default" w:ascii="Times New Roman" w:hAnsi="Times New Roman" w:eastAsia="宋体" w:cs="Times New Roman"/>
                <w:color w:val="auto"/>
                <w:sz w:val="24"/>
                <w:highlight w:val="none"/>
              </w:rPr>
              <w:t>，亦不属于其他相关法律法规要求淘汰和限制的产业。因此，本项目符合国家和地方产业政策要求。</w:t>
            </w:r>
          </w:p>
          <w:p w14:paraId="69C9CE7C">
            <w:pPr>
              <w:keepNext w:val="0"/>
              <w:keepLines w:val="0"/>
              <w:suppressLineNumbers w:val="0"/>
              <w:snapToGrid w:val="0"/>
              <w:spacing w:before="0" w:beforeAutospacing="0" w:after="0" w:afterAutospacing="0" w:line="360" w:lineRule="auto"/>
              <w:ind w:left="0" w:right="0"/>
              <w:jc w:val="left"/>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、与《江苏省太湖水污染防治条例》、《太湖流域管理条例》符合情况</w:t>
            </w:r>
          </w:p>
          <w:p w14:paraId="27BD89D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根据《江苏省太湖水污染防治条例》，太湖流域划分为三级保护区：太湖湖体、沿湖岸5公里区域、入湖河道上溯10公里以及沿岸两侧各1公里范围为一级保护区；主要入湖河道上溯50公里以及沿岸两侧各1公里范围为二级保护区；其他地区为三级保护区。</w:t>
            </w:r>
          </w:p>
          <w:p w14:paraId="4648936E">
            <w:pPr>
              <w:keepNext w:val="0"/>
              <w:keepLines w:val="0"/>
              <w:suppressLineNumbers w:val="0"/>
              <w:snapToGrid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highlight w:val="none"/>
              </w:rPr>
            </w:pPr>
            <w:r>
              <w:rPr>
                <w:rFonts w:hint="eastAsia" w:ascii="Times New Roman" w:hAnsi="Times New Roman" w:eastAsia="宋体"/>
                <w:b/>
                <w:bCs/>
                <w:color w:val="auto"/>
                <w:sz w:val="24"/>
                <w:highlight w:val="none"/>
                <w:lang w:val="en-US" w:eastAsia="zh-CN"/>
              </w:rPr>
              <w:t>A、</w:t>
            </w:r>
            <w:r>
              <w:rPr>
                <w:rFonts w:hint="default" w:ascii="Times New Roman" w:hAnsi="Times New Roman" w:eastAsia="宋体"/>
                <w:b/>
                <w:bCs/>
                <w:color w:val="auto"/>
                <w:sz w:val="24"/>
                <w:highlight w:val="none"/>
              </w:rPr>
              <w:t>根据《江苏省太湖水污染防治条例》（</w:t>
            </w:r>
            <w:r>
              <w:rPr>
                <w:rFonts w:hint="eastAsia" w:ascii="Times New Roman" w:hAnsi="Times New Roman" w:eastAsia="宋体"/>
                <w:b/>
                <w:bCs/>
                <w:color w:val="auto"/>
                <w:sz w:val="24"/>
                <w:highlight w:val="none"/>
              </w:rPr>
              <w:t>2021年</w:t>
            </w:r>
            <w:r>
              <w:rPr>
                <w:rFonts w:hint="default" w:ascii="Times New Roman" w:hAnsi="Times New Roman" w:eastAsia="宋体"/>
                <w:b/>
                <w:bCs/>
                <w:color w:val="auto"/>
                <w:sz w:val="24"/>
                <w:highlight w:val="none"/>
              </w:rPr>
              <w:t>修正）第四十三条，在太湖一、二、三级保护区内禁止下列行为：</w:t>
            </w:r>
          </w:p>
          <w:p w14:paraId="024605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sz w:val="24"/>
                <w:highlight w:val="none"/>
              </w:rPr>
            </w:pPr>
            <w:r>
              <w:rPr>
                <w:rFonts w:hint="default"/>
                <w:color w:val="auto"/>
                <w:sz w:val="24"/>
                <w:highlight w:val="none"/>
              </w:rPr>
              <w:t>（一）新建、改建、扩建化学制浆造纸、制革、酿造、染料、印染、电镀以及其他排放含磷、氮等污染物的企业和项目，城镇污水集中处理等环境基础设施项目和第四十六条规定的情形除外；</w:t>
            </w:r>
          </w:p>
          <w:p w14:paraId="375B63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sz w:val="24"/>
                <w:highlight w:val="none"/>
              </w:rPr>
            </w:pPr>
            <w:r>
              <w:rPr>
                <w:rFonts w:hint="default"/>
                <w:color w:val="auto"/>
                <w:sz w:val="24"/>
                <w:highlight w:val="none"/>
              </w:rPr>
              <w:t>（二）销售、使用含磷洗涤用品；</w:t>
            </w:r>
          </w:p>
          <w:p w14:paraId="48503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sz w:val="24"/>
                <w:highlight w:val="none"/>
              </w:rPr>
            </w:pPr>
            <w:r>
              <w:rPr>
                <w:rFonts w:hint="default"/>
                <w:color w:val="auto"/>
                <w:sz w:val="24"/>
                <w:highlight w:val="none"/>
              </w:rPr>
              <w:t>（三）向水体排放或者倾倒油类、酸液、碱液、剧毒废渣废液、含放射性废渣废液、含病原体污水、工业废渣以及其他废弃物；</w:t>
            </w:r>
          </w:p>
          <w:p w14:paraId="47EAA2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sz w:val="24"/>
                <w:highlight w:val="none"/>
              </w:rPr>
            </w:pPr>
            <w:r>
              <w:rPr>
                <w:rFonts w:hint="default"/>
                <w:color w:val="auto"/>
                <w:sz w:val="24"/>
                <w:highlight w:val="none"/>
              </w:rPr>
              <w:t>（四）在水体清洗装贮过油类或者有毒有害污染物的车辆、船舶和容器等；</w:t>
            </w:r>
          </w:p>
          <w:p w14:paraId="0DD19E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sz w:val="24"/>
                <w:highlight w:val="none"/>
              </w:rPr>
            </w:pPr>
            <w:r>
              <w:rPr>
                <w:rFonts w:hint="default"/>
                <w:color w:val="auto"/>
                <w:sz w:val="24"/>
                <w:highlight w:val="none"/>
              </w:rPr>
              <w:t>（五）使用农药等有毒物毒杀水生生物；</w:t>
            </w:r>
          </w:p>
          <w:p w14:paraId="3F0BE7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sz w:val="24"/>
                <w:highlight w:val="none"/>
              </w:rPr>
            </w:pPr>
            <w:r>
              <w:rPr>
                <w:rFonts w:hint="default"/>
                <w:color w:val="auto"/>
                <w:sz w:val="24"/>
                <w:highlight w:val="none"/>
              </w:rPr>
              <w:t>（六）向水体直接排放人畜粪便、倾倒垃圾；</w:t>
            </w:r>
          </w:p>
          <w:p w14:paraId="4E5FA9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sz w:val="24"/>
                <w:highlight w:val="none"/>
              </w:rPr>
            </w:pPr>
            <w:r>
              <w:rPr>
                <w:rFonts w:hint="default"/>
                <w:color w:val="auto"/>
                <w:sz w:val="24"/>
                <w:highlight w:val="none"/>
              </w:rPr>
              <w:t>（七）围湖造地；</w:t>
            </w:r>
          </w:p>
          <w:p w14:paraId="6075E3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color w:val="auto"/>
                <w:sz w:val="24"/>
                <w:highlight w:val="none"/>
              </w:rPr>
            </w:pPr>
            <w:r>
              <w:rPr>
                <w:rFonts w:hint="default"/>
                <w:color w:val="auto"/>
                <w:sz w:val="24"/>
                <w:highlight w:val="none"/>
              </w:rPr>
              <w:t>（八）违法开山采石，或者进行破坏林木、植被、水生生物的活动；</w:t>
            </w:r>
          </w:p>
          <w:p w14:paraId="301749A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（九）法律、法规禁止的其他行为。</w:t>
            </w:r>
          </w:p>
          <w:p w14:paraId="4702C6F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第四十四条，除二级保护区规定的禁止行为以外，太湖流域一级保护区还禁止下列行为：</w:t>
            </w:r>
          </w:p>
          <w:p w14:paraId="59E912C4">
            <w:pPr>
              <w:keepNext w:val="0"/>
              <w:keepLines w:val="0"/>
              <w:numPr>
                <w:ilvl w:val="0"/>
                <w:numId w:val="2"/>
              </w:numPr>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新建、扩建向水体排放污染物的建设项目；</w:t>
            </w:r>
          </w:p>
          <w:p w14:paraId="6EB631C1">
            <w:pPr>
              <w:keepNext w:val="0"/>
              <w:keepLines w:val="0"/>
              <w:numPr>
                <w:ilvl w:val="0"/>
                <w:numId w:val="2"/>
              </w:numPr>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在国家和省规定的养殖范围外从事网围、网箱养殖，利用虾窝、地笼网、机械吸螺、底拖网进行捕捞作业；</w:t>
            </w:r>
          </w:p>
          <w:p w14:paraId="27B26D24">
            <w:pPr>
              <w:keepNext w:val="0"/>
              <w:keepLines w:val="0"/>
              <w:numPr>
                <w:ilvl w:val="0"/>
                <w:numId w:val="2"/>
              </w:numPr>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新建、扩建畜禽养殖场；</w:t>
            </w:r>
          </w:p>
          <w:p w14:paraId="2E1A17C8">
            <w:pPr>
              <w:keepNext w:val="0"/>
              <w:keepLines w:val="0"/>
              <w:numPr>
                <w:ilvl w:val="0"/>
                <w:numId w:val="2"/>
              </w:numPr>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新建、扩建高尔夫球场、水上游乐园等开发项目；</w:t>
            </w:r>
          </w:p>
          <w:p w14:paraId="433C3527">
            <w:pPr>
              <w:keepNext w:val="0"/>
              <w:keepLines w:val="0"/>
              <w:numPr>
                <w:ilvl w:val="0"/>
                <w:numId w:val="2"/>
              </w:numPr>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设置水上餐饮经营设施；（法律、法规禁止禁止的其他可能污染水质的活动。除城镇污水集中处理设施依法设置的排污口外，一级保护区内已经设置的排污口应当限期关闭。</w:t>
            </w:r>
          </w:p>
          <w:p w14:paraId="74D96A0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第四十五条，太湖流域二级保护区禁止下列行为：</w:t>
            </w:r>
          </w:p>
          <w:p w14:paraId="47D1BC68">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新建、扩建化工、医药生产项目；</w:t>
            </w:r>
          </w:p>
          <w:p w14:paraId="5390B564">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建、扩建污水集中处理设施排污口以外的排污口；</w:t>
            </w:r>
          </w:p>
          <w:p w14:paraId="100F69C8">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扩大水产养殖规模；</w:t>
            </w:r>
          </w:p>
          <w:p w14:paraId="4141B6AF">
            <w:pPr>
              <w:keepNext w:val="0"/>
              <w:keepLines w:val="0"/>
              <w:numPr>
                <w:ilvl w:val="0"/>
                <w:numId w:val="3"/>
              </w:numPr>
              <w:suppressLineNumbers w:val="0"/>
              <w:adjustRightInd w:val="0"/>
              <w:snapToGrid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sz w:val="24"/>
                <w:highlight w:val="none"/>
              </w:rPr>
              <w:t>法律、法规禁止的其他行为。</w:t>
            </w:r>
          </w:p>
          <w:p w14:paraId="31342E64">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lang w:val="en-US" w:eastAsia="zh-CN"/>
              </w:rPr>
              <w:t>B、</w:t>
            </w:r>
            <w:r>
              <w:rPr>
                <w:rFonts w:hint="default"/>
                <w:b/>
                <w:bCs/>
                <w:color w:val="auto"/>
                <w:sz w:val="24"/>
                <w:highlight w:val="none"/>
              </w:rPr>
              <w:t>根据《太湖流域管理条例》：</w:t>
            </w:r>
          </w:p>
          <w:p w14:paraId="3FE5586C">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第二十八条禁止在太湖流域设置不符合国家产业政策和水环境综合治理要求的造纸、制革、酒精、淀粉、冶金、酿造、印染、电镀等排放水污染物的生产项目，现有的生产项目不能实现达标排放的，应当依法关闭。</w:t>
            </w:r>
          </w:p>
          <w:p w14:paraId="704E6C0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第二十九条新孟河、望虞河以外的其他主要入太湖河道，自河口1万米上溯至5万米河道岸线内及其岸线两侧各1000米范围内，禁止下列行为：</w:t>
            </w:r>
          </w:p>
          <w:p w14:paraId="57FE092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（一）新建、扩建化工、医药生产项目；</w:t>
            </w:r>
          </w:p>
          <w:p w14:paraId="738F3E7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（二）新建、扩建污水集中处理设施排污口以外的排污口；</w:t>
            </w:r>
          </w:p>
          <w:p w14:paraId="7EB2B1B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（三）扩大水产养殖规模。</w:t>
            </w:r>
          </w:p>
          <w:p w14:paraId="01A4015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6D12D4B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（一）设置剧毒物质、危险化学品的贮存、输送设施和废物回收场、垃圾场；</w:t>
            </w:r>
          </w:p>
          <w:p w14:paraId="0D1F9C0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（二）设置水上餐饮经营设施；</w:t>
            </w:r>
          </w:p>
          <w:p w14:paraId="1D93E2B1">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（三）新建、扩建高尔夫球场；</w:t>
            </w:r>
          </w:p>
          <w:p w14:paraId="162CF9B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（四）新建、扩建畜禽养殖场；</w:t>
            </w:r>
          </w:p>
          <w:p w14:paraId="4E41E4B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（五）新建、扩建向水体排放污染物的建设项目；</w:t>
            </w:r>
          </w:p>
          <w:p w14:paraId="710B6C9A">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（六）本条例第二十九条规定的行为。</w:t>
            </w:r>
          </w:p>
          <w:p w14:paraId="48E02F4F">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已经设置前款第一项、第二项规定设施的，当地县级人民政府应当责令拆除或者关闭。</w:t>
            </w:r>
          </w:p>
          <w:p w14:paraId="4DBBB746">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w:t>
            </w:r>
            <w:r>
              <w:rPr>
                <w:rFonts w:hint="eastAsia" w:ascii="Times New Roman" w:hAnsi="Times New Roman" w:eastAsia="宋体"/>
                <w:color w:val="auto"/>
                <w:sz w:val="24"/>
                <w:highlight w:val="none"/>
                <w:lang w:val="en-US" w:eastAsia="zh-CN"/>
              </w:rPr>
              <w:t>距离太湖岸线4.4km，根据《省政府办公厅关于公布江苏省太湖流域三级保护区范围的通知》（苏政办发[2012]221号），本项目所在地</w:t>
            </w:r>
            <w:r>
              <w:rPr>
                <w:rFonts w:hint="eastAsia"/>
                <w:color w:val="auto"/>
                <w:sz w:val="24"/>
                <w:highlight w:val="none"/>
                <w:lang w:val="en-US" w:eastAsia="zh-CN"/>
              </w:rPr>
              <w:t>属于</w:t>
            </w:r>
            <w:r>
              <w:rPr>
                <w:rFonts w:hint="eastAsia" w:ascii="Times New Roman" w:hAnsi="Times New Roman" w:eastAsia="宋体"/>
                <w:color w:val="auto"/>
                <w:sz w:val="24"/>
                <w:highlight w:val="none"/>
                <w:lang w:val="en-US" w:eastAsia="zh-CN"/>
              </w:rPr>
              <w:t>太湖流域一级保护区；项目</w:t>
            </w:r>
            <w:r>
              <w:rPr>
                <w:rFonts w:hint="eastAsia" w:ascii="Times New Roman" w:hAnsi="Times New Roman" w:eastAsia="宋体" w:cs="Times New Roman"/>
                <w:color w:val="auto"/>
                <w:sz w:val="24"/>
                <w:highlight w:val="none"/>
                <w:lang w:val="en-US" w:eastAsia="zh-CN"/>
              </w:rPr>
              <w:t>行业类别为C3589其他医疗设备及器械制造，不属于《江苏省太湖水污染防治条例》 (2021 年 9 月 29 日江苏省第十三届人民代表大会常务委员会第二十五次会议) 中禁止类项目，且不属于《太湖流域管理条例》中禁止建设的项目。本项目为</w:t>
            </w:r>
            <w:r>
              <w:rPr>
                <w:rFonts w:hint="eastAsia" w:cs="Times New Roman"/>
                <w:color w:val="auto"/>
                <w:sz w:val="24"/>
                <w:highlight w:val="none"/>
                <w:lang w:val="en-US" w:eastAsia="zh-CN"/>
              </w:rPr>
              <w:t>技术改造</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新增设备清洗废液作为危险废物委托资质单位处置，不外排</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固体废物</w:t>
            </w:r>
            <w:r>
              <w:rPr>
                <w:rFonts w:hint="eastAsia" w:ascii="Times New Roman" w:hAnsi="Times New Roman" w:eastAsia="宋体" w:cs="Times New Roman"/>
                <w:color w:val="auto"/>
                <w:sz w:val="24"/>
                <w:highlight w:val="none"/>
                <w:lang w:val="en-US" w:eastAsia="zh-CN"/>
              </w:rPr>
              <w:t>由有关单位回收或委托资质单位处理或环卫清运，可以实现“零排放”。因此，本项目的建设满足《江苏省太湖水污染防治条例》及《太湖流域管理条例》的要求。</w:t>
            </w:r>
          </w:p>
          <w:p w14:paraId="6972773C">
            <w:pPr>
              <w:keepNext w:val="0"/>
              <w:keepLines w:val="0"/>
              <w:widowControl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0"/>
                <w:highlight w:val="none"/>
                <w:lang w:val="en-US" w:eastAsia="zh-CN" w:bidi="ar-SA"/>
              </w:rPr>
              <w:t>与大气相关条例相符性分析</w:t>
            </w:r>
          </w:p>
          <w:p w14:paraId="391C73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75"/>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宋体"/>
                <w:b/>
                <w:bCs/>
                <w:color w:val="auto"/>
                <w:kern w:val="2"/>
                <w:sz w:val="24"/>
                <w:szCs w:val="24"/>
                <w:highlight w:val="none"/>
                <w:lang w:val="en-US" w:eastAsia="zh-CN" w:bidi="ar-SA"/>
              </w:rPr>
              <w:t>表1-</w:t>
            </w:r>
            <w:r>
              <w:rPr>
                <w:rFonts w:hint="eastAsia" w:cs="宋体"/>
                <w:b/>
                <w:bCs/>
                <w:color w:val="auto"/>
                <w:kern w:val="2"/>
                <w:sz w:val="24"/>
                <w:szCs w:val="24"/>
                <w:highlight w:val="none"/>
                <w:lang w:val="en-US" w:eastAsia="zh-CN" w:bidi="ar-SA"/>
              </w:rPr>
              <w:t xml:space="preserve">6 </w:t>
            </w:r>
            <w:r>
              <w:rPr>
                <w:rFonts w:hint="default" w:ascii="Times New Roman" w:hAnsi="Times New Roman" w:eastAsia="宋体" w:cs="Times New Roman"/>
                <w:b/>
                <w:bCs/>
                <w:color w:val="auto"/>
                <w:sz w:val="24"/>
                <w:highlight w:val="none"/>
              </w:rPr>
              <w:t>本项目与挥发性有机物污染防治相关文件的相符性分析</w:t>
            </w:r>
            <w:r>
              <w:rPr>
                <w:rFonts w:hint="eastAsia" w:ascii="Times New Roman" w:hAnsi="Times New Roman" w:eastAsia="宋体" w:cs="Times New Roman"/>
                <w:b/>
                <w:bCs/>
                <w:color w:val="auto"/>
                <w:sz w:val="24"/>
                <w:highlight w:val="none"/>
              </w:rPr>
              <w:t>一</w:t>
            </w:r>
            <w:r>
              <w:rPr>
                <w:rFonts w:hint="default" w:ascii="Times New Roman" w:hAnsi="Times New Roman" w:eastAsia="宋体" w:cs="Times New Roman"/>
                <w:b/>
                <w:bCs/>
                <w:color w:val="auto"/>
                <w:sz w:val="24"/>
                <w:highlight w:val="none"/>
              </w:rPr>
              <w:t>览表</w:t>
            </w:r>
          </w:p>
          <w:tbl>
            <w:tblPr>
              <w:tblStyle w:val="25"/>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900"/>
              <w:gridCol w:w="3210"/>
              <w:gridCol w:w="878"/>
            </w:tblGrid>
            <w:tr w14:paraId="37235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0" w:type="dxa"/>
                  <w:tcBorders>
                    <w:tl2br w:val="nil"/>
                    <w:tr2bl w:val="nil"/>
                  </w:tcBorders>
                  <w:vAlign w:val="center"/>
                </w:tcPr>
                <w:p w14:paraId="5EE89659">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文件</w:t>
                  </w:r>
                </w:p>
              </w:tc>
              <w:tc>
                <w:tcPr>
                  <w:tcW w:w="3900" w:type="dxa"/>
                  <w:tcBorders>
                    <w:tl2br w:val="nil"/>
                    <w:tr2bl w:val="nil"/>
                  </w:tcBorders>
                  <w:vAlign w:val="center"/>
                </w:tcPr>
                <w:p w14:paraId="4B69D5DF">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相关条款</w:t>
                  </w:r>
                </w:p>
              </w:tc>
              <w:tc>
                <w:tcPr>
                  <w:tcW w:w="3210" w:type="dxa"/>
                  <w:tcBorders>
                    <w:tl2br w:val="nil"/>
                    <w:tr2bl w:val="nil"/>
                  </w:tcBorders>
                  <w:vAlign w:val="center"/>
                </w:tcPr>
                <w:p w14:paraId="63662117">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本项目情况</w:t>
                  </w:r>
                </w:p>
              </w:tc>
              <w:tc>
                <w:tcPr>
                  <w:tcW w:w="878" w:type="dxa"/>
                  <w:tcBorders>
                    <w:tl2br w:val="nil"/>
                    <w:tr2bl w:val="nil"/>
                  </w:tcBorders>
                  <w:vAlign w:val="center"/>
                </w:tcPr>
                <w:p w14:paraId="0C0A2C03">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相符性</w:t>
                  </w:r>
                </w:p>
              </w:tc>
            </w:tr>
            <w:tr w14:paraId="097CD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60" w:type="dxa"/>
                  <w:vMerge w:val="restart"/>
                  <w:tcBorders>
                    <w:tl2br w:val="nil"/>
                    <w:tr2bl w:val="nil"/>
                  </w:tcBorders>
                  <w:vAlign w:val="center"/>
                </w:tcPr>
                <w:p w14:paraId="7C4D50E0">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《重点行业挥发性有机物综合治理方案》(环大气[2019]53号)</w:t>
                  </w:r>
                </w:p>
              </w:tc>
              <w:tc>
                <w:tcPr>
                  <w:tcW w:w="3900" w:type="dxa"/>
                  <w:tcBorders>
                    <w:tl2br w:val="nil"/>
                    <w:tr2bl w:val="nil"/>
                  </w:tcBorders>
                  <w:vAlign w:val="center"/>
                </w:tcPr>
                <w:p w14:paraId="3FA342A4">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(1)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3210" w:type="dxa"/>
                  <w:tcBorders>
                    <w:tl2br w:val="nil"/>
                    <w:tr2bl w:val="nil"/>
                  </w:tcBorders>
                  <w:vAlign w:val="center"/>
                </w:tcPr>
                <w:p w14:paraId="6DD61E82">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w:t>
                  </w:r>
                  <w:r>
                    <w:rPr>
                      <w:rFonts w:hint="default" w:ascii="Times New Roman" w:hAnsi="Times New Roman" w:eastAsia="宋体" w:cs="Times New Roman"/>
                      <w:color w:val="auto"/>
                      <w:kern w:val="2"/>
                      <w:sz w:val="21"/>
                      <w:szCs w:val="21"/>
                      <w:highlight w:val="none"/>
                      <w:lang w:val="en-US" w:eastAsia="zh-CN" w:bidi="ar-SA"/>
                    </w:rPr>
                    <w:t>项目不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kern w:val="2"/>
                      <w:sz w:val="21"/>
                      <w:szCs w:val="24"/>
                      <w:highlight w:val="none"/>
                      <w:lang w:val="en-US" w:eastAsia="zh-CN" w:bidi="ar-SA"/>
                    </w:rPr>
                    <w:t>溶剂型涂料、油墨、胶粘剂、清洗剂。</w:t>
                  </w:r>
                  <w:r>
                    <w:rPr>
                      <w:rFonts w:hint="eastAsia" w:ascii="Times New Roman" w:hAnsi="Times New Roman" w:eastAsia="宋体" w:cs="Times New Roman"/>
                      <w:color w:val="auto"/>
                      <w:kern w:val="2"/>
                      <w:sz w:val="21"/>
                      <w:szCs w:val="24"/>
                      <w:highlight w:val="none"/>
                      <w:lang w:val="en-US" w:eastAsia="zh-CN" w:bidi="ar-SA"/>
                    </w:rPr>
                    <w:t>现有</w:t>
                  </w:r>
                  <w:r>
                    <w:rPr>
                      <w:rFonts w:hint="default" w:ascii="Times New Roman" w:hAnsi="Times New Roman" w:eastAsia="宋体" w:cs="Times New Roman"/>
                      <w:color w:val="auto"/>
                      <w:kern w:val="2"/>
                      <w:sz w:val="21"/>
                      <w:szCs w:val="24"/>
                      <w:highlight w:val="none"/>
                      <w:lang w:val="en-US" w:eastAsia="zh-CN" w:bidi="ar-SA"/>
                    </w:rPr>
                    <w:t>项目使用的氟保护漆等为不可替代材料，根据无锡市口腔医学会不可替代的意见，目前</w:t>
                  </w:r>
                  <w:r>
                    <w:rPr>
                      <w:rFonts w:hint="eastAsia" w:ascii="Times New Roman" w:hAnsi="Times New Roman" w:eastAsia="宋体" w:cs="Times New Roman"/>
                      <w:color w:val="auto"/>
                      <w:kern w:val="2"/>
                      <w:sz w:val="21"/>
                      <w:szCs w:val="24"/>
                      <w:highlight w:val="none"/>
                      <w:lang w:val="en-US" w:eastAsia="zh-CN" w:bidi="ar-SA"/>
                    </w:rPr>
                    <w:t>氟保护漆暂无可替代产品</w:t>
                  </w:r>
                  <w:r>
                    <w:rPr>
                      <w:rFonts w:hint="default" w:ascii="Times New Roman" w:hAnsi="Times New Roman" w:eastAsia="宋体" w:cs="Times New Roman"/>
                      <w:color w:val="auto"/>
                      <w:kern w:val="2"/>
                      <w:sz w:val="21"/>
                      <w:szCs w:val="24"/>
                      <w:highlight w:val="none"/>
                      <w:lang w:val="en-US" w:eastAsia="zh-CN" w:bidi="ar-SA"/>
                    </w:rPr>
                    <w:t>。</w:t>
                  </w:r>
                  <w:r>
                    <w:rPr>
                      <w:rFonts w:hint="eastAsia"/>
                      <w:color w:val="auto"/>
                      <w:highlight w:val="none"/>
                      <w:lang w:val="en-US" w:eastAsia="zh-CN"/>
                    </w:rPr>
                    <w:t>企业将在满足工艺要求的前提下使用低VOC水基型材料进行替代，从源头减少VOCs产生。</w:t>
                  </w:r>
                  <w:r>
                    <w:rPr>
                      <w:rFonts w:hint="eastAsia" w:ascii="Times New Roman" w:hAnsi="Times New Roman" w:eastAsia="宋体" w:cs="Times New Roman"/>
                      <w:color w:val="auto"/>
                      <w:kern w:val="2"/>
                      <w:sz w:val="21"/>
                      <w:szCs w:val="24"/>
                      <w:highlight w:val="none"/>
                      <w:lang w:val="en-US" w:eastAsia="zh-CN" w:bidi="ar-SA"/>
                    </w:rPr>
                    <w:t>（详见附件</w:t>
                  </w:r>
                  <w:r>
                    <w:rPr>
                      <w:rFonts w:hint="eastAsia" w:cs="Times New Roman"/>
                      <w:color w:val="auto"/>
                      <w:kern w:val="2"/>
                      <w:sz w:val="21"/>
                      <w:szCs w:val="24"/>
                      <w:highlight w:val="none"/>
                      <w:lang w:val="en-US" w:eastAsia="zh-CN" w:bidi="ar-SA"/>
                    </w:rPr>
                    <w:t>17</w:t>
                  </w:r>
                  <w:r>
                    <w:rPr>
                      <w:rFonts w:hint="eastAsia" w:ascii="Times New Roman" w:hAnsi="Times New Roman" w:eastAsia="宋体" w:cs="Times New Roman"/>
                      <w:color w:val="auto"/>
                      <w:kern w:val="2"/>
                      <w:sz w:val="21"/>
                      <w:szCs w:val="24"/>
                      <w:highlight w:val="none"/>
                      <w:lang w:val="en-US" w:eastAsia="zh-CN" w:bidi="ar-SA"/>
                    </w:rPr>
                    <w:t>）</w:t>
                  </w:r>
                </w:p>
              </w:tc>
              <w:tc>
                <w:tcPr>
                  <w:tcW w:w="878" w:type="dxa"/>
                  <w:vMerge w:val="restart"/>
                  <w:tcBorders>
                    <w:tl2br w:val="nil"/>
                    <w:tr2bl w:val="nil"/>
                  </w:tcBorders>
                  <w:vAlign w:val="center"/>
                </w:tcPr>
                <w:p w14:paraId="44E2CAF9">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7BFD8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0" w:hRule="atLeast"/>
                <w:jc w:val="center"/>
              </w:trPr>
              <w:tc>
                <w:tcPr>
                  <w:tcW w:w="960" w:type="dxa"/>
                  <w:vMerge w:val="continue"/>
                  <w:tcBorders>
                    <w:tl2br w:val="nil"/>
                    <w:tr2bl w:val="nil"/>
                  </w:tcBorders>
                  <w:vAlign w:val="center"/>
                </w:tcPr>
                <w:p w14:paraId="356DD8CD">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p>
              </w:tc>
              <w:tc>
                <w:tcPr>
                  <w:tcW w:w="3900" w:type="dxa"/>
                  <w:tcBorders>
                    <w:tl2br w:val="nil"/>
                    <w:tr2bl w:val="nil"/>
                  </w:tcBorders>
                  <w:vAlign w:val="center"/>
                </w:tcPr>
                <w:p w14:paraId="4F0AD1FC">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 (3)鼓励企业采用多种技术的组合工艺，提高VOCs治理效率。</w:t>
                  </w:r>
                </w:p>
              </w:tc>
              <w:tc>
                <w:tcPr>
                  <w:tcW w:w="3210" w:type="dxa"/>
                  <w:tcBorders>
                    <w:tl2br w:val="nil"/>
                    <w:tr2bl w:val="nil"/>
                  </w:tcBorders>
                  <w:vAlign w:val="center"/>
                </w:tcPr>
                <w:p w14:paraId="16882786">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本项目使用的</w:t>
                  </w:r>
                  <w:r>
                    <w:rPr>
                      <w:rFonts w:hint="eastAsia" w:cs="Times New Roman"/>
                      <w:color w:val="auto"/>
                      <w:kern w:val="2"/>
                      <w:sz w:val="21"/>
                      <w:szCs w:val="24"/>
                      <w:highlight w:val="none"/>
                      <w:lang w:val="en-US" w:eastAsia="zh-CN" w:bidi="ar-SA"/>
                    </w:rPr>
                    <w:t>硅油-脱模剂</w:t>
                  </w:r>
                  <w:r>
                    <w:rPr>
                      <w:rFonts w:hint="default" w:ascii="Times New Roman" w:hAnsi="Times New Roman" w:eastAsia="宋体" w:cs="Times New Roman"/>
                      <w:color w:val="auto"/>
                      <w:kern w:val="2"/>
                      <w:sz w:val="21"/>
                      <w:szCs w:val="24"/>
                      <w:highlight w:val="none"/>
                      <w:lang w:val="en-US" w:eastAsia="zh-CN" w:bidi="ar-SA"/>
                    </w:rPr>
                    <w:t>采用桶装，密闭储存转运</w:t>
                  </w:r>
                  <w:r>
                    <w:rPr>
                      <w:rFonts w:hint="eastAsia" w:cs="Times New Roman"/>
                      <w:color w:val="auto"/>
                      <w:kern w:val="2"/>
                      <w:sz w:val="21"/>
                      <w:szCs w:val="24"/>
                      <w:highlight w:val="none"/>
                      <w:lang w:val="en-US" w:eastAsia="zh-CN" w:bidi="ar-SA"/>
                    </w:rPr>
                    <w:t>，</w:t>
                  </w:r>
                  <w:r>
                    <w:rPr>
                      <w:rFonts w:hint="default" w:ascii="Times New Roman" w:hAnsi="Times New Roman" w:eastAsia="宋体" w:cs="Times New Roman"/>
                      <w:color w:val="auto"/>
                      <w:kern w:val="2"/>
                      <w:sz w:val="21"/>
                      <w:szCs w:val="24"/>
                      <w:highlight w:val="none"/>
                      <w:lang w:val="en-US" w:eastAsia="zh-CN" w:bidi="ar-SA"/>
                    </w:rPr>
                    <w:t>产生有机废气的设备尽可能相对密闭，</w:t>
                  </w:r>
                  <w:r>
                    <w:rPr>
                      <w:rFonts w:hint="eastAsia" w:cs="Times New Roman"/>
                      <w:color w:val="auto"/>
                      <w:kern w:val="2"/>
                      <w:sz w:val="21"/>
                      <w:szCs w:val="24"/>
                      <w:highlight w:val="none"/>
                      <w:lang w:val="en-US" w:eastAsia="zh-CN" w:bidi="ar-SA"/>
                    </w:rPr>
                    <w:t>尽可能削减VOCs无组织排放；有机废气</w:t>
                  </w:r>
                  <w:r>
                    <w:rPr>
                      <w:rFonts w:hint="default" w:ascii="Times New Roman" w:hAnsi="Times New Roman" w:eastAsia="宋体" w:cs="Times New Roman"/>
                      <w:color w:val="auto"/>
                      <w:kern w:val="2"/>
                      <w:sz w:val="21"/>
                      <w:szCs w:val="24"/>
                      <w:highlight w:val="none"/>
                      <w:lang w:val="en-US" w:eastAsia="zh-CN" w:bidi="ar-SA"/>
                    </w:rPr>
                    <w:t>采用</w:t>
                  </w:r>
                  <w:r>
                    <w:rPr>
                      <w:rFonts w:hint="eastAsia" w:cs="Times New Roman"/>
                      <w:color w:val="auto"/>
                      <w:kern w:val="2"/>
                      <w:sz w:val="21"/>
                      <w:szCs w:val="24"/>
                      <w:highlight w:val="none"/>
                      <w:lang w:val="en-US" w:eastAsia="zh-CN" w:bidi="ar-SA"/>
                    </w:rPr>
                    <w:t>一级碱喷淋+一级水喷淋+除雾器+二级活性炭吸附装置</w:t>
                  </w:r>
                  <w:r>
                    <w:rPr>
                      <w:rFonts w:hint="default" w:ascii="Times New Roman" w:hAnsi="Times New Roman" w:eastAsia="宋体" w:cs="Times New Roman"/>
                      <w:color w:val="auto"/>
                      <w:kern w:val="2"/>
                      <w:sz w:val="21"/>
                      <w:szCs w:val="24"/>
                      <w:highlight w:val="none"/>
                      <w:lang w:val="en-US" w:eastAsia="zh-CN" w:bidi="ar-SA"/>
                    </w:rPr>
                    <w:t>处理。</w:t>
                  </w:r>
                </w:p>
              </w:tc>
              <w:tc>
                <w:tcPr>
                  <w:tcW w:w="878" w:type="dxa"/>
                  <w:vMerge w:val="continue"/>
                  <w:tcBorders>
                    <w:tl2br w:val="nil"/>
                    <w:tr2bl w:val="nil"/>
                  </w:tcBorders>
                  <w:vAlign w:val="center"/>
                </w:tcPr>
                <w:p w14:paraId="6CD52F81">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p>
              </w:tc>
            </w:tr>
            <w:tr w14:paraId="64CFA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5" w:hRule="atLeast"/>
                <w:jc w:val="center"/>
              </w:trPr>
              <w:tc>
                <w:tcPr>
                  <w:tcW w:w="960" w:type="dxa"/>
                  <w:tcBorders>
                    <w:tl2br w:val="nil"/>
                    <w:tr2bl w:val="nil"/>
                  </w:tcBorders>
                  <w:vAlign w:val="center"/>
                </w:tcPr>
                <w:p w14:paraId="65169751">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《江苏省挥发性有机物清洁原料替代工作方案》</w:t>
                  </w:r>
                </w:p>
                <w:p w14:paraId="33C88818">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苏大气办〔2021〕2号</w:t>
                  </w:r>
                </w:p>
              </w:tc>
              <w:tc>
                <w:tcPr>
                  <w:tcW w:w="3900" w:type="dxa"/>
                  <w:tcBorders>
                    <w:tl2br w:val="nil"/>
                    <w:tr2bl w:val="nil"/>
                  </w:tcBorders>
                  <w:vAlign w:val="center"/>
                </w:tcPr>
                <w:p w14:paraId="2DEF4AAE">
                  <w:pPr>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其他涉VOCs 涂装企业，要使用符合《</w:t>
                  </w:r>
                  <w:r>
                    <w:rPr>
                      <w:rFonts w:hint="eastAsia" w:ascii="Times New Roman" w:hAnsi="Times New Roman" w:eastAsia="宋体" w:cs="Times New Roman"/>
                      <w:color w:val="auto"/>
                      <w:kern w:val="0"/>
                      <w:sz w:val="21"/>
                      <w:szCs w:val="21"/>
                      <w:highlight w:val="none"/>
                      <w:lang w:val="en-US" w:eastAsia="zh-CN" w:bidi="ar"/>
                    </w:rPr>
                    <w:t>低挥发性有机化合物含量涂料产品技术要求</w:t>
                  </w:r>
                  <w:r>
                    <w:rPr>
                      <w:rFonts w:hint="default" w:ascii="Times New Roman" w:hAnsi="Times New Roman" w:eastAsia="宋体" w:cs="Times New Roman"/>
                      <w:color w:val="auto"/>
                      <w:kern w:val="0"/>
                      <w:sz w:val="21"/>
                      <w:szCs w:val="21"/>
                      <w:highlight w:val="none"/>
                      <w:lang w:val="en-US" w:eastAsia="zh-CN" w:bidi="ar"/>
                    </w:rPr>
                    <w:t>》（GB/T38597-2020）规定的粉末、水性、无溶剂、辐射固化涂料产品；符合《清洗剂挥发性有机化合物含量限值》GB38508-2020）规定的水基、半水基清洗剂产品；符合《胶粘剂挥发性有机化合物限量》（GB33372-2020）规定的水基型、水体行胶粘剂产品。</w:t>
                  </w:r>
                </w:p>
                <w:p w14:paraId="66D45E12">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p>
              </w:tc>
              <w:tc>
                <w:tcPr>
                  <w:tcW w:w="3210" w:type="dxa"/>
                  <w:tcBorders>
                    <w:tl2br w:val="nil"/>
                    <w:tr2bl w:val="nil"/>
                  </w:tcBorders>
                  <w:vAlign w:val="center"/>
                </w:tcPr>
                <w:p w14:paraId="7ED7DBDB">
                  <w:pPr>
                    <w:keepNext w:val="0"/>
                    <w:keepLines w:val="0"/>
                    <w:widowControl/>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rPr>
                    <w:t>本项</w:t>
                  </w:r>
                  <w:r>
                    <w:rPr>
                      <w:rFonts w:hint="default" w:ascii="Times New Roman" w:hAnsi="Times New Roman" w:eastAsia="宋体" w:cs="Times New Roman"/>
                      <w:color w:val="auto"/>
                      <w:szCs w:val="21"/>
                      <w:highlight w:val="none"/>
                    </w:rPr>
                    <w:t>目</w:t>
                  </w:r>
                  <w:r>
                    <w:rPr>
                      <w:rFonts w:hint="eastAsia" w:ascii="Times New Roman" w:hAnsi="Times New Roman" w:eastAsia="宋体" w:cs="Times New Roman"/>
                      <w:color w:val="auto"/>
                      <w:szCs w:val="21"/>
                      <w:highlight w:val="none"/>
                      <w:lang w:val="en-US" w:eastAsia="zh-CN"/>
                    </w:rPr>
                    <w:t>行业类别为</w:t>
                  </w:r>
                  <w:r>
                    <w:rPr>
                      <w:rFonts w:hint="eastAsia" w:ascii="Times New Roman" w:hAnsi="Times New Roman" w:eastAsia="宋体" w:cs="Times New Roman"/>
                      <w:color w:val="auto"/>
                      <w:szCs w:val="21"/>
                      <w:highlight w:val="none"/>
                      <w:lang w:eastAsia="zh-CN"/>
                    </w:rPr>
                    <w:t>C3589其他医疗设备及器械制造，</w:t>
                  </w:r>
                  <w:r>
                    <w:rPr>
                      <w:rFonts w:hint="eastAsia"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项目生产过</w:t>
                  </w:r>
                  <w:r>
                    <w:rPr>
                      <w:rFonts w:hint="default" w:ascii="Times New Roman" w:hAnsi="Times New Roman" w:eastAsia="宋体" w:cs="Times New Roman"/>
                      <w:color w:val="auto"/>
                      <w:kern w:val="2"/>
                      <w:sz w:val="21"/>
                      <w:szCs w:val="21"/>
                      <w:highlight w:val="none"/>
                      <w:lang w:val="en-US" w:eastAsia="zh-CN" w:bidi="ar-SA"/>
                    </w:rPr>
                    <w:t>程中不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highlight w:val="none"/>
                    </w:rPr>
                    <w:t>溶剂型涂料、油墨、胶粘剂、清洗剂。</w:t>
                  </w:r>
                  <w:r>
                    <w:rPr>
                      <w:rFonts w:hint="eastAsia" w:ascii="Times New Roman" w:hAnsi="Times New Roman" w:eastAsia="宋体" w:cs="Times New Roman"/>
                      <w:color w:val="auto"/>
                      <w:kern w:val="2"/>
                      <w:sz w:val="21"/>
                      <w:szCs w:val="24"/>
                      <w:highlight w:val="none"/>
                      <w:lang w:val="en-US" w:eastAsia="zh-CN" w:bidi="ar-SA"/>
                    </w:rPr>
                    <w:t>现有</w:t>
                  </w:r>
                  <w:r>
                    <w:rPr>
                      <w:rFonts w:hint="default" w:ascii="Times New Roman" w:hAnsi="Times New Roman" w:eastAsia="宋体" w:cs="Times New Roman"/>
                      <w:color w:val="auto"/>
                      <w:kern w:val="2"/>
                      <w:sz w:val="21"/>
                      <w:szCs w:val="24"/>
                      <w:highlight w:val="none"/>
                      <w:lang w:val="en-US" w:eastAsia="zh-CN" w:bidi="ar-SA"/>
                    </w:rPr>
                    <w:t>项目使用的氟保护漆等为不可替代材料，根据无锡市口腔医学会不可替代的意见，目前</w:t>
                  </w:r>
                  <w:r>
                    <w:rPr>
                      <w:rFonts w:hint="eastAsia" w:ascii="Times New Roman" w:hAnsi="Times New Roman" w:eastAsia="宋体" w:cs="Times New Roman"/>
                      <w:color w:val="auto"/>
                      <w:kern w:val="2"/>
                      <w:sz w:val="21"/>
                      <w:szCs w:val="24"/>
                      <w:highlight w:val="none"/>
                      <w:lang w:val="en-US" w:eastAsia="zh-CN" w:bidi="ar-SA"/>
                    </w:rPr>
                    <w:t>氟保护漆暂无可替代产品</w:t>
                  </w:r>
                  <w:r>
                    <w:rPr>
                      <w:rFonts w:hint="default" w:ascii="Times New Roman" w:hAnsi="Times New Roman" w:eastAsia="宋体" w:cs="Times New Roman"/>
                      <w:color w:val="auto"/>
                      <w:kern w:val="2"/>
                      <w:sz w:val="21"/>
                      <w:szCs w:val="24"/>
                      <w:highlight w:val="none"/>
                      <w:lang w:val="en-US" w:eastAsia="zh-CN" w:bidi="ar-SA"/>
                    </w:rPr>
                    <w:t>。</w:t>
                  </w:r>
                  <w:r>
                    <w:rPr>
                      <w:rFonts w:hint="eastAsia"/>
                      <w:color w:val="auto"/>
                      <w:highlight w:val="none"/>
                      <w:lang w:val="en-US" w:eastAsia="zh-CN"/>
                    </w:rPr>
                    <w:t>企业将在满足工艺要求的前提下使用低VOC水基型材料进行替代，从源头减少VOCs产生。</w:t>
                  </w:r>
                  <w:r>
                    <w:rPr>
                      <w:rFonts w:hint="eastAsia" w:ascii="Times New Roman" w:hAnsi="Times New Roman" w:eastAsia="宋体" w:cs="Times New Roman"/>
                      <w:color w:val="auto"/>
                      <w:kern w:val="2"/>
                      <w:sz w:val="21"/>
                      <w:szCs w:val="24"/>
                      <w:highlight w:val="none"/>
                      <w:lang w:val="en-US" w:eastAsia="zh-CN" w:bidi="ar-SA"/>
                    </w:rPr>
                    <w:t>（详见附件</w:t>
                  </w:r>
                  <w:r>
                    <w:rPr>
                      <w:rFonts w:hint="eastAsia" w:cs="Times New Roman"/>
                      <w:color w:val="auto"/>
                      <w:kern w:val="2"/>
                      <w:sz w:val="21"/>
                      <w:szCs w:val="24"/>
                      <w:highlight w:val="none"/>
                      <w:lang w:val="en-US" w:eastAsia="zh-CN" w:bidi="ar-SA"/>
                    </w:rPr>
                    <w:t>17</w:t>
                  </w:r>
                  <w:r>
                    <w:rPr>
                      <w:rFonts w:hint="eastAsia" w:ascii="Times New Roman" w:hAnsi="Times New Roman" w:eastAsia="宋体" w:cs="Times New Roman"/>
                      <w:color w:val="auto"/>
                      <w:kern w:val="2"/>
                      <w:sz w:val="21"/>
                      <w:szCs w:val="24"/>
                      <w:highlight w:val="none"/>
                      <w:lang w:val="en-US" w:eastAsia="zh-CN" w:bidi="ar-SA"/>
                    </w:rPr>
                    <w:t>）</w:t>
                  </w:r>
                </w:p>
              </w:tc>
              <w:tc>
                <w:tcPr>
                  <w:tcW w:w="878" w:type="dxa"/>
                  <w:tcBorders>
                    <w:tl2br w:val="nil"/>
                    <w:tr2bl w:val="nil"/>
                  </w:tcBorders>
                  <w:vAlign w:val="center"/>
                </w:tcPr>
                <w:p w14:paraId="778B9FF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7B715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2" w:hRule="atLeast"/>
                <w:jc w:val="center"/>
              </w:trPr>
              <w:tc>
                <w:tcPr>
                  <w:tcW w:w="960" w:type="dxa"/>
                  <w:tcBorders>
                    <w:tl2br w:val="nil"/>
                    <w:tr2bl w:val="nil"/>
                  </w:tcBorders>
                  <w:vAlign w:val="center"/>
                </w:tcPr>
                <w:p w14:paraId="1322642F">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《无锡市重点行业挥发性有机物清洁原料替代工作方案》(锡大气办)[2021]11号</w:t>
                  </w:r>
                </w:p>
              </w:tc>
              <w:tc>
                <w:tcPr>
                  <w:tcW w:w="3900" w:type="dxa"/>
                  <w:tcBorders>
                    <w:tl2br w:val="nil"/>
                    <w:tr2bl w:val="nil"/>
                  </w:tcBorders>
                  <w:vAlign w:val="center"/>
                </w:tcPr>
                <w:p w14:paraId="55773987">
                  <w:pPr>
                    <w:keepNext w:val="0"/>
                    <w:keepLines w:val="0"/>
                    <w:widowControl w:val="0"/>
                    <w:numPr>
                      <w:ilvl w:val="0"/>
                      <w:numId w:val="0"/>
                    </w:numPr>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五）其他企业。各地可根据本地产业特色，将其他行业企业涉VOCs工序纳入清洁原料替代清单。其他行业企业涉VOCs相关工序，要使用符合《低挥发性有机化合物含量涂料产品技术要求》(GB/T38597-2020)规定的粉末、水性、无溶剂、辐射固化涂料产品:符合《清洗剂挥发性有机化合物含量限值》(GB 38508-2020)规定的水基、半水基清洗剂产品:符合《胶粘剂挥发性有机化合物限量》(GB33</w:t>
                  </w:r>
                  <w:r>
                    <w:rPr>
                      <w:rFonts w:hint="eastAsia" w:ascii="Times New Roman" w:hAnsi="Times New Roman" w:eastAsia="宋体" w:cs="Times New Roman"/>
                      <w:color w:val="auto"/>
                      <w:kern w:val="2"/>
                      <w:sz w:val="21"/>
                      <w:szCs w:val="24"/>
                      <w:highlight w:val="none"/>
                      <w:lang w:val="en-US" w:eastAsia="zh-CN" w:bidi="ar-SA"/>
                    </w:rPr>
                    <w:t>3</w:t>
                  </w:r>
                  <w:r>
                    <w:rPr>
                      <w:rFonts w:hint="default" w:ascii="Times New Roman" w:hAnsi="Times New Roman" w:eastAsia="宋体" w:cs="Times New Roman"/>
                      <w:color w:val="auto"/>
                      <w:kern w:val="2"/>
                      <w:sz w:val="21"/>
                      <w:szCs w:val="24"/>
                      <w:highlight w:val="none"/>
                      <w:lang w:val="en-US" w:eastAsia="zh-CN" w:bidi="ar-SA"/>
                    </w:rPr>
                    <w:t>72-2020) 规定的水基型、本体型胶粘剂产品。若确实无法达到上述要求，应提供相应的论证说明。</w:t>
                  </w:r>
                </w:p>
              </w:tc>
              <w:tc>
                <w:tcPr>
                  <w:tcW w:w="3210" w:type="dxa"/>
                  <w:tcBorders>
                    <w:tl2br w:val="nil"/>
                    <w:tr2bl w:val="nil"/>
                  </w:tcBorders>
                  <w:vAlign w:val="center"/>
                </w:tcPr>
                <w:p w14:paraId="5C82126C">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本项</w:t>
                  </w:r>
                  <w:r>
                    <w:rPr>
                      <w:rFonts w:hint="default" w:ascii="Times New Roman" w:hAnsi="Times New Roman" w:eastAsia="宋体" w:cs="Times New Roman"/>
                      <w:color w:val="auto"/>
                      <w:kern w:val="2"/>
                      <w:sz w:val="21"/>
                      <w:szCs w:val="21"/>
                      <w:highlight w:val="none"/>
                      <w:lang w:val="en-US" w:eastAsia="zh-CN" w:bidi="ar-SA"/>
                    </w:rPr>
                    <w:t>目</w:t>
                  </w:r>
                  <w:r>
                    <w:rPr>
                      <w:rFonts w:hint="eastAsia" w:ascii="Times New Roman" w:hAnsi="Times New Roman" w:eastAsia="宋体" w:cs="Times New Roman"/>
                      <w:color w:val="auto"/>
                      <w:kern w:val="2"/>
                      <w:sz w:val="21"/>
                      <w:szCs w:val="21"/>
                      <w:highlight w:val="none"/>
                      <w:lang w:val="en-US" w:eastAsia="zh-CN" w:bidi="ar-SA"/>
                    </w:rPr>
                    <w:t>为C3589其他医疗设备及器械制造</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本</w:t>
                  </w:r>
                  <w:r>
                    <w:rPr>
                      <w:rFonts w:hint="default" w:ascii="Times New Roman" w:hAnsi="Times New Roman" w:eastAsia="宋体" w:cs="Times New Roman"/>
                      <w:color w:val="auto"/>
                      <w:kern w:val="2"/>
                      <w:sz w:val="21"/>
                      <w:szCs w:val="21"/>
                      <w:highlight w:val="none"/>
                      <w:lang w:val="en-US" w:eastAsia="zh-CN" w:bidi="ar-SA"/>
                    </w:rPr>
                    <w:t>项目不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kern w:val="2"/>
                      <w:sz w:val="21"/>
                      <w:szCs w:val="24"/>
                      <w:highlight w:val="none"/>
                      <w:lang w:val="en-US" w:eastAsia="zh-CN" w:bidi="ar-SA"/>
                    </w:rPr>
                    <w:t>溶剂型涂料、油墨、胶粘剂、清洗剂。</w:t>
                  </w:r>
                  <w:r>
                    <w:rPr>
                      <w:rFonts w:hint="eastAsia" w:ascii="Times New Roman" w:hAnsi="Times New Roman" w:eastAsia="宋体" w:cs="Times New Roman"/>
                      <w:color w:val="auto"/>
                      <w:kern w:val="2"/>
                      <w:sz w:val="21"/>
                      <w:szCs w:val="24"/>
                      <w:highlight w:val="none"/>
                      <w:lang w:val="en-US" w:eastAsia="zh-CN" w:bidi="ar-SA"/>
                    </w:rPr>
                    <w:t>现有</w:t>
                  </w:r>
                  <w:r>
                    <w:rPr>
                      <w:rFonts w:hint="default" w:ascii="Times New Roman" w:hAnsi="Times New Roman" w:eastAsia="宋体" w:cs="Times New Roman"/>
                      <w:color w:val="auto"/>
                      <w:kern w:val="2"/>
                      <w:sz w:val="21"/>
                      <w:szCs w:val="24"/>
                      <w:highlight w:val="none"/>
                      <w:lang w:val="en-US" w:eastAsia="zh-CN" w:bidi="ar-SA"/>
                    </w:rPr>
                    <w:t>项目使用的氟保护漆等为不可替代材料，根据无锡市口腔医学会不可替代的意见，目前</w:t>
                  </w:r>
                  <w:r>
                    <w:rPr>
                      <w:rFonts w:hint="eastAsia" w:ascii="Times New Roman" w:hAnsi="Times New Roman" w:eastAsia="宋体" w:cs="Times New Roman"/>
                      <w:color w:val="auto"/>
                      <w:kern w:val="2"/>
                      <w:sz w:val="21"/>
                      <w:szCs w:val="24"/>
                      <w:highlight w:val="none"/>
                      <w:lang w:val="en-US" w:eastAsia="zh-CN" w:bidi="ar-SA"/>
                    </w:rPr>
                    <w:t>氟保护漆暂无可替代产品</w:t>
                  </w:r>
                  <w:r>
                    <w:rPr>
                      <w:rFonts w:hint="default" w:ascii="Times New Roman" w:hAnsi="Times New Roman" w:eastAsia="宋体" w:cs="Times New Roman"/>
                      <w:color w:val="auto"/>
                      <w:kern w:val="2"/>
                      <w:sz w:val="21"/>
                      <w:szCs w:val="24"/>
                      <w:highlight w:val="none"/>
                      <w:lang w:val="en-US" w:eastAsia="zh-CN" w:bidi="ar-SA"/>
                    </w:rPr>
                    <w:t>。</w:t>
                  </w:r>
                  <w:r>
                    <w:rPr>
                      <w:rFonts w:hint="eastAsia"/>
                      <w:color w:val="auto"/>
                      <w:highlight w:val="none"/>
                      <w:lang w:val="en-US" w:eastAsia="zh-CN"/>
                    </w:rPr>
                    <w:t>企业将在满足工艺要求的前提下使用低VOC水基型材料进行替代，从源头减少VOCs产生。</w:t>
                  </w:r>
                  <w:r>
                    <w:rPr>
                      <w:rFonts w:hint="eastAsia" w:ascii="Times New Roman" w:hAnsi="Times New Roman" w:eastAsia="宋体" w:cs="Times New Roman"/>
                      <w:color w:val="auto"/>
                      <w:kern w:val="2"/>
                      <w:sz w:val="21"/>
                      <w:szCs w:val="24"/>
                      <w:highlight w:val="none"/>
                      <w:lang w:val="en-US" w:eastAsia="zh-CN" w:bidi="ar-SA"/>
                    </w:rPr>
                    <w:t>（详见附件</w:t>
                  </w:r>
                  <w:r>
                    <w:rPr>
                      <w:rFonts w:hint="eastAsia" w:cs="Times New Roman"/>
                      <w:color w:val="auto"/>
                      <w:kern w:val="2"/>
                      <w:sz w:val="21"/>
                      <w:szCs w:val="24"/>
                      <w:highlight w:val="none"/>
                      <w:lang w:val="en-US" w:eastAsia="zh-CN" w:bidi="ar-SA"/>
                    </w:rPr>
                    <w:t>17</w:t>
                  </w:r>
                  <w:r>
                    <w:rPr>
                      <w:rFonts w:hint="eastAsia" w:ascii="Times New Roman" w:hAnsi="Times New Roman" w:eastAsia="宋体" w:cs="Times New Roman"/>
                      <w:color w:val="auto"/>
                      <w:kern w:val="2"/>
                      <w:sz w:val="21"/>
                      <w:szCs w:val="24"/>
                      <w:highlight w:val="none"/>
                      <w:lang w:val="en-US" w:eastAsia="zh-CN" w:bidi="ar-SA"/>
                    </w:rPr>
                    <w:t>）</w:t>
                  </w:r>
                </w:p>
              </w:tc>
              <w:tc>
                <w:tcPr>
                  <w:tcW w:w="878" w:type="dxa"/>
                  <w:tcBorders>
                    <w:tl2br w:val="nil"/>
                    <w:tr2bl w:val="nil"/>
                  </w:tcBorders>
                  <w:vAlign w:val="center"/>
                </w:tcPr>
                <w:p w14:paraId="629068D3">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相符</w:t>
                  </w:r>
                </w:p>
              </w:tc>
            </w:tr>
            <w:tr w14:paraId="5D527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60" w:type="dxa"/>
                  <w:vMerge w:val="restart"/>
                  <w:tcBorders>
                    <w:tl2br w:val="nil"/>
                    <w:tr2bl w:val="nil"/>
                  </w:tcBorders>
                  <w:vAlign w:val="center"/>
                </w:tcPr>
                <w:p w14:paraId="57543B22">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《关于加快解决当前挥发性有机物治理突出问题的通知》（环大气[2021]65号）</w:t>
                  </w:r>
                </w:p>
              </w:tc>
              <w:tc>
                <w:tcPr>
                  <w:tcW w:w="3900" w:type="dxa"/>
                  <w:tcBorders>
                    <w:tl2br w:val="nil"/>
                    <w:tr2bl w:val="nil"/>
                  </w:tcBorders>
                  <w:vAlign w:val="center"/>
                </w:tcPr>
                <w:p w14:paraId="5DE280EF">
                  <w:pPr>
                    <w:keepNext w:val="0"/>
                    <w:keepLines w:val="0"/>
                    <w:suppressLineNumbers w:val="0"/>
                    <w:autoSpaceDE w:val="0"/>
                    <w:autoSpaceDN w:val="0"/>
                    <w:adjustRightInd w:val="0"/>
                    <w:snapToGrid w:val="0"/>
                    <w:spacing w:before="0" w:beforeAutospacing="0" w:after="0" w:afterAutospacing="0"/>
                    <w:ind w:left="0" w:leftChars="0" w:right="0" w:rightChars="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Cs w:val="21"/>
                      <w:highlight w:val="none"/>
                      <w:lang w:val="en-US" w:eastAsia="zh-CN"/>
                    </w:rPr>
                    <w:t>废气收集设施：</w:t>
                  </w:r>
                  <w:r>
                    <w:rPr>
                      <w:rFonts w:hint="default" w:ascii="Times New Roman" w:hAnsi="Times New Roman" w:eastAsia="宋体" w:cs="Times New Roman"/>
                      <w:color w:val="auto"/>
                      <w:szCs w:val="21"/>
                      <w:highlight w:val="none"/>
                    </w:rPr>
                    <w:t>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 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含VOCs物料输送原则上采用重力流或泵送方式；有机液体进料鼓励采用底部、浸入管给料方式；固体物料投加逐步推进采用密闭式投料装置。使用VOCs质量占比大于等于10%的涂料、油墨、胶粘剂、稀释剂、清洗剂等物料存储、调配、转移、输送等环节应密闭。</w:t>
                  </w:r>
                </w:p>
              </w:tc>
              <w:tc>
                <w:tcPr>
                  <w:tcW w:w="3210" w:type="dxa"/>
                  <w:tcBorders>
                    <w:tl2br w:val="nil"/>
                    <w:tr2bl w:val="nil"/>
                  </w:tcBorders>
                  <w:vAlign w:val="center"/>
                </w:tcPr>
                <w:p w14:paraId="3819D811">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szCs w:val="21"/>
                      <w:highlight w:val="none"/>
                      <w:lang w:val="en-US" w:eastAsia="zh-CN"/>
                    </w:rPr>
                    <w:t>本项目</w:t>
                  </w:r>
                  <w:r>
                    <w:rPr>
                      <w:rFonts w:hint="default" w:ascii="Times New Roman" w:hAnsi="Times New Roman" w:eastAsia="宋体" w:cs="Times New Roman"/>
                      <w:color w:val="auto"/>
                      <w:szCs w:val="21"/>
                      <w:highlight w:val="none"/>
                    </w:rPr>
                    <w:t>产生</w:t>
                  </w:r>
                  <w:r>
                    <w:rPr>
                      <w:rFonts w:hint="eastAsia" w:cs="Times New Roman"/>
                      <w:color w:val="auto"/>
                      <w:szCs w:val="21"/>
                      <w:highlight w:val="none"/>
                      <w:lang w:val="en-US" w:eastAsia="zh-CN"/>
                    </w:rPr>
                    <w:t>的有机废气经</w:t>
                  </w:r>
                  <w:r>
                    <w:rPr>
                      <w:rFonts w:hint="eastAsia" w:ascii="Times New Roman" w:hAnsi="Times New Roman" w:eastAsia="宋体" w:cs="Times New Roman"/>
                      <w:color w:val="auto"/>
                      <w:szCs w:val="21"/>
                      <w:highlight w:val="none"/>
                      <w:lang w:val="en-US" w:eastAsia="zh-CN"/>
                    </w:rPr>
                    <w:t>通风橱</w:t>
                  </w:r>
                  <w:r>
                    <w:rPr>
                      <w:rFonts w:hint="eastAsia" w:cs="Times New Roman"/>
                      <w:color w:val="auto"/>
                      <w:szCs w:val="21"/>
                      <w:highlight w:val="none"/>
                      <w:lang w:val="en-US" w:eastAsia="zh-CN"/>
                    </w:rPr>
                    <w:t>进行</w:t>
                  </w:r>
                  <w:r>
                    <w:rPr>
                      <w:rFonts w:hint="eastAsia" w:ascii="Times New Roman" w:hAnsi="Times New Roman" w:eastAsia="宋体" w:cs="Times New Roman"/>
                      <w:color w:val="auto"/>
                      <w:szCs w:val="21"/>
                      <w:highlight w:val="none"/>
                      <w:lang w:val="en-US" w:eastAsia="zh-CN"/>
                    </w:rPr>
                    <w:t>收集</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kern w:val="2"/>
                      <w:sz w:val="21"/>
                      <w:szCs w:val="24"/>
                      <w:highlight w:val="none"/>
                      <w:lang w:val="en-US" w:eastAsia="zh-CN" w:bidi="ar-SA"/>
                    </w:rPr>
                    <w:t>本项目使用的</w:t>
                  </w:r>
                  <w:r>
                    <w:rPr>
                      <w:rFonts w:hint="eastAsia" w:cs="Times New Roman"/>
                      <w:color w:val="auto"/>
                      <w:kern w:val="2"/>
                      <w:sz w:val="21"/>
                      <w:szCs w:val="24"/>
                      <w:highlight w:val="none"/>
                      <w:lang w:val="en-US" w:eastAsia="zh-CN" w:bidi="ar-SA"/>
                    </w:rPr>
                    <w:t>硅油-脱模剂</w:t>
                  </w:r>
                  <w:r>
                    <w:rPr>
                      <w:rFonts w:hint="default" w:ascii="Times New Roman" w:hAnsi="Times New Roman" w:eastAsia="宋体" w:cs="Times New Roman"/>
                      <w:color w:val="auto"/>
                      <w:kern w:val="2"/>
                      <w:sz w:val="21"/>
                      <w:szCs w:val="24"/>
                      <w:highlight w:val="none"/>
                      <w:lang w:val="en-US" w:eastAsia="zh-CN" w:bidi="ar-SA"/>
                    </w:rPr>
                    <w:t>采用桶装，密闭储存转运</w:t>
                  </w:r>
                  <w:r>
                    <w:rPr>
                      <w:rFonts w:hint="default" w:ascii="Times New Roman" w:hAnsi="Times New Roman" w:eastAsia="宋体"/>
                      <w:color w:val="auto"/>
                      <w:highlight w:val="none"/>
                    </w:rPr>
                    <w:t>。</w:t>
                  </w:r>
                </w:p>
              </w:tc>
              <w:tc>
                <w:tcPr>
                  <w:tcW w:w="878" w:type="dxa"/>
                  <w:tcBorders>
                    <w:tl2br w:val="nil"/>
                    <w:tr2bl w:val="nil"/>
                  </w:tcBorders>
                  <w:vAlign w:val="center"/>
                </w:tcPr>
                <w:p w14:paraId="3DCD366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Cs w:val="21"/>
                      <w:highlight w:val="none"/>
                    </w:rPr>
                    <w:t>符合</w:t>
                  </w:r>
                </w:p>
              </w:tc>
            </w:tr>
            <w:tr w14:paraId="3C505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960" w:type="dxa"/>
                  <w:vMerge w:val="continue"/>
                  <w:tcBorders>
                    <w:tl2br w:val="nil"/>
                    <w:tr2bl w:val="nil"/>
                  </w:tcBorders>
                  <w:vAlign w:val="center"/>
                </w:tcPr>
                <w:p w14:paraId="4A18C00A">
                  <w:pPr>
                    <w:keepNext w:val="0"/>
                    <w:keepLines w:val="0"/>
                    <w:widowControl w:val="0"/>
                    <w:numPr>
                      <w:ilvl w:val="0"/>
                      <w:numId w:val="0"/>
                    </w:numPr>
                    <w:suppressLineNumbers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bCs/>
                      <w:color w:val="auto"/>
                      <w:kern w:val="2"/>
                      <w:sz w:val="21"/>
                      <w:szCs w:val="24"/>
                      <w:highlight w:val="none"/>
                      <w:lang w:val="en-US" w:eastAsia="zh-CN" w:bidi="ar-SA"/>
                    </w:rPr>
                  </w:pPr>
                </w:p>
              </w:tc>
              <w:tc>
                <w:tcPr>
                  <w:tcW w:w="3900" w:type="dxa"/>
                  <w:tcBorders>
                    <w:tl2br w:val="nil"/>
                    <w:tr2bl w:val="nil"/>
                  </w:tcBorders>
                  <w:vAlign w:val="center"/>
                </w:tcPr>
                <w:p w14:paraId="7DEB6C64">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val="0"/>
                      <w:color w:val="auto"/>
                      <w:szCs w:val="21"/>
                      <w:highlight w:val="none"/>
                    </w:rPr>
                    <w:t>有机废气治理设施</w:t>
                  </w:r>
                  <w:r>
                    <w:rPr>
                      <w:rFonts w:hint="eastAsia"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color w:val="auto"/>
                      <w:szCs w:val="21"/>
                      <w:highlight w:val="none"/>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p w14:paraId="344D7E49">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p w14:paraId="1DB6B6FE">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auto"/>
                      <w:szCs w:val="21"/>
                      <w:highlight w:val="none"/>
                      <w:vertAlign w:val="superscript"/>
                    </w:rPr>
                    <w:t>2</w:t>
                  </w:r>
                  <w:r>
                    <w:rPr>
                      <w:rFonts w:hint="default" w:ascii="Times New Roman" w:hAnsi="Times New Roman" w:eastAsia="宋体" w:cs="Times New Roman"/>
                      <w:color w:val="auto"/>
                      <w:szCs w:val="21"/>
                      <w:highlight w:val="none"/>
                    </w:rPr>
                    <w:t>/g （BET法）。一次性活性炭吸附工艺宜采用颗粒活性炭作为吸附剂。活性炭、活性炭纤维产品销售时应提供产品质量证明材料。</w:t>
                  </w:r>
                </w:p>
              </w:tc>
              <w:tc>
                <w:tcPr>
                  <w:tcW w:w="3210" w:type="dxa"/>
                  <w:tcBorders>
                    <w:tl2br w:val="nil"/>
                    <w:tr2bl w:val="nil"/>
                  </w:tcBorders>
                  <w:vAlign w:val="center"/>
                </w:tcPr>
                <w:p w14:paraId="77A5196A">
                  <w:pPr>
                    <w:keepNext w:val="0"/>
                    <w:keepLines w:val="0"/>
                    <w:suppressLineNumbers w:val="0"/>
                    <w:autoSpaceDE w:val="0"/>
                    <w:autoSpaceDN w:val="0"/>
                    <w:adjustRightInd w:val="0"/>
                    <w:snapToGrid w:val="0"/>
                    <w:spacing w:before="0" w:beforeAutospacing="0" w:after="0" w:afterAutospacing="0"/>
                    <w:ind w:left="0" w:leftChars="0" w:right="0" w:rightChars="0" w:firstLine="420"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本项目采用一级碱喷淋+一级水喷淋+除雾器+二级活性炭吸附装置进行废气处理。</w:t>
                  </w:r>
                </w:p>
                <w:p w14:paraId="4267C8AA">
                  <w:pPr>
                    <w:keepNext w:val="0"/>
                    <w:keepLines w:val="0"/>
                    <w:suppressLineNumbers w:val="0"/>
                    <w:autoSpaceDE w:val="0"/>
                    <w:autoSpaceDN w:val="0"/>
                    <w:adjustRightInd w:val="0"/>
                    <w:snapToGrid w:val="0"/>
                    <w:spacing w:before="0" w:beforeAutospacing="0" w:after="0" w:afterAutospacing="0"/>
                    <w:ind w:left="0" w:leftChars="0" w:right="0" w:rightChars="0" w:firstLine="420" w:firstLineChars="200"/>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企业应</w:t>
                  </w:r>
                  <w:r>
                    <w:rPr>
                      <w:rFonts w:hint="default" w:ascii="Times New Roman" w:hAnsi="Times New Roman" w:eastAsia="宋体" w:cs="Times New Roman"/>
                      <w:color w:val="auto"/>
                      <w:szCs w:val="21"/>
                      <w:highlight w:val="none"/>
                    </w:rPr>
                    <w:t>加强运行维护管理，做到治理设施较生产设备“先启后停”，在治理设施达到正常运行条件后方可启动生产设备，在生产设备停止、残留</w:t>
                  </w:r>
                  <w:r>
                    <w:rPr>
                      <w:rFonts w:hint="eastAsia" w:cs="Times New Roman"/>
                      <w:color w:val="auto"/>
                      <w:szCs w:val="21"/>
                      <w:highlight w:val="none"/>
                      <w:lang w:val="en-US" w:eastAsia="zh-CN"/>
                    </w:rPr>
                    <w:t>有机</w:t>
                  </w:r>
                  <w:r>
                    <w:rPr>
                      <w:rFonts w:hint="default" w:ascii="Times New Roman" w:hAnsi="Times New Roman" w:eastAsia="宋体" w:cs="Times New Roman"/>
                      <w:color w:val="auto"/>
                      <w:szCs w:val="21"/>
                      <w:highlight w:val="none"/>
                    </w:rPr>
                    <w:t>废气收集处理完毕后，方可停运治理设施；及时清理、更换吸附剂等治理设施耗材，确保设施能够稳定高效运行；做好生产设备和治理设施启停机时间、检维修情况、治理设施耗材维护更换、处置情况等台账记录；对于VOCs治理设施产生的废吸附剂等，应及时清运，属于危险废物的应交有资质的单位处理处置。</w:t>
                  </w:r>
                </w:p>
                <w:p w14:paraId="4964B89B">
                  <w:pPr>
                    <w:keepNext w:val="0"/>
                    <w:keepLines w:val="0"/>
                    <w:suppressLineNumbers w:val="0"/>
                    <w:autoSpaceDE w:val="0"/>
                    <w:autoSpaceDN w:val="0"/>
                    <w:adjustRightInd w:val="0"/>
                    <w:snapToGrid w:val="0"/>
                    <w:spacing w:before="0" w:beforeAutospacing="0" w:after="0" w:afterAutospacing="0"/>
                    <w:ind w:left="0" w:leftChars="0" w:right="0" w:rightChars="0" w:firstLine="420"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本项目采用二级活性炭吸附装置对</w:t>
                  </w:r>
                  <w:r>
                    <w:rPr>
                      <w:rFonts w:hint="eastAsia" w:cs="Times New Roman"/>
                      <w:color w:val="auto"/>
                      <w:szCs w:val="21"/>
                      <w:highlight w:val="none"/>
                      <w:lang w:val="en-US" w:eastAsia="zh-CN"/>
                    </w:rPr>
                    <w:t>有机</w:t>
                  </w:r>
                  <w:r>
                    <w:rPr>
                      <w:rFonts w:hint="eastAsia" w:ascii="Times New Roman" w:hAnsi="Times New Roman" w:eastAsia="宋体" w:cs="Times New Roman"/>
                      <w:color w:val="auto"/>
                      <w:szCs w:val="21"/>
                      <w:highlight w:val="none"/>
                      <w:lang w:val="en-US" w:eastAsia="zh-CN"/>
                    </w:rPr>
                    <w:t>废气进行</w:t>
                  </w:r>
                  <w:r>
                    <w:rPr>
                      <w:rFonts w:hint="eastAsia" w:cs="Times New Roman"/>
                      <w:color w:val="auto"/>
                      <w:szCs w:val="21"/>
                      <w:highlight w:val="none"/>
                      <w:lang w:val="en-US" w:eastAsia="zh-CN"/>
                    </w:rPr>
                    <w:t>治理</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企业</w:t>
                  </w:r>
                  <w:r>
                    <w:rPr>
                      <w:rFonts w:hint="default" w:ascii="Times New Roman" w:hAnsi="Times New Roman" w:eastAsia="宋体" w:cs="Times New Roman"/>
                      <w:color w:val="auto"/>
                      <w:szCs w:val="21"/>
                      <w:highlight w:val="none"/>
                    </w:rPr>
                    <w:t>应根据废气排放特征，按照相关工程技术规范设计净化工艺和设备，使废气在吸附装置中有足够的停留时间，选择符合相关产品质量标准的活性炭，并足额充填、及时更换。</w:t>
                  </w:r>
                  <w:r>
                    <w:rPr>
                      <w:rFonts w:hint="eastAsia" w:cs="Times New Roman"/>
                      <w:color w:val="auto"/>
                      <w:szCs w:val="21"/>
                      <w:highlight w:val="none"/>
                      <w:lang w:val="en-US" w:eastAsia="zh-CN"/>
                    </w:rPr>
                    <w:t>本项目排气筒FQ07配套的二级活性炭吸附装置采取颗粒活性炭和蜂窝活性炭，排气筒FQ09、FQ10、FQ11配套的二级活性炭吸附装置采取颗粒活性炭；参照标准要求本项目采用的颗粒活性炭</w:t>
                  </w:r>
                  <w:r>
                    <w:rPr>
                      <w:rFonts w:hint="default" w:ascii="Times New Roman" w:hAnsi="Times New Roman" w:eastAsia="宋体" w:cs="Times New Roman"/>
                      <w:color w:val="auto"/>
                      <w:szCs w:val="21"/>
                      <w:highlight w:val="none"/>
                    </w:rPr>
                    <w:t>碘值不宜低于800mg/g；采用</w:t>
                  </w:r>
                  <w:r>
                    <w:rPr>
                      <w:rFonts w:hint="eastAsia" w:cs="Times New Roman"/>
                      <w:color w:val="auto"/>
                      <w:szCs w:val="21"/>
                      <w:highlight w:val="none"/>
                      <w:lang w:val="en-US" w:eastAsia="zh-CN"/>
                    </w:rPr>
                    <w:t>的</w:t>
                  </w:r>
                  <w:r>
                    <w:rPr>
                      <w:rFonts w:hint="default" w:ascii="Times New Roman" w:hAnsi="Times New Roman" w:eastAsia="宋体" w:cs="Times New Roman"/>
                      <w:color w:val="auto"/>
                      <w:szCs w:val="21"/>
                      <w:highlight w:val="none"/>
                    </w:rPr>
                    <w:t>蜂窝活性碘值不宜低于650mg/g</w:t>
                  </w:r>
                  <w:r>
                    <w:rPr>
                      <w:rFonts w:hint="eastAsia" w:cs="Times New Roman"/>
                      <w:color w:val="auto"/>
                      <w:szCs w:val="21"/>
                      <w:highlight w:val="none"/>
                      <w:lang w:eastAsia="zh-CN"/>
                    </w:rPr>
                    <w:t>。</w:t>
                  </w:r>
                </w:p>
              </w:tc>
              <w:tc>
                <w:tcPr>
                  <w:tcW w:w="878" w:type="dxa"/>
                  <w:tcBorders>
                    <w:tl2br w:val="nil"/>
                    <w:tr2bl w:val="nil"/>
                  </w:tcBorders>
                  <w:vAlign w:val="center"/>
                </w:tcPr>
                <w:p w14:paraId="24A16A5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14:paraId="16F8C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综合以上</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本项目建设与挥发性有机污染防治相关文件的相关要求均相符。</w:t>
            </w:r>
          </w:p>
          <w:p w14:paraId="42842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highlight w:val="none"/>
              </w:rPr>
            </w:pPr>
            <w:r>
              <w:rPr>
                <w:rFonts w:hint="eastAsia" w:cs="Times New Roman"/>
                <w:b/>
                <w:bCs/>
                <w:color w:val="auto"/>
                <w:sz w:val="24"/>
                <w:highlight w:val="none"/>
                <w:lang w:val="en-US" w:eastAsia="zh-CN"/>
              </w:rPr>
              <w:t>6</w:t>
            </w:r>
            <w:r>
              <w:rPr>
                <w:rFonts w:hint="eastAsia"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与《关于在环评审批阶段开展</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源头管控行动</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的工作意见 》</w:t>
            </w:r>
            <w:r>
              <w:rPr>
                <w:rFonts w:hint="eastAsia" w:ascii="Times New Roman" w:hAnsi="Times New Roman" w:eastAsia="宋体" w:cs="Times New Roman"/>
                <w:b/>
                <w:bCs/>
                <w:color w:val="auto"/>
                <w:sz w:val="24"/>
                <w:highlight w:val="none"/>
                <w:lang w:eastAsia="zh-CN"/>
              </w:rPr>
              <w:t>（锡环办[2021]142号）</w:t>
            </w:r>
            <w:r>
              <w:rPr>
                <w:rFonts w:hint="eastAsia" w:ascii="Times New Roman" w:hAnsi="Times New Roman" w:eastAsia="宋体" w:cs="Times New Roman"/>
                <w:b/>
                <w:bCs/>
                <w:color w:val="auto"/>
                <w:sz w:val="24"/>
                <w:highlight w:val="none"/>
                <w:lang w:val="en-US" w:eastAsia="zh-CN"/>
              </w:rPr>
              <w:t>的</w:t>
            </w:r>
            <w:r>
              <w:rPr>
                <w:rFonts w:hint="default" w:ascii="Times New Roman" w:hAnsi="Times New Roman" w:eastAsia="宋体" w:cs="Times New Roman"/>
                <w:b/>
                <w:bCs/>
                <w:color w:val="auto"/>
                <w:sz w:val="24"/>
                <w:highlight w:val="none"/>
              </w:rPr>
              <w:t>相符性</w:t>
            </w:r>
          </w:p>
          <w:p w14:paraId="1C3BF18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auto"/>
                <w:kern w:val="2"/>
                <w:sz w:val="24"/>
                <w:szCs w:val="24"/>
                <w:highlight w:val="none"/>
                <w:lang w:val="en-US" w:eastAsia="zh-CN" w:bidi="ar-SA"/>
              </w:rPr>
            </w:pPr>
          </w:p>
          <w:p w14:paraId="369CD87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宋体"/>
                <w:b/>
                <w:bCs/>
                <w:color w:val="auto"/>
                <w:kern w:val="2"/>
                <w:sz w:val="24"/>
                <w:szCs w:val="24"/>
                <w:highlight w:val="none"/>
                <w:lang w:val="en-US" w:eastAsia="zh-CN" w:bidi="ar-SA"/>
              </w:rPr>
            </w:pPr>
          </w:p>
          <w:p w14:paraId="25ABB582">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rightChars="0" w:hanging="425"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宋体"/>
                <w:b/>
                <w:bCs/>
                <w:color w:val="auto"/>
                <w:kern w:val="2"/>
                <w:sz w:val="24"/>
                <w:szCs w:val="24"/>
                <w:highlight w:val="none"/>
                <w:lang w:val="en-US" w:eastAsia="zh-CN" w:bidi="ar-SA"/>
              </w:rPr>
              <w:t>表1-</w:t>
            </w:r>
            <w:r>
              <w:rPr>
                <w:rFonts w:hint="eastAsia" w:cs="宋体"/>
                <w:b/>
                <w:bCs/>
                <w:color w:val="auto"/>
                <w:kern w:val="2"/>
                <w:sz w:val="24"/>
                <w:szCs w:val="24"/>
                <w:highlight w:val="none"/>
                <w:lang w:val="en-US" w:eastAsia="zh-CN" w:bidi="ar-SA"/>
              </w:rPr>
              <w:t>7</w:t>
            </w:r>
            <w:r>
              <w:rPr>
                <w:rFonts w:hint="eastAsia" w:ascii="Times New Roman" w:hAnsi="Times New Roman" w:eastAsia="宋体" w:cs="宋体"/>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sz w:val="24"/>
                <w:highlight w:val="none"/>
              </w:rPr>
              <w:t>与锡环办[2021]142号的相符性分析</w:t>
            </w:r>
          </w:p>
          <w:tbl>
            <w:tblPr>
              <w:tblStyle w:val="24"/>
              <w:tblW w:w="86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54"/>
              <w:gridCol w:w="4455"/>
              <w:gridCol w:w="2550"/>
              <w:gridCol w:w="737"/>
            </w:tblGrid>
            <w:tr w14:paraId="71D43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8" w:type="pct"/>
                  <w:tcBorders>
                    <w:tl2br w:val="nil"/>
                    <w:tr2bl w:val="nil"/>
                  </w:tcBorders>
                  <w:tcMar>
                    <w:top w:w="0" w:type="dxa"/>
                    <w:left w:w="0" w:type="dxa"/>
                    <w:bottom w:w="0" w:type="dxa"/>
                    <w:right w:w="0" w:type="dxa"/>
                  </w:tcMar>
                  <w:vAlign w:val="center"/>
                </w:tcPr>
                <w:p w14:paraId="202F17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要求</w:t>
                  </w:r>
                </w:p>
              </w:tc>
              <w:tc>
                <w:tcPr>
                  <w:tcW w:w="2561" w:type="pct"/>
                  <w:tcBorders>
                    <w:tl2br w:val="nil"/>
                    <w:tr2bl w:val="nil"/>
                  </w:tcBorders>
                  <w:tcMar>
                    <w:top w:w="0" w:type="dxa"/>
                    <w:left w:w="0" w:type="dxa"/>
                    <w:bottom w:w="0" w:type="dxa"/>
                    <w:right w:w="0" w:type="dxa"/>
                  </w:tcMar>
                  <w:vAlign w:val="center"/>
                </w:tcPr>
                <w:p w14:paraId="2AC419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w:t>
                  </w:r>
                </w:p>
              </w:tc>
              <w:tc>
                <w:tcPr>
                  <w:tcW w:w="1466" w:type="pct"/>
                  <w:tcBorders>
                    <w:tl2br w:val="nil"/>
                    <w:tr2bl w:val="nil"/>
                  </w:tcBorders>
                  <w:tcMar>
                    <w:top w:w="0" w:type="dxa"/>
                    <w:left w:w="0" w:type="dxa"/>
                    <w:bottom w:w="0" w:type="dxa"/>
                    <w:right w:w="0" w:type="dxa"/>
                  </w:tcMar>
                  <w:vAlign w:val="center"/>
                </w:tcPr>
                <w:p w14:paraId="249E07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本项目情况</w:t>
                  </w:r>
                </w:p>
              </w:tc>
              <w:tc>
                <w:tcPr>
                  <w:tcW w:w="423" w:type="pct"/>
                  <w:tcBorders>
                    <w:tl2br w:val="nil"/>
                    <w:tr2bl w:val="nil"/>
                  </w:tcBorders>
                  <w:tcMar>
                    <w:top w:w="0" w:type="dxa"/>
                    <w:left w:w="0" w:type="dxa"/>
                    <w:bottom w:w="0" w:type="dxa"/>
                    <w:right w:w="0" w:type="dxa"/>
                  </w:tcMar>
                  <w:vAlign w:val="center"/>
                </w:tcPr>
                <w:p w14:paraId="103794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14:paraId="4565A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548" w:type="pct"/>
                  <w:tcBorders>
                    <w:tl2br w:val="nil"/>
                    <w:tr2bl w:val="nil"/>
                  </w:tcBorders>
                  <w:tcMar>
                    <w:top w:w="0" w:type="dxa"/>
                    <w:left w:w="0" w:type="dxa"/>
                    <w:bottom w:w="0" w:type="dxa"/>
                    <w:right w:w="0" w:type="dxa"/>
                  </w:tcMar>
                  <w:vAlign w:val="center"/>
                </w:tcPr>
                <w:p w14:paraId="275E95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（一）生产工艺、装备、原料、环境四替代</w:t>
                  </w:r>
                </w:p>
              </w:tc>
              <w:tc>
                <w:tcPr>
                  <w:tcW w:w="2561" w:type="pct"/>
                  <w:tcBorders>
                    <w:tl2br w:val="nil"/>
                    <w:tr2bl w:val="nil"/>
                  </w:tcBorders>
                  <w:tcMar>
                    <w:top w:w="0" w:type="dxa"/>
                    <w:left w:w="0" w:type="dxa"/>
                    <w:bottom w:w="0" w:type="dxa"/>
                    <w:right w:w="0" w:type="dxa"/>
                  </w:tcMar>
                  <w:vAlign w:val="center"/>
                </w:tcPr>
                <w:p w14:paraId="6F6BE561">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用国际国内先进工艺、装备、低挥发水性溶剂等环境友好型原材料、先进高效的污染治理设施替代传统工艺、普通装备、高挥发性原料、落后的污染治理设施，从场址选取、厂区布局、厂房设计、设备选型等方面充分考虑环境保护的需求，从源头控制无组织排放、初期雨水收集、环境风险防范等问题。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 </w:t>
                  </w:r>
                </w:p>
              </w:tc>
              <w:tc>
                <w:tcPr>
                  <w:tcW w:w="1466" w:type="pct"/>
                  <w:tcBorders>
                    <w:tl2br w:val="nil"/>
                    <w:tr2bl w:val="nil"/>
                  </w:tcBorders>
                  <w:tcMar>
                    <w:top w:w="0" w:type="dxa"/>
                    <w:left w:w="0" w:type="dxa"/>
                    <w:bottom w:w="0" w:type="dxa"/>
                    <w:right w:w="0" w:type="dxa"/>
                  </w:tcMar>
                  <w:vAlign w:val="center"/>
                </w:tcPr>
                <w:p w14:paraId="07F71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kern w:val="2"/>
                      <w:sz w:val="21"/>
                      <w:szCs w:val="21"/>
                      <w:highlight w:val="none"/>
                      <w:lang w:val="en-US" w:eastAsia="zh-CN" w:bidi="ar-SA"/>
                    </w:rPr>
                    <w:t>不</w:t>
                  </w:r>
                  <w:r>
                    <w:rPr>
                      <w:rFonts w:hint="eastAsia" w:ascii="Times New Roman" w:hAnsi="Times New Roman" w:eastAsia="宋体" w:cs="Times New Roman"/>
                      <w:color w:val="auto"/>
                      <w:kern w:val="2"/>
                      <w:sz w:val="21"/>
                      <w:szCs w:val="21"/>
                      <w:highlight w:val="none"/>
                      <w:lang w:val="en-US" w:eastAsia="zh-CN" w:bidi="ar-SA"/>
                    </w:rPr>
                    <w:t>涉及</w:t>
                  </w:r>
                  <w:r>
                    <w:rPr>
                      <w:rFonts w:hint="default" w:ascii="Times New Roman" w:hAnsi="Times New Roman" w:eastAsia="宋体" w:cs="Times New Roman"/>
                      <w:color w:val="auto"/>
                      <w:highlight w:val="none"/>
                    </w:rPr>
                    <w:t>溶剂型涂料、油墨、胶粘剂、清洗剂</w:t>
                  </w:r>
                  <w:r>
                    <w:rPr>
                      <w:rFonts w:hint="eastAsia" w:ascii="Times New Roman" w:hAnsi="Times New Roman" w:eastAsia="宋体" w:cs="Times New Roman"/>
                      <w:color w:val="auto"/>
                      <w:highlight w:val="none"/>
                      <w:lang w:val="en-US" w:eastAsia="zh-CN"/>
                    </w:rPr>
                    <w:t>等有机物料的使用</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kern w:val="2"/>
                      <w:sz w:val="21"/>
                      <w:szCs w:val="24"/>
                      <w:highlight w:val="none"/>
                      <w:lang w:val="en-US" w:eastAsia="zh-CN" w:bidi="ar-SA"/>
                    </w:rPr>
                    <w:t>现有</w:t>
                  </w:r>
                  <w:r>
                    <w:rPr>
                      <w:rFonts w:hint="default" w:ascii="Times New Roman" w:hAnsi="Times New Roman" w:eastAsia="宋体" w:cs="Times New Roman"/>
                      <w:color w:val="auto"/>
                      <w:kern w:val="2"/>
                      <w:sz w:val="21"/>
                      <w:szCs w:val="24"/>
                      <w:highlight w:val="none"/>
                      <w:lang w:val="en-US" w:eastAsia="zh-CN" w:bidi="ar-SA"/>
                    </w:rPr>
                    <w:t>项目使用的氟保护漆等为不可替代材料，根据无锡市口腔医学会不可替代的意见，目前</w:t>
                  </w:r>
                  <w:r>
                    <w:rPr>
                      <w:rFonts w:hint="eastAsia" w:ascii="Times New Roman" w:hAnsi="Times New Roman" w:eastAsia="宋体" w:cs="Times New Roman"/>
                      <w:color w:val="auto"/>
                      <w:kern w:val="2"/>
                      <w:sz w:val="21"/>
                      <w:szCs w:val="24"/>
                      <w:highlight w:val="none"/>
                      <w:lang w:val="en-US" w:eastAsia="zh-CN" w:bidi="ar-SA"/>
                    </w:rPr>
                    <w:t>氟保护漆暂无可替代产品</w:t>
                  </w:r>
                  <w:r>
                    <w:rPr>
                      <w:rFonts w:hint="default" w:ascii="Times New Roman" w:hAnsi="Times New Roman" w:eastAsia="宋体" w:cs="Times New Roman"/>
                      <w:color w:val="auto"/>
                      <w:kern w:val="2"/>
                      <w:sz w:val="21"/>
                      <w:szCs w:val="24"/>
                      <w:highlight w:val="none"/>
                      <w:lang w:val="en-US" w:eastAsia="zh-CN" w:bidi="ar-SA"/>
                    </w:rPr>
                    <w:t>。</w:t>
                  </w:r>
                  <w:r>
                    <w:rPr>
                      <w:rFonts w:hint="eastAsia"/>
                      <w:color w:val="auto"/>
                      <w:highlight w:val="none"/>
                      <w:lang w:val="en-US" w:eastAsia="zh-CN"/>
                    </w:rPr>
                    <w:t>企业将在满足工艺要求的前提下使用低VOC水基型材料进行替代，从源头减少VOCs产生。</w:t>
                  </w:r>
                  <w:r>
                    <w:rPr>
                      <w:rFonts w:hint="eastAsia" w:ascii="Times New Roman" w:hAnsi="Times New Roman" w:eastAsia="宋体" w:cs="Times New Roman"/>
                      <w:color w:val="auto"/>
                      <w:szCs w:val="21"/>
                      <w:highlight w:val="none"/>
                      <w:lang w:val="en-US" w:eastAsia="zh-CN"/>
                    </w:rPr>
                    <w:t>本项目不属于“两高”项目。</w:t>
                  </w:r>
                </w:p>
              </w:tc>
              <w:tc>
                <w:tcPr>
                  <w:tcW w:w="423" w:type="pct"/>
                  <w:tcBorders>
                    <w:tl2br w:val="nil"/>
                    <w:tr2bl w:val="nil"/>
                  </w:tcBorders>
                  <w:tcMar>
                    <w:top w:w="0" w:type="dxa"/>
                    <w:left w:w="0" w:type="dxa"/>
                    <w:bottom w:w="0" w:type="dxa"/>
                    <w:right w:w="0" w:type="dxa"/>
                  </w:tcMar>
                  <w:vAlign w:val="center"/>
                </w:tcPr>
                <w:p w14:paraId="1AC245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5F64C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43" w:hRule="atLeast"/>
                <w:jc w:val="center"/>
              </w:trPr>
              <w:tc>
                <w:tcPr>
                  <w:tcW w:w="548" w:type="pct"/>
                  <w:tcBorders>
                    <w:tl2br w:val="nil"/>
                    <w:tr2bl w:val="nil"/>
                  </w:tcBorders>
                  <w:tcMar>
                    <w:top w:w="0" w:type="dxa"/>
                    <w:left w:w="0" w:type="dxa"/>
                    <w:bottom w:w="0" w:type="dxa"/>
                    <w:right w:w="0" w:type="dxa"/>
                  </w:tcMar>
                  <w:vAlign w:val="center"/>
                </w:tcPr>
                <w:p w14:paraId="47A791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（二）生产过程中回用、物料回收</w:t>
                  </w:r>
                </w:p>
              </w:tc>
              <w:tc>
                <w:tcPr>
                  <w:tcW w:w="2561" w:type="pct"/>
                  <w:tcBorders>
                    <w:tl2br w:val="nil"/>
                    <w:tr2bl w:val="nil"/>
                  </w:tcBorders>
                  <w:tcMar>
                    <w:top w:w="0" w:type="dxa"/>
                    <w:left w:w="0" w:type="dxa"/>
                    <w:bottom w:w="0" w:type="dxa"/>
                    <w:right w:w="0" w:type="dxa"/>
                  </w:tcMar>
                  <w:vAlign w:val="center"/>
                </w:tcPr>
                <w:p w14:paraId="2FF8FE81">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强化项目的节水设计，提高项目中水回用率，新建、改建项目的中水回用水平必须高于行业平均水平，达到国内先进水平以上。根据《江苏省太湖水污染防治条例》规定，非战略性新兴产业，不得新增含磷、氮的生产废水。用水量较大的印染、电子等行业必须大幅提高中水回用率。冷却水强排水、反渗透（RO）尾水等“清净下水”必须按照生产废水接管，不得接入雨水口排放。强化生产过程中的物料回收利用，鼓励有条件的挥发性有机物排放企业（如印刷、包装类企业）通过冷凝、吸附、吸收等技术实现物料回用，强化固体废物源头减量和综合利用，配套的回收利用设施必须达到主生产装置同样的设计水平和环保要求，提升回收效率，需外送利用处置固体废物和危险废物的，在本市应具有稳定可靠的承接单位。 </w:t>
                  </w:r>
                </w:p>
              </w:tc>
              <w:tc>
                <w:tcPr>
                  <w:tcW w:w="1466" w:type="pct"/>
                  <w:tcBorders>
                    <w:tl2br w:val="nil"/>
                    <w:tr2bl w:val="nil"/>
                  </w:tcBorders>
                  <w:tcMar>
                    <w:top w:w="0" w:type="dxa"/>
                    <w:left w:w="0" w:type="dxa"/>
                    <w:bottom w:w="0" w:type="dxa"/>
                    <w:right w:w="0" w:type="dxa"/>
                  </w:tcMar>
                  <w:vAlign w:val="center"/>
                </w:tcPr>
                <w:p w14:paraId="76E30BD4">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本项目</w:t>
                  </w:r>
                  <w:r>
                    <w:rPr>
                      <w:rFonts w:hint="eastAsia" w:cs="Times New Roman"/>
                      <w:color w:val="auto"/>
                      <w:szCs w:val="21"/>
                      <w:highlight w:val="none"/>
                      <w:lang w:val="en-US" w:eastAsia="zh-CN"/>
                    </w:rPr>
                    <w:t>新增设备清洗废液作为危险废物委托资质单位处置，不外排</w:t>
                  </w:r>
                  <w:r>
                    <w:rPr>
                      <w:rFonts w:hint="default" w:ascii="Times New Roman" w:hAnsi="Times New Roman" w:eastAsia="宋体" w:cs="Times New Roman"/>
                      <w:color w:val="auto"/>
                      <w:szCs w:val="21"/>
                      <w:highlight w:val="none"/>
                    </w:rPr>
                    <w:t>；固体废物由相关单位回收利用，危险废物由有资质单位处置。</w:t>
                  </w:r>
                </w:p>
              </w:tc>
              <w:tc>
                <w:tcPr>
                  <w:tcW w:w="423" w:type="pct"/>
                  <w:tcBorders>
                    <w:tl2br w:val="nil"/>
                    <w:tr2bl w:val="nil"/>
                  </w:tcBorders>
                  <w:tcMar>
                    <w:top w:w="0" w:type="dxa"/>
                    <w:left w:w="0" w:type="dxa"/>
                    <w:bottom w:w="0" w:type="dxa"/>
                    <w:right w:w="0" w:type="dxa"/>
                  </w:tcMar>
                  <w:vAlign w:val="center"/>
                </w:tcPr>
                <w:p w14:paraId="086E73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69B37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548" w:type="pct"/>
                  <w:tcBorders>
                    <w:tl2br w:val="nil"/>
                    <w:tr2bl w:val="nil"/>
                  </w:tcBorders>
                  <w:tcMar>
                    <w:top w:w="0" w:type="dxa"/>
                    <w:left w:w="0" w:type="dxa"/>
                    <w:bottom w:w="0" w:type="dxa"/>
                    <w:right w:w="0" w:type="dxa"/>
                  </w:tcMar>
                  <w:vAlign w:val="center"/>
                </w:tcPr>
                <w:p w14:paraId="348514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（三）污染设施提高标准、提高效率</w:t>
                  </w:r>
                </w:p>
              </w:tc>
              <w:tc>
                <w:tcPr>
                  <w:tcW w:w="2561" w:type="pct"/>
                  <w:tcBorders>
                    <w:tl2br w:val="nil"/>
                    <w:tr2bl w:val="nil"/>
                  </w:tcBorders>
                  <w:tcMar>
                    <w:top w:w="0" w:type="dxa"/>
                    <w:left w:w="0" w:type="dxa"/>
                    <w:bottom w:w="0" w:type="dxa"/>
                    <w:right w:w="0" w:type="dxa"/>
                  </w:tcMar>
                  <w:vAlign w:val="center"/>
                </w:tcPr>
                <w:p w14:paraId="314DC916">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涉挥发性有机物排放的项目，必须严格落实国家《重点行业挥发性有机物综合治理方案》的要求，对挥发性有机物要有效收集、提高效率，鼓励采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采用低氮燃烧技术，工业炉窑达到深度治理要求。</w:t>
                  </w:r>
                </w:p>
              </w:tc>
              <w:tc>
                <w:tcPr>
                  <w:tcW w:w="1466" w:type="pct"/>
                  <w:tcBorders>
                    <w:tl2br w:val="nil"/>
                    <w:tr2bl w:val="nil"/>
                  </w:tcBorders>
                  <w:tcMar>
                    <w:top w:w="0" w:type="dxa"/>
                    <w:left w:w="0" w:type="dxa"/>
                    <w:bottom w:w="0" w:type="dxa"/>
                    <w:right w:w="0" w:type="dxa"/>
                  </w:tcMar>
                  <w:vAlign w:val="center"/>
                </w:tcPr>
                <w:p w14:paraId="720F8B5F">
                  <w:pPr>
                    <w:keepNext w:val="0"/>
                    <w:keepLines w:val="0"/>
                    <w:suppressLineNumbers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val="en-US" w:eastAsia="zh-CN"/>
                    </w:rPr>
                    <w:t>参照</w:t>
                  </w:r>
                  <w:r>
                    <w:rPr>
                      <w:rFonts w:hint="eastAsia" w:ascii="Times New Roman" w:hAnsi="Times New Roman" w:eastAsia="宋体" w:cs="Times New Roman"/>
                      <w:color w:val="auto"/>
                      <w:szCs w:val="21"/>
                      <w:highlight w:val="none"/>
                    </w:rPr>
                    <w:t>《排污许可证申请与核发技术规范 总则</w:t>
                  </w:r>
                  <w:r>
                    <w:rPr>
                      <w:rFonts w:hint="eastAsia" w:ascii="Times New Roman" w:hAnsi="Times New Roman" w:eastAsia="宋体" w:cs="Times New Roman"/>
                      <w:color w:val="auto"/>
                      <w:szCs w:val="21"/>
                      <w:highlight w:val="none"/>
                      <w:lang w:val="en-US" w:eastAsia="zh-CN"/>
                    </w:rPr>
                    <w:t>》( HJ942—2018 2018-02-08实施)</w:t>
                  </w:r>
                  <w:r>
                    <w:rPr>
                      <w:rFonts w:hint="default" w:ascii="Times New Roman" w:hAnsi="Times New Roman" w:eastAsia="宋体" w:cs="Times New Roman"/>
                      <w:color w:val="auto"/>
                      <w:szCs w:val="21"/>
                      <w:highlight w:val="none"/>
                    </w:rPr>
                    <w:t>，选择采用可行性技术，提高治污设施的标准和要求。</w:t>
                  </w:r>
                  <w:r>
                    <w:rPr>
                      <w:rFonts w:hint="default"/>
                      <w:color w:val="auto"/>
                      <w:szCs w:val="21"/>
                      <w:highlight w:val="none"/>
                    </w:rPr>
                    <w:t>本项目对挥发性有机物进行收集处理达标后排放。本项目</w:t>
                  </w:r>
                  <w:r>
                    <w:rPr>
                      <w:rFonts w:hint="eastAsia"/>
                      <w:color w:val="auto"/>
                      <w:szCs w:val="21"/>
                      <w:highlight w:val="none"/>
                    </w:rPr>
                    <w:t>若列入涉水、涉气重点项目，则按要求安装用电工况和自动在线监控设备设施并联网</w:t>
                  </w:r>
                  <w:r>
                    <w:rPr>
                      <w:rFonts w:hint="default"/>
                      <w:color w:val="auto"/>
                      <w:szCs w:val="21"/>
                      <w:highlight w:val="none"/>
                    </w:rPr>
                    <w:t>。本项目</w:t>
                  </w:r>
                  <w:r>
                    <w:rPr>
                      <w:rFonts w:hint="eastAsia"/>
                      <w:color w:val="auto"/>
                      <w:szCs w:val="21"/>
                      <w:highlight w:val="none"/>
                      <w:lang w:val="en-US" w:eastAsia="zh-CN"/>
                    </w:rPr>
                    <w:t>不使用天然气锅炉。</w:t>
                  </w:r>
                </w:p>
              </w:tc>
              <w:tc>
                <w:tcPr>
                  <w:tcW w:w="423" w:type="pct"/>
                  <w:tcBorders>
                    <w:tl2br w:val="nil"/>
                    <w:tr2bl w:val="nil"/>
                  </w:tcBorders>
                  <w:tcMar>
                    <w:top w:w="0" w:type="dxa"/>
                    <w:left w:w="0" w:type="dxa"/>
                    <w:bottom w:w="0" w:type="dxa"/>
                    <w:right w:w="0" w:type="dxa"/>
                  </w:tcMar>
                  <w:vAlign w:val="center"/>
                </w:tcPr>
                <w:p w14:paraId="3FCBD1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14:paraId="268E8D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由上表可知，本项目符合《关于在环评审批阶段开展源头管控行动的工作意见 》（锡环办[2021]142号）中相关要求。</w:t>
            </w:r>
          </w:p>
        </w:tc>
      </w:tr>
    </w:tbl>
    <w:p w14:paraId="7C73D1F0">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ascii="Times New Roman" w:hAnsi="Times New Roman" w:eastAsia="宋体"/>
          <w:snapToGrid w:val="0"/>
          <w:color w:val="auto"/>
          <w:sz w:val="30"/>
          <w:szCs w:val="30"/>
          <w:highlight w:val="none"/>
        </w:rPr>
      </w:pPr>
      <w:bookmarkStart w:id="4" w:name="_Toc11677"/>
      <w:r>
        <w:rPr>
          <w:rFonts w:ascii="Times New Roman" w:hAnsi="Times New Roman" w:eastAsia="宋体"/>
          <w:snapToGrid w:val="0"/>
          <w:color w:val="auto"/>
          <w:sz w:val="30"/>
          <w:szCs w:val="30"/>
          <w:highlight w:val="none"/>
        </w:rPr>
        <w:t>二、建设项目工程分析</w:t>
      </w:r>
      <w:bookmarkEnd w:id="4"/>
    </w:p>
    <w:tbl>
      <w:tblPr>
        <w:tblStyle w:val="25"/>
        <w:tblW w:w="9346" w:type="dxa"/>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8871"/>
      </w:tblGrid>
      <w:tr w14:paraId="4377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4" w:hRule="atLeast"/>
        </w:trPr>
        <w:tc>
          <w:tcPr>
            <w:tcW w:w="475" w:type="dxa"/>
            <w:vAlign w:val="center"/>
          </w:tcPr>
          <w:p w14:paraId="13799296">
            <w:pPr>
              <w:pStyle w:val="11"/>
              <w:keepNext w:val="0"/>
              <w:keepLines w:val="0"/>
              <w:suppressLineNumbers w:val="0"/>
              <w:spacing w:beforeAutospacing="0" w:afterAutospacing="0"/>
              <w:ind w:lef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建设内容</w:t>
            </w:r>
          </w:p>
        </w:tc>
        <w:tc>
          <w:tcPr>
            <w:tcW w:w="8871" w:type="dxa"/>
          </w:tcPr>
          <w:p w14:paraId="74224DC8">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1、</w:t>
            </w:r>
            <w:r>
              <w:rPr>
                <w:rFonts w:hint="default" w:ascii="Times New Roman" w:hAnsi="Times New Roman" w:eastAsia="宋体" w:cs="Times New Roman"/>
                <w:b/>
                <w:bCs/>
                <w:color w:val="auto"/>
                <w:sz w:val="24"/>
                <w:highlight w:val="none"/>
              </w:rPr>
              <w:t>项目由来</w:t>
            </w:r>
          </w:p>
          <w:p w14:paraId="455AD631">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lang w:val="en-US" w:eastAsia="zh-CN"/>
              </w:rPr>
              <w:t>无锡时代天使生物科技有限公司成立于2018年7月11日</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位于无锡市新吴区观山路36号，是一家专业从事口腔隐形正畸技术研发、隐形矫治器（整形牙套）生产及销售的高新技术企业。</w:t>
            </w:r>
            <w:r>
              <w:rPr>
                <w:rFonts w:hint="eastAsia" w:ascii="Times New Roman" w:hAnsi="Times New Roman" w:eastAsia="宋体" w:cs="Times New Roman"/>
                <w:color w:val="auto"/>
                <w:sz w:val="24"/>
                <w:highlight w:val="none"/>
                <w:lang w:val="en-US" w:eastAsia="zh-CN"/>
              </w:rPr>
              <w:t>公司现有项目核定产能为</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产隐形矫治器</w:t>
            </w:r>
            <w:r>
              <w:rPr>
                <w:rFonts w:hint="eastAsia" w:cs="Times New Roman"/>
                <w:color w:val="auto"/>
                <w:sz w:val="24"/>
                <w:highlight w:val="none"/>
                <w:lang w:val="en-US" w:eastAsia="zh-CN"/>
              </w:rPr>
              <w:t>1亿</w:t>
            </w:r>
            <w:r>
              <w:rPr>
                <w:rFonts w:hint="eastAsia" w:ascii="Times New Roman" w:hAnsi="Times New Roman" w:eastAsia="宋体" w:cs="Times New Roman"/>
                <w:color w:val="auto"/>
                <w:sz w:val="24"/>
                <w:highlight w:val="none"/>
                <w:lang w:val="en-US" w:eastAsia="zh-CN"/>
              </w:rPr>
              <w:t>个/年</w:t>
            </w:r>
            <w:r>
              <w:rPr>
                <w:rFonts w:hint="eastAsia" w:cs="Times New Roman"/>
                <w:color w:val="auto"/>
                <w:sz w:val="24"/>
                <w:highlight w:val="none"/>
                <w:lang w:val="en-US" w:eastAsia="zh-CN"/>
              </w:rPr>
              <w:t>（含</w:t>
            </w:r>
            <w:r>
              <w:rPr>
                <w:rFonts w:hint="eastAsia" w:ascii="Times New Roman" w:hAnsi="Times New Roman" w:eastAsia="宋体" w:cs="Times New Roman"/>
                <w:color w:val="auto"/>
                <w:sz w:val="24"/>
                <w:highlight w:val="none"/>
                <w:lang w:val="en-US" w:eastAsia="zh-CN"/>
              </w:rPr>
              <w:t>医用高分子材料（隐形矫治器原料）510</w:t>
            </w:r>
            <w:r>
              <w:rPr>
                <w:rFonts w:hint="eastAsia" w:cs="Times New Roman"/>
                <w:color w:val="auto"/>
                <w:sz w:val="24"/>
                <w:highlight w:val="none"/>
                <w:lang w:val="en-US" w:eastAsia="zh-CN"/>
              </w:rPr>
              <w:t>吨</w:t>
            </w:r>
            <w:r>
              <w:rPr>
                <w:rFonts w:hint="eastAsia" w:ascii="Times New Roman" w:hAnsi="Times New Roman" w:eastAsia="宋体" w:cs="Times New Roman"/>
                <w:color w:val="auto"/>
                <w:sz w:val="24"/>
                <w:highlight w:val="none"/>
                <w:lang w:val="en-US" w:eastAsia="zh-CN"/>
              </w:rPr>
              <w:t>、防龋齿功能涂层</w:t>
            </w:r>
            <w:r>
              <w:rPr>
                <w:rFonts w:hint="eastAsia" w:cs="Times New Roman"/>
                <w:color w:val="auto"/>
                <w:sz w:val="24"/>
                <w:highlight w:val="none"/>
                <w:lang w:val="en-US" w:eastAsia="zh-CN"/>
              </w:rPr>
              <w:t>（隐形矫治器配件）40000平方米</w:t>
            </w:r>
            <w:r>
              <w:rPr>
                <w:rFonts w:hint="eastAsia" w:ascii="Times New Roman" w:hAnsi="Times New Roman" w:eastAsia="宋体" w:cs="Times New Roman"/>
                <w:color w:val="auto"/>
                <w:sz w:val="24"/>
                <w:highlight w:val="none"/>
                <w:vertAlign w:val="baseline"/>
                <w:lang w:val="en-US" w:eastAsia="zh-CN"/>
              </w:rPr>
              <w:t>、</w:t>
            </w:r>
            <w:r>
              <w:rPr>
                <w:rFonts w:hint="eastAsia" w:cs="Times New Roman"/>
                <w:color w:val="auto"/>
                <w:sz w:val="24"/>
                <w:highlight w:val="none"/>
                <w:vertAlign w:val="baseline"/>
                <w:lang w:val="en-US" w:eastAsia="zh-CN"/>
              </w:rPr>
              <w:t>天使扣（隐形矫治器配件）1亿个）。</w:t>
            </w:r>
          </w:p>
          <w:p w14:paraId="0EF4E64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2025年，企业为提升产品质量、增强市场竞争力，拟投资11998万元，利用现有厂房及基础设施，购置及改造抛光机、搅拌机、后处理线、新型压膜机装置、双机器人切割装置、半自动打标切割设备等设备，建设“年产一亿个口腔隐形正畸产品的3D打印后处理工艺技术升级改造项目”。本次技术改造的主要内容为：医用高分子材料生产线</w:t>
            </w:r>
            <w:r>
              <w:rPr>
                <w:rFonts w:hint="eastAsia" w:ascii="Times New Roman" w:hAnsi="Times New Roman" w:eastAsia="宋体" w:cs="Times New Roman"/>
                <w:color w:val="auto"/>
                <w:sz w:val="24"/>
                <w:szCs w:val="24"/>
                <w:highlight w:val="none"/>
                <w:lang w:val="en-US" w:eastAsia="zh-CN"/>
              </w:rPr>
              <w:t>为确保物料充分混合，延长搅拌工序的作业时间；为满足新增的生产需求，增设一台搅拌机。隐形矫治器生产线取消3D打印后处理中的清洗环节。同时，为确保产品质量稳定，企业决定延长前道甩干的时长，并在手工脱模环节增加喷涂硅油-脱模剂步骤，利用硅油-脱模剂的润滑性便于工人手工脱模。为提升产品佩戴舒适度，购置新型抛光机，在现有抛光的基础上进行二次精细抛光。</w:t>
            </w:r>
            <w:r>
              <w:rPr>
                <w:rFonts w:hint="eastAsia" w:ascii="Times New Roman" w:hAnsi="Times New Roman" w:eastAsia="宋体" w:cs="Times New Roman"/>
                <w:color w:val="auto"/>
                <w:sz w:val="24"/>
                <w:highlight w:val="none"/>
                <w:lang w:val="en-US" w:eastAsia="zh-CN"/>
              </w:rPr>
              <w:t>项目完成后，全厂产能不变，</w:t>
            </w:r>
            <w:r>
              <w:rPr>
                <w:rFonts w:hint="eastAsia" w:cs="Times New Roman"/>
                <w:color w:val="auto"/>
                <w:sz w:val="24"/>
                <w:highlight w:val="none"/>
                <w:lang w:val="en-US" w:eastAsia="zh-CN"/>
              </w:rPr>
              <w:t>仍为</w:t>
            </w:r>
            <w:r>
              <w:rPr>
                <w:rFonts w:hint="eastAsia" w:ascii="Times New Roman" w:hAnsi="Times New Roman" w:eastAsia="宋体" w:cs="Times New Roman"/>
                <w:color w:val="auto"/>
                <w:sz w:val="24"/>
                <w:highlight w:val="none"/>
                <w:lang w:val="en-US" w:eastAsia="zh-CN"/>
              </w:rPr>
              <w:t>年产1亿个隐形矫治器。</w:t>
            </w:r>
          </w:p>
          <w:p w14:paraId="5D6EFDC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本项目于</w:t>
            </w:r>
            <w:r>
              <w:rPr>
                <w:rFonts w:hint="eastAsia" w:ascii="Times New Roman" w:hAnsi="Times New Roman" w:eastAsia="宋体" w:cs="Times New Roman"/>
                <w:color w:val="auto"/>
                <w:sz w:val="24"/>
                <w:highlight w:val="none"/>
                <w:lang w:val="en-US" w:eastAsia="zh-CN"/>
              </w:rPr>
              <w:t>2025年</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月24</w:t>
            </w:r>
            <w:r>
              <w:rPr>
                <w:rFonts w:hint="default" w:ascii="Times New Roman" w:hAnsi="Times New Roman" w:eastAsia="宋体" w:cs="Times New Roman"/>
                <w:color w:val="auto"/>
                <w:sz w:val="24"/>
                <w:highlight w:val="none"/>
              </w:rPr>
              <w:t>日完成项目备案（备案证号：锡新数投备〔2025〕329号，项目代码</w:t>
            </w:r>
            <w:r>
              <w:rPr>
                <w:rFonts w:hint="eastAsia" w:cs="Times New Roman"/>
                <w:color w:val="auto"/>
                <w:sz w:val="24"/>
                <w:highlight w:val="none"/>
                <w:lang w:val="en-US" w:eastAsia="zh-CN"/>
              </w:rPr>
              <w:t>2501</w:t>
            </w:r>
            <w:r>
              <w:rPr>
                <w:rFonts w:hint="default" w:ascii="Times New Roman" w:hAnsi="Times New Roman" w:eastAsia="宋体" w:cs="Times New Roman"/>
                <w:color w:val="auto"/>
                <w:sz w:val="24"/>
                <w:highlight w:val="none"/>
                <w:lang w:val="en-US" w:eastAsia="zh-CN"/>
              </w:rPr>
              <w:t>-320214-89-02-</w:t>
            </w:r>
            <w:r>
              <w:rPr>
                <w:rFonts w:hint="eastAsia" w:cs="Times New Roman"/>
                <w:color w:val="auto"/>
                <w:sz w:val="24"/>
                <w:highlight w:val="none"/>
                <w:lang w:val="en-US" w:eastAsia="zh-CN"/>
              </w:rPr>
              <w:t>412222</w:t>
            </w:r>
            <w:r>
              <w:rPr>
                <w:rFonts w:hint="default" w:ascii="Times New Roman" w:hAnsi="Times New Roman" w:eastAsia="宋体" w:cs="Times New Roman"/>
                <w:color w:val="auto"/>
                <w:sz w:val="24"/>
                <w:highlight w:val="none"/>
              </w:rPr>
              <w:t>），同意开展项目前期及报批准备工作。</w:t>
            </w:r>
          </w:p>
          <w:p w14:paraId="593613F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根据《中华人民共和国环境保护法》以及国务院第682号</w:t>
            </w:r>
            <w:r>
              <w:rPr>
                <w:rFonts w:hint="default" w:ascii="Times New Roman" w:hAnsi="Times New Roman" w:eastAsia="宋体" w:cs="Times New Roman"/>
                <w:color w:val="auto"/>
                <w:sz w:val="24"/>
                <w:highlight w:val="none"/>
                <w:lang w:val="en-US" w:eastAsia="zh-CN"/>
              </w:rPr>
              <w:t>令</w:t>
            </w:r>
            <w:r>
              <w:rPr>
                <w:rFonts w:hint="default" w:ascii="Times New Roman" w:hAnsi="Times New Roman" w:eastAsia="宋体" w:cs="Times New Roman"/>
                <w:color w:val="auto"/>
                <w:sz w:val="24"/>
                <w:highlight w:val="none"/>
              </w:rPr>
              <w:t>《建设项目环境保护管理条例》的有关规定，</w:t>
            </w:r>
            <w:r>
              <w:rPr>
                <w:rFonts w:hint="default" w:ascii="Times New Roman" w:hAnsi="Times New Roman" w:eastAsia="宋体"/>
                <w:color w:val="auto"/>
                <w:sz w:val="24"/>
                <w:highlight w:val="none"/>
              </w:rPr>
              <w:t>本项目属于《建设项目环境影响评价分类管理名录（2021年）》中</w:t>
            </w:r>
            <w:r>
              <w:rPr>
                <w:rFonts w:hint="eastAsia" w:ascii="Times New Roman" w:hAnsi="Times New Roman" w:eastAsia="宋体"/>
                <w:color w:val="auto"/>
                <w:sz w:val="24"/>
                <w:highlight w:val="none"/>
                <w:lang w:eastAsia="zh-CN"/>
              </w:rPr>
              <w:t>“三十二</w:t>
            </w: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专用设备制造业</w:t>
            </w:r>
            <w:r>
              <w:rPr>
                <w:rFonts w:hint="eastAsia" w:ascii="Times New Roman" w:hAnsi="Times New Roman" w:eastAsia="宋体"/>
                <w:color w:val="auto"/>
                <w:sz w:val="24"/>
                <w:highlight w:val="none"/>
                <w:lang w:val="en-US" w:eastAsia="zh-CN"/>
              </w:rPr>
              <w:t>35</w:t>
            </w:r>
            <w:r>
              <w:rPr>
                <w:rFonts w:hint="eastAsia" w:ascii="Times New Roman" w:hAnsi="Times New Roman" w:eastAsia="宋体"/>
                <w:color w:val="auto"/>
                <w:sz w:val="24"/>
                <w:highlight w:val="none"/>
                <w:lang w:eastAsia="zh-CN"/>
              </w:rPr>
              <w:t>”中“</w:t>
            </w:r>
            <w:r>
              <w:rPr>
                <w:rFonts w:hint="eastAsia" w:ascii="Times New Roman" w:hAnsi="Times New Roman" w:eastAsia="宋体"/>
                <w:color w:val="auto"/>
                <w:sz w:val="24"/>
                <w:highlight w:val="none"/>
                <w:lang w:val="en-US" w:eastAsia="zh-CN"/>
              </w:rPr>
              <w:t>70医疗仪器设备及器械制造358</w:t>
            </w:r>
            <w:r>
              <w:rPr>
                <w:rFonts w:hint="eastAsia" w:ascii="Times New Roman" w:hAnsi="Times New Roman" w:eastAsia="宋体"/>
                <w:b w:val="0"/>
                <w:bCs w:val="0"/>
                <w:color w:val="auto"/>
                <w:sz w:val="24"/>
                <w:highlight w:val="none"/>
                <w:shd w:val="clear" w:color="auto" w:fill="auto"/>
                <w:lang w:val="en-US" w:eastAsia="zh-CN"/>
              </w:rPr>
              <w:t>”中“</w:t>
            </w:r>
            <w:r>
              <w:rPr>
                <w:rFonts w:hint="default" w:ascii="Times New Roman" w:hAnsi="Times New Roman" w:eastAsia="宋体"/>
                <w:color w:val="auto"/>
                <w:sz w:val="24"/>
                <w:highlight w:val="none"/>
              </w:rPr>
              <w:t>其他</w:t>
            </w:r>
            <w:r>
              <w:rPr>
                <w:rFonts w:hint="eastAsia" w:ascii="Times New Roman" w:hAnsi="Times New Roman" w:eastAsia="宋体"/>
                <w:color w:val="auto"/>
                <w:sz w:val="24"/>
                <w:highlight w:val="none"/>
                <w:lang w:val="en-US" w:eastAsia="zh-CN"/>
              </w:rPr>
              <w:t>（仅分割、焊接、组装的除外；年用非溶剂型低VOCs含量涂料10吨以下的除外</w:t>
            </w:r>
            <w:r>
              <w:rPr>
                <w:rFonts w:hint="eastAsia" w:eastAsia="宋体"/>
                <w:color w:val="auto"/>
                <w:sz w:val="24"/>
                <w:highlight w:val="none"/>
                <w:lang w:val="en-US" w:eastAsia="zh-CN"/>
              </w:rPr>
              <w:t>）</w:t>
            </w:r>
            <w:r>
              <w:rPr>
                <w:rFonts w:hint="eastAsia" w:ascii="Times New Roman" w:hAnsi="Times New Roman" w:eastAsia="宋体"/>
                <w:color w:val="auto"/>
                <w:sz w:val="24"/>
                <w:highlight w:val="none"/>
                <w:lang w:eastAsia="zh-CN"/>
              </w:rPr>
              <w:t>”，根据</w:t>
            </w:r>
            <w:r>
              <w:rPr>
                <w:rFonts w:hint="eastAsia" w:ascii="Times New Roman" w:hAnsi="Times New Roman" w:eastAsia="宋体"/>
                <w:color w:val="auto"/>
                <w:sz w:val="24"/>
                <w:highlight w:val="none"/>
              </w:rPr>
              <w:t>要求</w:t>
            </w:r>
            <w:r>
              <w:rPr>
                <w:rFonts w:hint="eastAsia" w:ascii="Times New Roman" w:hAnsi="Times New Roman" w:eastAsia="宋体"/>
                <w:color w:val="auto"/>
                <w:sz w:val="24"/>
                <w:highlight w:val="none"/>
                <w:lang w:eastAsia="zh-CN"/>
              </w:rPr>
              <w:t>本项目需</w:t>
            </w:r>
            <w:r>
              <w:rPr>
                <w:rFonts w:hint="eastAsia" w:ascii="Times New Roman" w:hAnsi="Times New Roman" w:eastAsia="宋体"/>
                <w:color w:val="auto"/>
                <w:sz w:val="24"/>
                <w:highlight w:val="none"/>
              </w:rPr>
              <w:t>编制报告表，</w:t>
            </w:r>
            <w:r>
              <w:rPr>
                <w:rFonts w:hint="default" w:ascii="Times New Roman" w:hAnsi="Times New Roman" w:eastAsia="宋体"/>
                <w:color w:val="auto"/>
                <w:sz w:val="24"/>
                <w:highlight w:val="none"/>
              </w:rPr>
              <w:t>因此建设单位委托</w:t>
            </w:r>
            <w:r>
              <w:rPr>
                <w:rFonts w:hint="eastAsia" w:ascii="Times New Roman" w:hAnsi="Times New Roman" w:eastAsia="宋体"/>
                <w:color w:val="auto"/>
                <w:sz w:val="24"/>
                <w:highlight w:val="none"/>
                <w:lang w:eastAsia="zh-CN"/>
              </w:rPr>
              <w:t>无锡新视野环保有限公司</w:t>
            </w:r>
            <w:r>
              <w:rPr>
                <w:rFonts w:hint="default" w:ascii="Times New Roman" w:hAnsi="Times New Roman" w:eastAsia="宋体"/>
                <w:color w:val="auto"/>
                <w:sz w:val="24"/>
                <w:highlight w:val="none"/>
              </w:rPr>
              <w:t>对本项目进行环境影响评价</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评价单位接受委托后，相关人员收集了相关资料并进行了现场踏勘，在此基础上编制了本项目环境影响报告表</w:t>
            </w:r>
            <w:r>
              <w:rPr>
                <w:rFonts w:hint="default" w:ascii="Times New Roman" w:hAnsi="Times New Roman" w:eastAsia="宋体"/>
                <w:color w:val="auto"/>
                <w:sz w:val="24"/>
                <w:highlight w:val="none"/>
              </w:rPr>
              <w:t>。</w:t>
            </w:r>
            <w:r>
              <w:rPr>
                <w:rFonts w:hint="default" w:ascii="Times New Roman" w:hAnsi="Times New Roman" w:eastAsia="宋体" w:cs="Times New Roman"/>
                <w:color w:val="auto"/>
                <w:sz w:val="24"/>
                <w:szCs w:val="22"/>
                <w:highlight w:val="none"/>
              </w:rPr>
              <w:t>本项目所涉及的安全、消防、卫生等问题不属于本评价的范围，请公司按照国家相关法律、法规和有关标准执行。</w:t>
            </w:r>
          </w:p>
          <w:p w14:paraId="0C9C3300">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2、项目概况</w:t>
            </w:r>
          </w:p>
          <w:p w14:paraId="7E838FA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lang w:val="en-US" w:eastAsia="zh-CN"/>
              </w:rPr>
              <w:t>年产一亿个口腔隐形正畸产品的3D打印后处理工艺技术升级改造项目</w:t>
            </w:r>
            <w:r>
              <w:rPr>
                <w:rFonts w:hint="default" w:ascii="Times New Roman" w:hAnsi="Times New Roman" w:eastAsia="宋体" w:cs="Times New Roman"/>
                <w:color w:val="auto"/>
                <w:sz w:val="24"/>
                <w:highlight w:val="none"/>
              </w:rPr>
              <w:t>；</w:t>
            </w:r>
          </w:p>
          <w:p w14:paraId="7F2D9EA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行业类别：</w:t>
            </w:r>
            <w:r>
              <w:rPr>
                <w:rFonts w:hint="eastAsia" w:ascii="Times New Roman" w:hAnsi="Times New Roman" w:eastAsia="宋体" w:cs="Times New Roman"/>
                <w:color w:val="auto"/>
                <w:sz w:val="24"/>
                <w:highlight w:val="none"/>
                <w:lang w:val="en-US" w:eastAsia="zh-CN"/>
              </w:rPr>
              <w:t>C3589其他医疗设备及器械制造</w:t>
            </w:r>
            <w:r>
              <w:rPr>
                <w:rFonts w:hint="default" w:ascii="Times New Roman" w:hAnsi="Times New Roman" w:eastAsia="宋体" w:cs="Times New Roman"/>
                <w:color w:val="auto"/>
                <w:sz w:val="24"/>
                <w:highlight w:val="none"/>
                <w:lang w:val="en-US" w:eastAsia="zh-CN"/>
              </w:rPr>
              <w:t>；</w:t>
            </w:r>
          </w:p>
          <w:p w14:paraId="1B5A301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项目性质：</w:t>
            </w:r>
            <w:r>
              <w:rPr>
                <w:rFonts w:hint="eastAsia" w:cs="Times New Roman"/>
                <w:color w:val="auto"/>
                <w:sz w:val="24"/>
                <w:highlight w:val="none"/>
                <w:lang w:val="en-US" w:eastAsia="zh-CN"/>
              </w:rPr>
              <w:t>技术改造；</w:t>
            </w:r>
          </w:p>
          <w:p w14:paraId="3B2ACA2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w:t>
            </w:r>
            <w:r>
              <w:rPr>
                <w:rFonts w:hint="default" w:ascii="Times New Roman" w:hAnsi="Times New Roman" w:eastAsia="宋体" w:cs="Times New Roman"/>
                <w:color w:val="auto"/>
                <w:sz w:val="24"/>
                <w:highlight w:val="none"/>
                <w:lang w:eastAsia="zh-CN"/>
              </w:rPr>
              <w:t>江苏省</w:t>
            </w:r>
            <w:r>
              <w:rPr>
                <w:rFonts w:hint="default" w:ascii="Times New Roman" w:hAnsi="Times New Roman" w:eastAsia="宋体" w:cs="Times New Roman"/>
                <w:color w:val="auto"/>
                <w:sz w:val="24"/>
                <w:highlight w:val="none"/>
              </w:rPr>
              <w:t>无锡市新吴区</w:t>
            </w:r>
            <w:r>
              <w:rPr>
                <w:rFonts w:hint="default" w:ascii="Times New Roman" w:hAnsi="Times New Roman" w:eastAsia="宋体" w:cs="Times New Roman"/>
                <w:color w:val="auto"/>
                <w:sz w:val="24"/>
                <w:highlight w:val="none"/>
                <w:lang w:val="en-US" w:eastAsia="zh-CN"/>
              </w:rPr>
              <w:t>观山路36号</w:t>
            </w:r>
            <w:r>
              <w:rPr>
                <w:rFonts w:hint="default" w:ascii="Times New Roman" w:hAnsi="Times New Roman" w:eastAsia="宋体" w:cs="Times New Roman"/>
                <w:color w:val="auto"/>
                <w:sz w:val="24"/>
                <w:highlight w:val="none"/>
              </w:rPr>
              <w:t>；</w:t>
            </w:r>
          </w:p>
          <w:p w14:paraId="664A6BA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投资总额：</w:t>
            </w:r>
            <w:r>
              <w:rPr>
                <w:rFonts w:hint="eastAsia" w:cs="Times New Roman"/>
                <w:color w:val="auto"/>
                <w:sz w:val="24"/>
                <w:highlight w:val="none"/>
                <w:lang w:val="en-US" w:eastAsia="zh-CN"/>
              </w:rPr>
              <w:t>11998</w:t>
            </w:r>
            <w:r>
              <w:rPr>
                <w:rFonts w:hint="default" w:ascii="Times New Roman" w:hAnsi="Times New Roman" w:eastAsia="宋体" w:cs="Times New Roman"/>
                <w:color w:val="auto"/>
                <w:sz w:val="24"/>
                <w:highlight w:val="none"/>
              </w:rPr>
              <w:t>万元，其中环保投资</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万元，占总投资的</w:t>
            </w:r>
            <w:r>
              <w:rPr>
                <w:rFonts w:hint="eastAsia" w:cs="Times New Roman"/>
                <w:color w:val="auto"/>
                <w:sz w:val="24"/>
                <w:highlight w:val="none"/>
                <w:lang w:val="en-US" w:eastAsia="zh-CN"/>
              </w:rPr>
              <w:t>0.167</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p>
          <w:p w14:paraId="63DD01EC">
            <w:pPr>
              <w:keepNext w:val="0"/>
              <w:keepLines w:val="0"/>
              <w:numPr>
                <w:ilvl w:val="0"/>
                <w:numId w:val="4"/>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主要产品及产能情况</w:t>
            </w:r>
          </w:p>
          <w:p w14:paraId="2DE52C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szCs w:val="24"/>
                <w:highlight w:val="none"/>
                <w:lang w:val="en-US" w:eastAsia="zh-CN"/>
              </w:rPr>
              <w:t>本项目对</w:t>
            </w:r>
            <w:r>
              <w:rPr>
                <w:rFonts w:hint="eastAsia" w:cs="Times New Roman"/>
                <w:color w:val="auto"/>
                <w:sz w:val="24"/>
                <w:szCs w:val="24"/>
                <w:highlight w:val="none"/>
                <w:lang w:val="en-US" w:eastAsia="zh-CN"/>
              </w:rPr>
              <w:t>医用高分子材料生产线</w:t>
            </w:r>
            <w:r>
              <w:rPr>
                <w:rFonts w:hint="eastAsia" w:ascii="Times New Roman" w:hAnsi="Times New Roman" w:eastAsia="宋体" w:cs="Times New Roman"/>
                <w:color w:val="auto"/>
                <w:sz w:val="24"/>
                <w:szCs w:val="24"/>
                <w:highlight w:val="none"/>
                <w:lang w:val="en-US" w:eastAsia="zh-CN"/>
              </w:rPr>
              <w:t>和隐形矫治器生产线进行</w:t>
            </w:r>
            <w:r>
              <w:rPr>
                <w:rFonts w:hint="eastAsia" w:cs="Times New Roman"/>
                <w:color w:val="auto"/>
                <w:sz w:val="24"/>
                <w:szCs w:val="24"/>
                <w:highlight w:val="none"/>
                <w:lang w:val="en-US" w:eastAsia="zh-CN"/>
              </w:rPr>
              <w:t>技术改造</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eastAsia="zh-CN"/>
              </w:rPr>
              <w:t>项目</w:t>
            </w:r>
            <w:r>
              <w:rPr>
                <w:rFonts w:hint="eastAsia" w:cs="Times New Roman"/>
                <w:color w:val="auto"/>
                <w:sz w:val="24"/>
                <w:highlight w:val="none"/>
                <w:lang w:val="en-US" w:eastAsia="zh-CN"/>
              </w:rPr>
              <w:t>改建</w:t>
            </w:r>
            <w:r>
              <w:rPr>
                <w:rFonts w:hint="default" w:ascii="Times New Roman" w:hAnsi="Times New Roman" w:eastAsia="宋体" w:cs="Times New Roman"/>
                <w:color w:val="auto"/>
                <w:sz w:val="24"/>
                <w:highlight w:val="none"/>
                <w:lang w:eastAsia="zh-CN"/>
              </w:rPr>
              <w:t>前后产品方案未发生变化，具体</w:t>
            </w:r>
            <w:r>
              <w:rPr>
                <w:rFonts w:hint="default" w:ascii="Times New Roman" w:hAnsi="Times New Roman" w:eastAsia="宋体" w:cs="Times New Roman"/>
                <w:color w:val="auto"/>
                <w:sz w:val="24"/>
                <w:highlight w:val="none"/>
              </w:rPr>
              <w:t>产品方案见表</w:t>
            </w:r>
            <w:r>
              <w:rPr>
                <w:rFonts w:hint="default"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1和表2-2</w:t>
            </w:r>
            <w:r>
              <w:rPr>
                <w:rFonts w:hint="default" w:ascii="Times New Roman" w:hAnsi="Times New Roman" w:eastAsia="宋体" w:cs="Times New Roman"/>
                <w:color w:val="auto"/>
                <w:sz w:val="24"/>
                <w:highlight w:val="none"/>
              </w:rPr>
              <w:t>：</w:t>
            </w:r>
          </w:p>
          <w:p w14:paraId="59725416">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 xml:space="preserve">1  </w:t>
            </w:r>
            <w:r>
              <w:rPr>
                <w:rFonts w:hint="default" w:ascii="Times New Roman" w:hAnsi="Times New Roman" w:eastAsia="宋体" w:cs="Times New Roman"/>
                <w:b/>
                <w:bCs/>
                <w:color w:val="auto"/>
                <w:sz w:val="24"/>
                <w:highlight w:val="none"/>
              </w:rPr>
              <w:t>建设项目主要产品及产能情况</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201"/>
              <w:gridCol w:w="1298"/>
              <w:gridCol w:w="1327"/>
              <w:gridCol w:w="812"/>
              <w:gridCol w:w="1601"/>
            </w:tblGrid>
            <w:tr w14:paraId="5E8CC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16" w:type="pct"/>
                  <w:vMerge w:val="restart"/>
                  <w:vAlign w:val="center"/>
                </w:tcPr>
                <w:p w14:paraId="12F3C8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 w:val="21"/>
                      <w:szCs w:val="21"/>
                      <w:highlight w:val="none"/>
                      <w:lang w:eastAsia="zh-CN"/>
                    </w:rPr>
                    <w:t>工程</w:t>
                  </w:r>
                  <w:r>
                    <w:rPr>
                      <w:rFonts w:hint="default" w:ascii="Times New Roman" w:hAnsi="Times New Roman" w:eastAsia="宋体" w:cs="Times New Roman"/>
                      <w:b/>
                      <w:bCs/>
                      <w:color w:val="auto"/>
                      <w:sz w:val="21"/>
                      <w:szCs w:val="21"/>
                      <w:highlight w:val="none"/>
                    </w:rPr>
                    <w:t>名称</w:t>
                  </w:r>
                </w:p>
              </w:tc>
              <w:tc>
                <w:tcPr>
                  <w:tcW w:w="1271" w:type="pct"/>
                  <w:vMerge w:val="restart"/>
                  <w:vAlign w:val="center"/>
                </w:tcPr>
                <w:p w14:paraId="16BFD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产品名称</w:t>
                  </w:r>
                </w:p>
              </w:tc>
              <w:tc>
                <w:tcPr>
                  <w:tcW w:w="1986" w:type="pct"/>
                  <w:gridSpan w:val="3"/>
                  <w:tcBorders>
                    <w:bottom w:val="single" w:color="000000" w:sz="4" w:space="0"/>
                  </w:tcBorders>
                  <w:vAlign w:val="center"/>
                </w:tcPr>
                <w:p w14:paraId="5ECF99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设计产能</w:t>
                  </w:r>
                </w:p>
              </w:tc>
              <w:tc>
                <w:tcPr>
                  <w:tcW w:w="925" w:type="pct"/>
                  <w:vMerge w:val="restart"/>
                  <w:vAlign w:val="center"/>
                </w:tcPr>
                <w:p w14:paraId="762CEB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年运行时数</w:t>
                  </w:r>
                </w:p>
              </w:tc>
            </w:tr>
            <w:tr w14:paraId="63746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6" w:type="pct"/>
                  <w:vMerge w:val="continue"/>
                  <w:vAlign w:val="center"/>
                </w:tcPr>
                <w:p w14:paraId="185AA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p>
              </w:tc>
              <w:tc>
                <w:tcPr>
                  <w:tcW w:w="1271" w:type="pct"/>
                  <w:vMerge w:val="continue"/>
                  <w:vAlign w:val="center"/>
                </w:tcPr>
                <w:p w14:paraId="0F48CB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p>
              </w:tc>
              <w:tc>
                <w:tcPr>
                  <w:tcW w:w="750" w:type="pct"/>
                  <w:tcBorders>
                    <w:top w:val="single" w:color="000000" w:sz="4" w:space="0"/>
                    <w:right w:val="single" w:color="000000" w:sz="4" w:space="0"/>
                  </w:tcBorders>
                  <w:vAlign w:val="center"/>
                </w:tcPr>
                <w:p w14:paraId="2E871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技术改造</w:t>
                  </w:r>
                  <w:r>
                    <w:rPr>
                      <w:rFonts w:hint="default" w:ascii="Times New Roman" w:hAnsi="Times New Roman" w:eastAsia="宋体" w:cs="Times New Roman"/>
                      <w:b/>
                      <w:bCs/>
                      <w:color w:val="auto"/>
                      <w:szCs w:val="21"/>
                      <w:highlight w:val="none"/>
                      <w:lang w:val="en-US" w:eastAsia="zh-CN"/>
                    </w:rPr>
                    <w:t>前</w:t>
                  </w:r>
                </w:p>
              </w:tc>
              <w:tc>
                <w:tcPr>
                  <w:tcW w:w="766" w:type="pct"/>
                  <w:tcBorders>
                    <w:top w:val="single" w:color="000000" w:sz="4" w:space="0"/>
                    <w:left w:val="single" w:color="000000" w:sz="4" w:space="0"/>
                    <w:right w:val="single" w:color="000000" w:sz="4" w:space="0"/>
                  </w:tcBorders>
                  <w:vAlign w:val="center"/>
                </w:tcPr>
                <w:p w14:paraId="76118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技术改造</w:t>
                  </w:r>
                  <w:r>
                    <w:rPr>
                      <w:rFonts w:hint="default" w:ascii="Times New Roman" w:hAnsi="Times New Roman" w:eastAsia="宋体" w:cs="Times New Roman"/>
                      <w:b/>
                      <w:bCs/>
                      <w:color w:val="auto"/>
                      <w:szCs w:val="21"/>
                      <w:highlight w:val="none"/>
                      <w:lang w:val="en-US" w:eastAsia="zh-CN"/>
                    </w:rPr>
                    <w:t>后</w:t>
                  </w:r>
                </w:p>
              </w:tc>
              <w:tc>
                <w:tcPr>
                  <w:tcW w:w="469" w:type="pct"/>
                  <w:tcBorders>
                    <w:top w:val="single" w:color="000000" w:sz="4" w:space="0"/>
                    <w:left w:val="single" w:color="000000" w:sz="4" w:space="0"/>
                  </w:tcBorders>
                  <w:vAlign w:val="center"/>
                </w:tcPr>
                <w:p w14:paraId="3FBD7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增量</w:t>
                  </w:r>
                </w:p>
              </w:tc>
              <w:tc>
                <w:tcPr>
                  <w:tcW w:w="925" w:type="pct"/>
                  <w:vMerge w:val="continue"/>
                  <w:vAlign w:val="center"/>
                </w:tcPr>
                <w:p w14:paraId="70390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p>
              </w:tc>
            </w:tr>
            <w:tr w14:paraId="76739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16" w:type="pct"/>
                  <w:vAlign w:val="center"/>
                </w:tcPr>
                <w:p w14:paraId="46E13F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eastAsia="zh-CN"/>
                    </w:rPr>
                    <w:t>隐形矫治器生产线</w:t>
                  </w:r>
                </w:p>
              </w:tc>
              <w:tc>
                <w:tcPr>
                  <w:tcW w:w="1271" w:type="pct"/>
                  <w:vAlign w:val="center"/>
                </w:tcPr>
                <w:p w14:paraId="6FDC37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隐形矫治器</w:t>
                  </w:r>
                </w:p>
              </w:tc>
              <w:tc>
                <w:tcPr>
                  <w:tcW w:w="750" w:type="pct"/>
                  <w:tcBorders>
                    <w:right w:val="single" w:color="000000" w:sz="4" w:space="0"/>
                  </w:tcBorders>
                  <w:vAlign w:val="center"/>
                </w:tcPr>
                <w:p w14:paraId="3FE24D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1亿个/a</w:t>
                  </w:r>
                </w:p>
              </w:tc>
              <w:tc>
                <w:tcPr>
                  <w:tcW w:w="766" w:type="pct"/>
                  <w:tcBorders>
                    <w:left w:val="single" w:color="000000" w:sz="4" w:space="0"/>
                    <w:right w:val="single" w:color="000000" w:sz="4" w:space="0"/>
                  </w:tcBorders>
                  <w:vAlign w:val="center"/>
                </w:tcPr>
                <w:p w14:paraId="31057A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1亿个/a</w:t>
                  </w:r>
                </w:p>
              </w:tc>
              <w:tc>
                <w:tcPr>
                  <w:tcW w:w="469" w:type="pct"/>
                  <w:tcBorders>
                    <w:left w:val="single" w:color="000000" w:sz="4" w:space="0"/>
                  </w:tcBorders>
                  <w:vAlign w:val="center"/>
                </w:tcPr>
                <w:p w14:paraId="0339D0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p>
              </w:tc>
              <w:tc>
                <w:tcPr>
                  <w:tcW w:w="925" w:type="pct"/>
                  <w:vAlign w:val="center"/>
                </w:tcPr>
                <w:p w14:paraId="008E40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7200h</w:t>
                  </w:r>
                </w:p>
              </w:tc>
            </w:tr>
          </w:tbl>
          <w:p w14:paraId="31CD535D">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FF0000"/>
                <w:sz w:val="24"/>
                <w:highlight w:val="none"/>
              </w:rPr>
            </w:pPr>
            <w:r>
              <w:rPr>
                <w:rFonts w:hint="default" w:ascii="Times New Roman" w:hAnsi="Times New Roman" w:eastAsia="宋体" w:cs="Times New Roman"/>
                <w:b/>
                <w:bCs/>
                <w:color w:val="FF0000"/>
                <w:kern w:val="2"/>
                <w:sz w:val="24"/>
                <w:szCs w:val="24"/>
                <w:highlight w:val="none"/>
                <w:lang w:val="en-US" w:eastAsia="zh-CN" w:bidi="ar-SA"/>
              </w:rPr>
              <w:t>表2-</w:t>
            </w:r>
            <w:r>
              <w:rPr>
                <w:rFonts w:hint="eastAsia" w:cs="Times New Roman"/>
                <w:b/>
                <w:bCs/>
                <w:color w:val="FF0000"/>
                <w:kern w:val="2"/>
                <w:sz w:val="24"/>
                <w:szCs w:val="24"/>
                <w:highlight w:val="none"/>
                <w:lang w:val="en-US" w:eastAsia="zh-CN" w:bidi="ar-SA"/>
              </w:rPr>
              <w:t xml:space="preserve">2  </w:t>
            </w:r>
            <w:r>
              <w:rPr>
                <w:rFonts w:hint="default" w:ascii="Times New Roman" w:hAnsi="Times New Roman" w:eastAsia="宋体" w:cs="Times New Roman"/>
                <w:b/>
                <w:bCs/>
                <w:color w:val="FF0000"/>
                <w:sz w:val="24"/>
                <w:highlight w:val="none"/>
              </w:rPr>
              <w:t>建设项目</w:t>
            </w:r>
            <w:r>
              <w:rPr>
                <w:rFonts w:hint="eastAsia" w:cs="Times New Roman"/>
                <w:b/>
                <w:bCs/>
                <w:color w:val="FF0000"/>
                <w:sz w:val="24"/>
                <w:highlight w:val="none"/>
                <w:lang w:val="en-US" w:eastAsia="zh-CN"/>
              </w:rPr>
              <w:t>中间</w:t>
            </w:r>
            <w:r>
              <w:rPr>
                <w:rFonts w:hint="default" w:ascii="Times New Roman" w:hAnsi="Times New Roman" w:eastAsia="宋体" w:cs="Times New Roman"/>
                <w:b/>
                <w:bCs/>
                <w:color w:val="FF0000"/>
                <w:sz w:val="24"/>
                <w:highlight w:val="none"/>
              </w:rPr>
              <w:t>产品及产能情况</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201"/>
              <w:gridCol w:w="1298"/>
              <w:gridCol w:w="1327"/>
              <w:gridCol w:w="812"/>
              <w:gridCol w:w="1601"/>
            </w:tblGrid>
            <w:tr w14:paraId="5AF0E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16" w:type="pct"/>
                  <w:vMerge w:val="restart"/>
                  <w:vAlign w:val="center"/>
                </w:tcPr>
                <w:p w14:paraId="5B58A8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rPr>
                  </w:pPr>
                  <w:r>
                    <w:rPr>
                      <w:rFonts w:hint="default" w:ascii="Times New Roman" w:hAnsi="Times New Roman" w:eastAsia="宋体" w:cs="Times New Roman"/>
                      <w:b/>
                      <w:bCs/>
                      <w:color w:val="FF0000"/>
                      <w:sz w:val="21"/>
                      <w:szCs w:val="21"/>
                      <w:highlight w:val="none"/>
                      <w:lang w:eastAsia="zh-CN"/>
                    </w:rPr>
                    <w:t>工程</w:t>
                  </w:r>
                  <w:r>
                    <w:rPr>
                      <w:rFonts w:hint="default" w:ascii="Times New Roman" w:hAnsi="Times New Roman" w:eastAsia="宋体" w:cs="Times New Roman"/>
                      <w:b/>
                      <w:bCs/>
                      <w:color w:val="FF0000"/>
                      <w:sz w:val="21"/>
                      <w:szCs w:val="21"/>
                      <w:highlight w:val="none"/>
                    </w:rPr>
                    <w:t>名称</w:t>
                  </w:r>
                </w:p>
              </w:tc>
              <w:tc>
                <w:tcPr>
                  <w:tcW w:w="1271" w:type="pct"/>
                  <w:vMerge w:val="restart"/>
                  <w:vAlign w:val="center"/>
                </w:tcPr>
                <w:p w14:paraId="4E4F6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rPr>
                  </w:pPr>
                  <w:r>
                    <w:rPr>
                      <w:rFonts w:hint="default" w:ascii="Times New Roman" w:hAnsi="Times New Roman" w:eastAsia="宋体" w:cs="Times New Roman"/>
                      <w:b/>
                      <w:bCs/>
                      <w:color w:val="FF0000"/>
                      <w:szCs w:val="21"/>
                      <w:highlight w:val="none"/>
                    </w:rPr>
                    <w:t>产品名称</w:t>
                  </w:r>
                </w:p>
              </w:tc>
              <w:tc>
                <w:tcPr>
                  <w:tcW w:w="1986" w:type="pct"/>
                  <w:gridSpan w:val="3"/>
                  <w:tcBorders>
                    <w:bottom w:val="single" w:color="000000" w:sz="4" w:space="0"/>
                  </w:tcBorders>
                  <w:vAlign w:val="center"/>
                </w:tcPr>
                <w:p w14:paraId="33730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lang w:eastAsia="zh-CN"/>
                    </w:rPr>
                  </w:pPr>
                  <w:r>
                    <w:rPr>
                      <w:rFonts w:hint="default" w:ascii="Times New Roman" w:hAnsi="Times New Roman" w:eastAsia="宋体" w:cs="Times New Roman"/>
                      <w:b/>
                      <w:bCs/>
                      <w:color w:val="FF0000"/>
                      <w:szCs w:val="21"/>
                      <w:highlight w:val="none"/>
                    </w:rPr>
                    <w:t>设计产能</w:t>
                  </w:r>
                </w:p>
              </w:tc>
              <w:tc>
                <w:tcPr>
                  <w:tcW w:w="925" w:type="pct"/>
                  <w:vMerge w:val="restart"/>
                  <w:vAlign w:val="center"/>
                </w:tcPr>
                <w:p w14:paraId="1609EB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rPr>
                  </w:pPr>
                  <w:r>
                    <w:rPr>
                      <w:rFonts w:hint="default" w:ascii="Times New Roman" w:hAnsi="Times New Roman" w:eastAsia="宋体" w:cs="Times New Roman"/>
                      <w:b/>
                      <w:bCs/>
                      <w:color w:val="FF0000"/>
                      <w:szCs w:val="21"/>
                      <w:highlight w:val="none"/>
                    </w:rPr>
                    <w:t>年运行时数</w:t>
                  </w:r>
                </w:p>
              </w:tc>
            </w:tr>
            <w:tr w14:paraId="2358E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16" w:type="pct"/>
                  <w:vMerge w:val="continue"/>
                  <w:vAlign w:val="center"/>
                </w:tcPr>
                <w:p w14:paraId="33AF4C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rPr>
                  </w:pPr>
                </w:p>
              </w:tc>
              <w:tc>
                <w:tcPr>
                  <w:tcW w:w="1271" w:type="pct"/>
                  <w:vMerge w:val="continue"/>
                  <w:vAlign w:val="center"/>
                </w:tcPr>
                <w:p w14:paraId="4FC40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rPr>
                  </w:pPr>
                </w:p>
              </w:tc>
              <w:tc>
                <w:tcPr>
                  <w:tcW w:w="750" w:type="pct"/>
                  <w:tcBorders>
                    <w:top w:val="single" w:color="000000" w:sz="4" w:space="0"/>
                    <w:right w:val="single" w:color="000000" w:sz="4" w:space="0"/>
                  </w:tcBorders>
                  <w:vAlign w:val="center"/>
                </w:tcPr>
                <w:p w14:paraId="560B68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lang w:val="en-US" w:eastAsia="zh-CN"/>
                    </w:rPr>
                  </w:pPr>
                  <w:r>
                    <w:rPr>
                      <w:rFonts w:hint="eastAsia" w:cs="Times New Roman"/>
                      <w:b/>
                      <w:bCs/>
                      <w:color w:val="FF0000"/>
                      <w:szCs w:val="21"/>
                      <w:highlight w:val="none"/>
                      <w:lang w:val="en-US" w:eastAsia="zh-CN"/>
                    </w:rPr>
                    <w:t>技术改造</w:t>
                  </w:r>
                  <w:r>
                    <w:rPr>
                      <w:rFonts w:hint="default" w:ascii="Times New Roman" w:hAnsi="Times New Roman" w:eastAsia="宋体" w:cs="Times New Roman"/>
                      <w:b/>
                      <w:bCs/>
                      <w:color w:val="FF0000"/>
                      <w:szCs w:val="21"/>
                      <w:highlight w:val="none"/>
                      <w:lang w:val="en-US" w:eastAsia="zh-CN"/>
                    </w:rPr>
                    <w:t>前</w:t>
                  </w:r>
                </w:p>
              </w:tc>
              <w:tc>
                <w:tcPr>
                  <w:tcW w:w="766" w:type="pct"/>
                  <w:tcBorders>
                    <w:top w:val="single" w:color="000000" w:sz="4" w:space="0"/>
                    <w:left w:val="single" w:color="000000" w:sz="4" w:space="0"/>
                    <w:right w:val="single" w:color="000000" w:sz="4" w:space="0"/>
                  </w:tcBorders>
                  <w:vAlign w:val="center"/>
                </w:tcPr>
                <w:p w14:paraId="2E1AD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lang w:val="en-US" w:eastAsia="zh-CN"/>
                    </w:rPr>
                  </w:pPr>
                  <w:r>
                    <w:rPr>
                      <w:rFonts w:hint="eastAsia" w:cs="Times New Roman"/>
                      <w:b/>
                      <w:bCs/>
                      <w:color w:val="FF0000"/>
                      <w:szCs w:val="21"/>
                      <w:highlight w:val="none"/>
                      <w:lang w:val="en-US" w:eastAsia="zh-CN"/>
                    </w:rPr>
                    <w:t>技术改造</w:t>
                  </w:r>
                  <w:r>
                    <w:rPr>
                      <w:rFonts w:hint="default" w:ascii="Times New Roman" w:hAnsi="Times New Roman" w:eastAsia="宋体" w:cs="Times New Roman"/>
                      <w:b/>
                      <w:bCs/>
                      <w:color w:val="FF0000"/>
                      <w:szCs w:val="21"/>
                      <w:highlight w:val="none"/>
                      <w:lang w:val="en-US" w:eastAsia="zh-CN"/>
                    </w:rPr>
                    <w:t>后</w:t>
                  </w:r>
                </w:p>
              </w:tc>
              <w:tc>
                <w:tcPr>
                  <w:tcW w:w="469" w:type="pct"/>
                  <w:tcBorders>
                    <w:top w:val="single" w:color="000000" w:sz="4" w:space="0"/>
                    <w:left w:val="single" w:color="000000" w:sz="4" w:space="0"/>
                  </w:tcBorders>
                  <w:vAlign w:val="center"/>
                </w:tcPr>
                <w:p w14:paraId="6E9D5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lang w:val="en-US" w:eastAsia="zh-CN"/>
                    </w:rPr>
                  </w:pPr>
                  <w:r>
                    <w:rPr>
                      <w:rFonts w:hint="default" w:ascii="Times New Roman" w:hAnsi="Times New Roman" w:eastAsia="宋体" w:cs="Times New Roman"/>
                      <w:b/>
                      <w:bCs/>
                      <w:color w:val="FF0000"/>
                      <w:szCs w:val="21"/>
                      <w:highlight w:val="none"/>
                      <w:lang w:val="en-US" w:eastAsia="zh-CN"/>
                    </w:rPr>
                    <w:t>增量</w:t>
                  </w:r>
                </w:p>
              </w:tc>
              <w:tc>
                <w:tcPr>
                  <w:tcW w:w="925" w:type="pct"/>
                  <w:vMerge w:val="continue"/>
                  <w:vAlign w:val="center"/>
                </w:tcPr>
                <w:p w14:paraId="7EF4E3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rPr>
                  </w:pPr>
                </w:p>
              </w:tc>
            </w:tr>
            <w:tr w14:paraId="0D307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16" w:type="pct"/>
                  <w:vAlign w:val="center"/>
                </w:tcPr>
                <w:p w14:paraId="2E81D3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lang w:eastAsia="zh-CN"/>
                    </w:rPr>
                  </w:pPr>
                  <w:r>
                    <w:rPr>
                      <w:rFonts w:hint="default" w:ascii="Times New Roman" w:hAnsi="Times New Roman" w:eastAsia="宋体" w:cs="Times New Roman"/>
                      <w:color w:val="FF0000"/>
                      <w:sz w:val="21"/>
                      <w:szCs w:val="21"/>
                      <w:highlight w:val="none"/>
                      <w:lang w:val="en-US" w:eastAsia="zh-CN"/>
                    </w:rPr>
                    <w:t>医用高分子材料生产线</w:t>
                  </w:r>
                </w:p>
              </w:tc>
              <w:tc>
                <w:tcPr>
                  <w:tcW w:w="1271" w:type="pct"/>
                  <w:vAlign w:val="center"/>
                </w:tcPr>
                <w:p w14:paraId="462097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rPr>
                  </w:pPr>
                  <w:r>
                    <w:rPr>
                      <w:rFonts w:hint="default" w:ascii="Times New Roman" w:hAnsi="Times New Roman" w:eastAsia="宋体" w:cs="Times New Roman"/>
                      <w:color w:val="FF0000"/>
                      <w:sz w:val="21"/>
                      <w:szCs w:val="21"/>
                      <w:highlight w:val="none"/>
                      <w:lang w:val="en-US" w:eastAsia="zh-CN"/>
                    </w:rPr>
                    <w:t>医用高分子材料（隐形矫治器原料）</w:t>
                  </w:r>
                </w:p>
              </w:tc>
              <w:tc>
                <w:tcPr>
                  <w:tcW w:w="750" w:type="pct"/>
                  <w:tcBorders>
                    <w:right w:val="single" w:color="000000" w:sz="4" w:space="0"/>
                  </w:tcBorders>
                  <w:vAlign w:val="center"/>
                </w:tcPr>
                <w:p w14:paraId="5462B3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FF0000"/>
                      <w:szCs w:val="21"/>
                      <w:highlight w:val="none"/>
                      <w:lang w:val="en-US" w:eastAsia="zh-CN"/>
                    </w:rPr>
                  </w:pPr>
                  <w:r>
                    <w:rPr>
                      <w:rFonts w:hint="default" w:ascii="Times New Roman" w:hAnsi="Times New Roman" w:eastAsia="宋体" w:cs="Times New Roman"/>
                      <w:color w:val="FF0000"/>
                      <w:sz w:val="21"/>
                      <w:szCs w:val="21"/>
                      <w:highlight w:val="none"/>
                      <w:lang w:val="en-US" w:eastAsia="zh-CN"/>
                    </w:rPr>
                    <w:t>510t/a</w:t>
                  </w:r>
                </w:p>
              </w:tc>
              <w:tc>
                <w:tcPr>
                  <w:tcW w:w="766" w:type="pct"/>
                  <w:tcBorders>
                    <w:left w:val="single" w:color="000000" w:sz="4" w:space="0"/>
                    <w:right w:val="single" w:color="000000" w:sz="4" w:space="0"/>
                  </w:tcBorders>
                  <w:vAlign w:val="center"/>
                </w:tcPr>
                <w:p w14:paraId="65AE66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FF0000"/>
                      <w:sz w:val="21"/>
                      <w:szCs w:val="21"/>
                      <w:highlight w:val="none"/>
                      <w:lang w:val="en-US" w:eastAsia="zh-CN"/>
                    </w:rPr>
                    <w:t>510t/a</w:t>
                  </w:r>
                </w:p>
              </w:tc>
              <w:tc>
                <w:tcPr>
                  <w:tcW w:w="469" w:type="pct"/>
                  <w:tcBorders>
                    <w:left w:val="single" w:color="000000" w:sz="4" w:space="0"/>
                  </w:tcBorders>
                  <w:vAlign w:val="center"/>
                </w:tcPr>
                <w:p w14:paraId="13949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Cs w:val="21"/>
                      <w:highlight w:val="none"/>
                      <w:lang w:val="en-US" w:eastAsia="zh-CN"/>
                    </w:rPr>
                    <w:t>0</w:t>
                  </w:r>
                </w:p>
              </w:tc>
              <w:tc>
                <w:tcPr>
                  <w:tcW w:w="925" w:type="pct"/>
                  <w:vAlign w:val="center"/>
                </w:tcPr>
                <w:p w14:paraId="768A1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FF0000"/>
                      <w:szCs w:val="21"/>
                      <w:highlight w:val="none"/>
                    </w:rPr>
                    <w:t>7200h</w:t>
                  </w:r>
                </w:p>
              </w:tc>
            </w:tr>
            <w:tr w14:paraId="75E2B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16" w:type="pct"/>
                  <w:vAlign w:val="center"/>
                </w:tcPr>
                <w:p w14:paraId="0A360A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 w:val="21"/>
                      <w:szCs w:val="21"/>
                      <w:highlight w:val="none"/>
                      <w:lang w:val="en-US" w:eastAsia="zh-CN"/>
                    </w:rPr>
                    <w:t>防龋齿功能涂层产线</w:t>
                  </w:r>
                </w:p>
              </w:tc>
              <w:tc>
                <w:tcPr>
                  <w:tcW w:w="1271" w:type="pct"/>
                  <w:vAlign w:val="center"/>
                </w:tcPr>
                <w:p w14:paraId="195F24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FF0000"/>
                      <w:sz w:val="21"/>
                      <w:szCs w:val="21"/>
                      <w:highlight w:val="none"/>
                      <w:lang w:val="en-US" w:eastAsia="zh-CN"/>
                    </w:rPr>
                    <w:t>防龋齿功能涂</w:t>
                  </w:r>
                  <w:r>
                    <w:rPr>
                      <w:rFonts w:hint="eastAsia" w:ascii="Times New Roman" w:hAnsi="Times New Roman" w:eastAsia="宋体" w:cs="Times New Roman"/>
                      <w:color w:val="FF0000"/>
                      <w:sz w:val="21"/>
                      <w:szCs w:val="21"/>
                      <w:highlight w:val="none"/>
                      <w:lang w:val="en-US" w:eastAsia="zh-CN"/>
                    </w:rPr>
                    <w:t>层</w:t>
                  </w:r>
                </w:p>
              </w:tc>
              <w:tc>
                <w:tcPr>
                  <w:tcW w:w="750" w:type="pct"/>
                  <w:tcBorders>
                    <w:right w:val="single" w:color="000000" w:sz="4" w:space="0"/>
                  </w:tcBorders>
                  <w:vAlign w:val="center"/>
                </w:tcPr>
                <w:p w14:paraId="3A2C86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 w:val="21"/>
                      <w:szCs w:val="21"/>
                      <w:highlight w:val="none"/>
                      <w:lang w:val="en-US" w:eastAsia="zh-CN"/>
                    </w:rPr>
                    <w:t>40000m</w:t>
                  </w:r>
                  <w:r>
                    <w:rPr>
                      <w:rFonts w:hint="default" w:ascii="Times New Roman" w:hAnsi="Times New Roman" w:eastAsia="宋体" w:cs="Times New Roman"/>
                      <w:color w:val="FF0000"/>
                      <w:sz w:val="21"/>
                      <w:szCs w:val="21"/>
                      <w:highlight w:val="none"/>
                      <w:vertAlign w:val="superscript"/>
                      <w:lang w:val="en-US" w:eastAsia="zh-CN"/>
                    </w:rPr>
                    <w:t>2</w:t>
                  </w:r>
                  <w:r>
                    <w:rPr>
                      <w:rFonts w:hint="default" w:ascii="Times New Roman" w:hAnsi="Times New Roman" w:eastAsia="宋体" w:cs="Times New Roman"/>
                      <w:color w:val="FF0000"/>
                      <w:sz w:val="21"/>
                      <w:szCs w:val="21"/>
                      <w:highlight w:val="none"/>
                      <w:lang w:val="en-US" w:eastAsia="zh-CN"/>
                    </w:rPr>
                    <w:t>/a</w:t>
                  </w:r>
                </w:p>
              </w:tc>
              <w:tc>
                <w:tcPr>
                  <w:tcW w:w="766" w:type="pct"/>
                  <w:tcBorders>
                    <w:left w:val="single" w:color="000000" w:sz="4" w:space="0"/>
                    <w:right w:val="single" w:color="000000" w:sz="4" w:space="0"/>
                  </w:tcBorders>
                  <w:vAlign w:val="center"/>
                </w:tcPr>
                <w:p w14:paraId="7D9991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FF0000"/>
                      <w:sz w:val="21"/>
                      <w:szCs w:val="21"/>
                      <w:highlight w:val="none"/>
                      <w:lang w:val="en-US" w:eastAsia="zh-CN"/>
                    </w:rPr>
                    <w:t>40000m</w:t>
                  </w:r>
                  <w:r>
                    <w:rPr>
                      <w:rFonts w:hint="default" w:ascii="Times New Roman" w:hAnsi="Times New Roman" w:eastAsia="宋体" w:cs="Times New Roman"/>
                      <w:color w:val="FF0000"/>
                      <w:sz w:val="21"/>
                      <w:szCs w:val="21"/>
                      <w:highlight w:val="none"/>
                      <w:vertAlign w:val="superscript"/>
                      <w:lang w:val="en-US" w:eastAsia="zh-CN"/>
                    </w:rPr>
                    <w:t>2</w:t>
                  </w:r>
                  <w:r>
                    <w:rPr>
                      <w:rFonts w:hint="default" w:ascii="Times New Roman" w:hAnsi="Times New Roman" w:eastAsia="宋体" w:cs="Times New Roman"/>
                      <w:color w:val="FF0000"/>
                      <w:sz w:val="21"/>
                      <w:szCs w:val="21"/>
                      <w:highlight w:val="none"/>
                      <w:lang w:val="en-US" w:eastAsia="zh-CN"/>
                    </w:rPr>
                    <w:t>/a</w:t>
                  </w:r>
                </w:p>
              </w:tc>
              <w:tc>
                <w:tcPr>
                  <w:tcW w:w="469" w:type="pct"/>
                  <w:tcBorders>
                    <w:left w:val="single" w:color="000000" w:sz="4" w:space="0"/>
                  </w:tcBorders>
                  <w:vAlign w:val="center"/>
                </w:tcPr>
                <w:p w14:paraId="351F0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Cs w:val="21"/>
                      <w:highlight w:val="none"/>
                      <w:lang w:val="en-US" w:eastAsia="zh-CN"/>
                    </w:rPr>
                    <w:t>0</w:t>
                  </w:r>
                </w:p>
              </w:tc>
              <w:tc>
                <w:tcPr>
                  <w:tcW w:w="925" w:type="pct"/>
                  <w:vAlign w:val="center"/>
                </w:tcPr>
                <w:p w14:paraId="37A97D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FF0000"/>
                      <w:szCs w:val="21"/>
                      <w:highlight w:val="none"/>
                    </w:rPr>
                    <w:t>7200h</w:t>
                  </w:r>
                </w:p>
              </w:tc>
            </w:tr>
            <w:tr w14:paraId="1D7C1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16" w:type="pct"/>
                  <w:vAlign w:val="center"/>
                </w:tcPr>
                <w:p w14:paraId="5E2C72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 w:val="21"/>
                      <w:szCs w:val="21"/>
                      <w:highlight w:val="none"/>
                      <w:lang w:val="en-US" w:eastAsia="zh-CN"/>
                    </w:rPr>
                    <w:t>注塑成型线</w:t>
                  </w:r>
                </w:p>
              </w:tc>
              <w:tc>
                <w:tcPr>
                  <w:tcW w:w="1271" w:type="pct"/>
                  <w:vAlign w:val="center"/>
                </w:tcPr>
                <w:p w14:paraId="2C34EE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FF0000"/>
                      <w:sz w:val="21"/>
                      <w:szCs w:val="21"/>
                      <w:highlight w:val="none"/>
                      <w:lang w:val="en-US" w:eastAsia="zh-CN"/>
                    </w:rPr>
                    <w:t>天使扣（隐形矫治器配件）</w:t>
                  </w:r>
                </w:p>
              </w:tc>
              <w:tc>
                <w:tcPr>
                  <w:tcW w:w="750" w:type="pct"/>
                  <w:tcBorders>
                    <w:right w:val="single" w:color="000000" w:sz="4" w:space="0"/>
                  </w:tcBorders>
                  <w:vAlign w:val="center"/>
                </w:tcPr>
                <w:p w14:paraId="5A12D3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 w:val="21"/>
                      <w:szCs w:val="21"/>
                      <w:highlight w:val="none"/>
                      <w:lang w:val="en-US" w:eastAsia="zh-CN"/>
                    </w:rPr>
                    <w:t>1亿个/a</w:t>
                  </w:r>
                </w:p>
              </w:tc>
              <w:tc>
                <w:tcPr>
                  <w:tcW w:w="766" w:type="pct"/>
                  <w:tcBorders>
                    <w:left w:val="single" w:color="000000" w:sz="4" w:space="0"/>
                    <w:right w:val="single" w:color="000000" w:sz="4" w:space="0"/>
                  </w:tcBorders>
                  <w:vAlign w:val="center"/>
                </w:tcPr>
                <w:p w14:paraId="62BA66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FF0000"/>
                      <w:sz w:val="21"/>
                      <w:szCs w:val="21"/>
                      <w:highlight w:val="none"/>
                      <w:lang w:val="en-US" w:eastAsia="zh-CN"/>
                    </w:rPr>
                    <w:t>1亿个/a</w:t>
                  </w:r>
                </w:p>
              </w:tc>
              <w:tc>
                <w:tcPr>
                  <w:tcW w:w="469" w:type="pct"/>
                  <w:tcBorders>
                    <w:left w:val="single" w:color="000000" w:sz="4" w:space="0"/>
                  </w:tcBorders>
                  <w:vAlign w:val="center"/>
                </w:tcPr>
                <w:p w14:paraId="7D799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Cs w:val="21"/>
                      <w:highlight w:val="none"/>
                      <w:lang w:val="en-US" w:eastAsia="zh-CN"/>
                    </w:rPr>
                    <w:t>0</w:t>
                  </w:r>
                </w:p>
              </w:tc>
              <w:tc>
                <w:tcPr>
                  <w:tcW w:w="925" w:type="pct"/>
                  <w:vAlign w:val="center"/>
                </w:tcPr>
                <w:p w14:paraId="00194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FF0000"/>
                      <w:szCs w:val="21"/>
                      <w:highlight w:val="none"/>
                    </w:rPr>
                    <w:t>7200h</w:t>
                  </w:r>
                </w:p>
              </w:tc>
            </w:tr>
            <w:tr w14:paraId="0E3B1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vAlign w:val="center"/>
                </w:tcPr>
                <w:p w14:paraId="398C3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color w:val="FF0000"/>
                      <w:szCs w:val="21"/>
                      <w:highlight w:val="none"/>
                      <w:lang w:val="en-US" w:eastAsia="zh-CN"/>
                    </w:rPr>
                    <w:t>备注：企业建设项目</w:t>
                  </w:r>
                  <w:r>
                    <w:rPr>
                      <w:rFonts w:hint="eastAsia" w:cs="Times New Roman"/>
                      <w:color w:val="FF0000"/>
                      <w:szCs w:val="21"/>
                      <w:highlight w:val="none"/>
                      <w:lang w:val="en-US" w:eastAsia="zh-CN"/>
                    </w:rPr>
                    <w:t>包括</w:t>
                  </w:r>
                  <w:r>
                    <w:rPr>
                      <w:rFonts w:hint="eastAsia" w:ascii="Times New Roman" w:hAnsi="Times New Roman" w:eastAsia="宋体" w:cs="Times New Roman"/>
                      <w:color w:val="FF0000"/>
                      <w:szCs w:val="21"/>
                      <w:highlight w:val="none"/>
                      <w:lang w:val="en-US" w:eastAsia="zh-CN"/>
                    </w:rPr>
                    <w:t>一条新型隐形矫治器研发专用产线，专注于该产品的研发与测试，不具备生产产能。</w:t>
                  </w:r>
                </w:p>
              </w:tc>
            </w:tr>
          </w:tbl>
          <w:p w14:paraId="19512841">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rPr>
              <w:t>4、项目建设内容组成表</w:t>
            </w:r>
            <w:r>
              <w:rPr>
                <w:rFonts w:hint="eastAsia" w:cs="Times New Roman"/>
                <w:b/>
                <w:bCs/>
                <w:color w:val="auto"/>
                <w:sz w:val="24"/>
                <w:szCs w:val="32"/>
                <w:highlight w:val="none"/>
                <w:lang w:val="en-US" w:eastAsia="zh-CN"/>
              </w:rPr>
              <w:t>0</w:t>
            </w:r>
          </w:p>
          <w:p w14:paraId="04387CAB">
            <w:pPr>
              <w:pStyle w:val="11"/>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本次新增设备</w:t>
            </w:r>
            <w:r>
              <w:rPr>
                <w:rFonts w:hint="default" w:ascii="Times New Roman" w:hAnsi="Times New Roman" w:eastAsia="宋体" w:cs="Times New Roman"/>
                <w:color w:val="auto"/>
                <w:sz w:val="24"/>
                <w:szCs w:val="24"/>
                <w:highlight w:val="none"/>
                <w:lang w:eastAsia="zh-CN"/>
              </w:rPr>
              <w:t>分布</w:t>
            </w:r>
            <w:r>
              <w:rPr>
                <w:rFonts w:hint="eastAsia" w:ascii="Times New Roman" w:hAnsi="Times New Roman" w:eastAsia="宋体" w:cs="Times New Roman"/>
                <w:color w:val="auto"/>
                <w:sz w:val="24"/>
                <w:szCs w:val="24"/>
                <w:highlight w:val="none"/>
                <w:lang w:eastAsia="zh-CN"/>
              </w:rPr>
              <w:t>于</w:t>
            </w:r>
            <w:r>
              <w:rPr>
                <w:rFonts w:hint="default" w:ascii="Times New Roman" w:hAnsi="Times New Roman" w:eastAsia="宋体" w:cs="Times New Roman"/>
                <w:color w:val="auto"/>
                <w:sz w:val="24"/>
                <w:szCs w:val="24"/>
                <w:highlight w:val="none"/>
                <w:lang w:val="en-US" w:eastAsia="zh-CN"/>
              </w:rPr>
              <w:t>1-4号楼的生产车间内。</w:t>
            </w:r>
            <w:r>
              <w:rPr>
                <w:rFonts w:hint="default" w:ascii="Times New Roman" w:hAnsi="Times New Roman" w:eastAsia="宋体" w:cs="Times New Roman"/>
                <w:color w:val="auto"/>
                <w:sz w:val="24"/>
                <w:szCs w:val="24"/>
                <w:highlight w:val="none"/>
              </w:rPr>
              <w:t>本项目主体工程建设见表2-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p>
          <w:p w14:paraId="6DA82A52">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 xml:space="preserve">3  </w:t>
            </w:r>
            <w:r>
              <w:rPr>
                <w:rFonts w:hint="default" w:ascii="Times New Roman" w:hAnsi="Times New Roman" w:eastAsia="宋体" w:cs="Times New Roman"/>
                <w:b/>
                <w:bCs/>
                <w:color w:val="auto"/>
                <w:sz w:val="24"/>
                <w:highlight w:val="none"/>
              </w:rPr>
              <w:t>建设项目公用工程及辅助工程表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5"/>
              <w:gridCol w:w="516"/>
              <w:gridCol w:w="1290"/>
              <w:gridCol w:w="1385"/>
              <w:gridCol w:w="1418"/>
              <w:gridCol w:w="1203"/>
              <w:gridCol w:w="2205"/>
            </w:tblGrid>
            <w:tr w14:paraId="5A56D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0" w:hRule="atLeast"/>
                <w:jc w:val="center"/>
              </w:trPr>
              <w:tc>
                <w:tcPr>
                  <w:tcW w:w="367" w:type="pct"/>
                  <w:vMerge w:val="restart"/>
                  <w:vAlign w:val="center"/>
                </w:tcPr>
                <w:p w14:paraId="1AF887B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1043" w:type="pct"/>
                  <w:gridSpan w:val="2"/>
                  <w:vMerge w:val="restart"/>
                  <w:vAlign w:val="center"/>
                </w:tcPr>
                <w:p w14:paraId="4FB9BF4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2314" w:type="pct"/>
                  <w:gridSpan w:val="3"/>
                  <w:tcBorders>
                    <w:bottom w:val="single" w:color="000000" w:sz="4" w:space="0"/>
                  </w:tcBorders>
                  <w:vAlign w:val="center"/>
                </w:tcPr>
                <w:p w14:paraId="38A525A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设计能力</w:t>
                  </w:r>
                </w:p>
              </w:tc>
              <w:tc>
                <w:tcPr>
                  <w:tcW w:w="1274" w:type="pct"/>
                  <w:vMerge w:val="restart"/>
                  <w:vAlign w:val="center"/>
                </w:tcPr>
                <w:p w14:paraId="2CDE086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备注</w:t>
                  </w:r>
                </w:p>
              </w:tc>
            </w:tr>
            <w:tr w14:paraId="14805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43B77BB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rPr>
                  </w:pPr>
                </w:p>
              </w:tc>
              <w:tc>
                <w:tcPr>
                  <w:tcW w:w="1043" w:type="pct"/>
                  <w:gridSpan w:val="2"/>
                  <w:vMerge w:val="continue"/>
                  <w:vAlign w:val="center"/>
                </w:tcPr>
                <w:p w14:paraId="39BF83F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rPr>
                  </w:pPr>
                </w:p>
              </w:tc>
              <w:tc>
                <w:tcPr>
                  <w:tcW w:w="800" w:type="pct"/>
                  <w:tcBorders>
                    <w:top w:val="single" w:color="000000" w:sz="4" w:space="0"/>
                    <w:right w:val="single" w:color="000000" w:sz="4" w:space="0"/>
                  </w:tcBorders>
                  <w:vAlign w:val="center"/>
                </w:tcPr>
                <w:p w14:paraId="7E17D1D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技术改造</w:t>
                  </w:r>
                  <w:r>
                    <w:rPr>
                      <w:rFonts w:hint="default" w:ascii="Times New Roman" w:hAnsi="Times New Roman" w:eastAsia="宋体" w:cs="Times New Roman"/>
                      <w:b/>
                      <w:bCs/>
                      <w:color w:val="auto"/>
                      <w:szCs w:val="21"/>
                      <w:highlight w:val="none"/>
                      <w:lang w:val="en-US" w:eastAsia="zh-CN"/>
                    </w:rPr>
                    <w:t>前</w:t>
                  </w:r>
                </w:p>
              </w:tc>
              <w:tc>
                <w:tcPr>
                  <w:tcW w:w="819" w:type="pct"/>
                  <w:tcBorders>
                    <w:top w:val="single" w:color="000000" w:sz="4" w:space="0"/>
                    <w:left w:val="single" w:color="000000" w:sz="4" w:space="0"/>
                    <w:right w:val="single" w:color="000000" w:sz="4" w:space="0"/>
                  </w:tcBorders>
                  <w:vAlign w:val="center"/>
                </w:tcPr>
                <w:p w14:paraId="0D1F2F2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技术改造</w:t>
                  </w:r>
                  <w:r>
                    <w:rPr>
                      <w:rFonts w:hint="default" w:ascii="Times New Roman" w:hAnsi="Times New Roman" w:eastAsia="宋体" w:cs="Times New Roman"/>
                      <w:b/>
                      <w:bCs/>
                      <w:color w:val="auto"/>
                      <w:szCs w:val="21"/>
                      <w:highlight w:val="none"/>
                      <w:lang w:val="en-US" w:eastAsia="zh-CN"/>
                    </w:rPr>
                    <w:t>后</w:t>
                  </w:r>
                </w:p>
              </w:tc>
              <w:tc>
                <w:tcPr>
                  <w:tcW w:w="694" w:type="pct"/>
                  <w:tcBorders>
                    <w:top w:val="single" w:color="000000" w:sz="4" w:space="0"/>
                    <w:left w:val="single" w:color="000000" w:sz="4" w:space="0"/>
                  </w:tcBorders>
                  <w:vAlign w:val="center"/>
                </w:tcPr>
                <w:p w14:paraId="4385AF4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变化量</w:t>
                  </w:r>
                </w:p>
              </w:tc>
              <w:tc>
                <w:tcPr>
                  <w:tcW w:w="1274" w:type="pct"/>
                  <w:vMerge w:val="continue"/>
                  <w:vAlign w:val="center"/>
                </w:tcPr>
                <w:p w14:paraId="40E051E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rPr>
                  </w:pPr>
                </w:p>
              </w:tc>
            </w:tr>
            <w:tr w14:paraId="22497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4" w:hRule="atLeast"/>
                <w:jc w:val="center"/>
              </w:trPr>
              <w:tc>
                <w:tcPr>
                  <w:tcW w:w="367" w:type="pct"/>
                  <w:vMerge w:val="restart"/>
                  <w:vAlign w:val="center"/>
                </w:tcPr>
                <w:p w14:paraId="672210A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主体工程</w:t>
                  </w:r>
                </w:p>
              </w:tc>
              <w:tc>
                <w:tcPr>
                  <w:tcW w:w="1043" w:type="pct"/>
                  <w:gridSpan w:val="2"/>
                  <w:vAlign w:val="center"/>
                </w:tcPr>
                <w:p w14:paraId="73F9A38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隐形矫治器生产线</w:t>
                  </w:r>
                </w:p>
              </w:tc>
              <w:tc>
                <w:tcPr>
                  <w:tcW w:w="800" w:type="pct"/>
                  <w:tcBorders>
                    <w:right w:val="single" w:color="000000" w:sz="4" w:space="0"/>
                  </w:tcBorders>
                  <w:vAlign w:val="center"/>
                </w:tcPr>
                <w:p w14:paraId="75A1D20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1亿个/年</w:t>
                  </w:r>
                </w:p>
              </w:tc>
              <w:tc>
                <w:tcPr>
                  <w:tcW w:w="819" w:type="pct"/>
                  <w:tcBorders>
                    <w:left w:val="single" w:color="000000" w:sz="4" w:space="0"/>
                    <w:right w:val="single" w:color="000000" w:sz="4" w:space="0"/>
                  </w:tcBorders>
                  <w:vAlign w:val="center"/>
                </w:tcPr>
                <w:p w14:paraId="51CD583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1亿个/年</w:t>
                  </w:r>
                </w:p>
              </w:tc>
              <w:tc>
                <w:tcPr>
                  <w:tcW w:w="694" w:type="pct"/>
                  <w:tcBorders>
                    <w:left w:val="single" w:color="000000" w:sz="4" w:space="0"/>
                  </w:tcBorders>
                  <w:vAlign w:val="center"/>
                </w:tcPr>
                <w:p w14:paraId="5E1036F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185FD74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b/>
                      <w:bCs/>
                      <w:color w:val="auto"/>
                      <w:szCs w:val="21"/>
                      <w:highlight w:val="none"/>
                      <w:lang w:val="en-US" w:eastAsia="zh-CN"/>
                    </w:rPr>
                  </w:pPr>
                  <w:r>
                    <w:rPr>
                      <w:rFonts w:hint="eastAsia" w:cs="Times New Roman"/>
                      <w:color w:val="auto"/>
                      <w:szCs w:val="21"/>
                      <w:highlight w:val="none"/>
                      <w:lang w:val="en-US" w:eastAsia="zh-CN"/>
                    </w:rPr>
                    <w:t>已批</w:t>
                  </w:r>
                  <w:r>
                    <w:rPr>
                      <w:rFonts w:hint="eastAsia" w:ascii="Times New Roman" w:hAnsi="Times New Roman" w:eastAsia="宋体" w:cs="Times New Roman"/>
                      <w:color w:val="auto"/>
                      <w:szCs w:val="21"/>
                      <w:highlight w:val="none"/>
                      <w:lang w:val="en-US" w:eastAsia="zh-CN"/>
                    </w:rPr>
                    <w:t>已建</w:t>
                  </w:r>
                </w:p>
              </w:tc>
            </w:tr>
            <w:tr w14:paraId="4494D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2AF02E2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7CB3806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医用高分子材料生产线</w:t>
                  </w:r>
                </w:p>
              </w:tc>
              <w:tc>
                <w:tcPr>
                  <w:tcW w:w="800" w:type="pct"/>
                  <w:tcBorders>
                    <w:right w:val="single" w:color="000000" w:sz="4" w:space="0"/>
                  </w:tcBorders>
                  <w:vAlign w:val="center"/>
                </w:tcPr>
                <w:p w14:paraId="4265CCA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1条</w:t>
                  </w:r>
                </w:p>
              </w:tc>
              <w:tc>
                <w:tcPr>
                  <w:tcW w:w="819" w:type="pct"/>
                  <w:tcBorders>
                    <w:left w:val="single" w:color="000000" w:sz="4" w:space="0"/>
                    <w:right w:val="single" w:color="000000" w:sz="4" w:space="0"/>
                  </w:tcBorders>
                  <w:vAlign w:val="center"/>
                </w:tcPr>
                <w:p w14:paraId="2CD9FE44">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1条</w:t>
                  </w:r>
                </w:p>
              </w:tc>
              <w:tc>
                <w:tcPr>
                  <w:tcW w:w="694" w:type="pct"/>
                  <w:tcBorders>
                    <w:left w:val="single" w:color="000000" w:sz="4" w:space="0"/>
                  </w:tcBorders>
                  <w:vAlign w:val="center"/>
                </w:tcPr>
                <w:p w14:paraId="170D142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333180E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w:t>
                  </w:r>
                  <w:r>
                    <w:rPr>
                      <w:rFonts w:hint="eastAsia" w:ascii="Times New Roman" w:hAnsi="Times New Roman" w:eastAsia="宋体" w:cs="Times New Roman"/>
                      <w:color w:val="auto"/>
                      <w:szCs w:val="21"/>
                      <w:highlight w:val="none"/>
                      <w:lang w:val="en-US" w:eastAsia="zh-CN"/>
                    </w:rPr>
                    <w:t>已建</w:t>
                  </w:r>
                </w:p>
              </w:tc>
            </w:tr>
            <w:tr w14:paraId="1281B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6ED0861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26D24B8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注塑成型线</w:t>
                  </w:r>
                </w:p>
              </w:tc>
              <w:tc>
                <w:tcPr>
                  <w:tcW w:w="800" w:type="pct"/>
                  <w:tcBorders>
                    <w:right w:val="single" w:color="000000" w:sz="4" w:space="0"/>
                  </w:tcBorders>
                  <w:vAlign w:val="center"/>
                </w:tcPr>
                <w:p w14:paraId="4D2DD2A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1条</w:t>
                  </w:r>
                </w:p>
              </w:tc>
              <w:tc>
                <w:tcPr>
                  <w:tcW w:w="819" w:type="pct"/>
                  <w:tcBorders>
                    <w:left w:val="single" w:color="000000" w:sz="4" w:space="0"/>
                    <w:right w:val="single" w:color="000000" w:sz="4" w:space="0"/>
                  </w:tcBorders>
                  <w:vAlign w:val="center"/>
                </w:tcPr>
                <w:p w14:paraId="1FFD297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1条</w:t>
                  </w:r>
                </w:p>
              </w:tc>
              <w:tc>
                <w:tcPr>
                  <w:tcW w:w="694" w:type="pct"/>
                  <w:tcBorders>
                    <w:left w:val="single" w:color="000000" w:sz="4" w:space="0"/>
                  </w:tcBorders>
                  <w:vAlign w:val="center"/>
                </w:tcPr>
                <w:p w14:paraId="30CF843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31EA6B9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w:t>
                  </w:r>
                  <w:r>
                    <w:rPr>
                      <w:rFonts w:hint="eastAsia" w:ascii="Times New Roman" w:hAnsi="Times New Roman" w:eastAsia="宋体" w:cs="Times New Roman"/>
                      <w:color w:val="auto"/>
                      <w:szCs w:val="21"/>
                      <w:highlight w:val="none"/>
                      <w:lang w:val="en-US" w:eastAsia="zh-CN"/>
                    </w:rPr>
                    <w:t>待建</w:t>
                  </w:r>
                </w:p>
              </w:tc>
            </w:tr>
            <w:tr w14:paraId="0E609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367" w:type="pct"/>
                  <w:vMerge w:val="continue"/>
                  <w:vAlign w:val="center"/>
                </w:tcPr>
                <w:p w14:paraId="11646B2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085E7C5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防龋齿功能涂层产线</w:t>
                  </w:r>
                </w:p>
              </w:tc>
              <w:tc>
                <w:tcPr>
                  <w:tcW w:w="800" w:type="pct"/>
                  <w:tcBorders>
                    <w:right w:val="single" w:color="000000" w:sz="4" w:space="0"/>
                  </w:tcBorders>
                  <w:vAlign w:val="center"/>
                </w:tcPr>
                <w:p w14:paraId="065FFF4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1条</w:t>
                  </w:r>
                </w:p>
              </w:tc>
              <w:tc>
                <w:tcPr>
                  <w:tcW w:w="819" w:type="pct"/>
                  <w:tcBorders>
                    <w:left w:val="single" w:color="000000" w:sz="4" w:space="0"/>
                    <w:right w:val="single" w:color="000000" w:sz="4" w:space="0"/>
                  </w:tcBorders>
                  <w:vAlign w:val="center"/>
                </w:tcPr>
                <w:p w14:paraId="55B1F95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1条</w:t>
                  </w:r>
                </w:p>
              </w:tc>
              <w:tc>
                <w:tcPr>
                  <w:tcW w:w="694" w:type="pct"/>
                  <w:tcBorders>
                    <w:left w:val="single" w:color="000000" w:sz="4" w:space="0"/>
                  </w:tcBorders>
                  <w:vAlign w:val="center"/>
                </w:tcPr>
                <w:p w14:paraId="30805AC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2FEE722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已批已建</w:t>
                  </w:r>
                </w:p>
              </w:tc>
            </w:tr>
            <w:tr w14:paraId="3DE13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3CA1237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1F9591F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研发产线</w:t>
                  </w:r>
                </w:p>
              </w:tc>
              <w:tc>
                <w:tcPr>
                  <w:tcW w:w="800" w:type="pct"/>
                  <w:tcBorders>
                    <w:right w:val="single" w:color="000000" w:sz="4" w:space="0"/>
                  </w:tcBorders>
                  <w:vAlign w:val="center"/>
                </w:tcPr>
                <w:p w14:paraId="76C1525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1条</w:t>
                  </w:r>
                </w:p>
              </w:tc>
              <w:tc>
                <w:tcPr>
                  <w:tcW w:w="819" w:type="pct"/>
                  <w:tcBorders>
                    <w:left w:val="single" w:color="000000" w:sz="4" w:space="0"/>
                    <w:right w:val="single" w:color="000000" w:sz="4" w:space="0"/>
                  </w:tcBorders>
                  <w:vAlign w:val="center"/>
                </w:tcPr>
                <w:p w14:paraId="59D52C4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1条</w:t>
                  </w:r>
                </w:p>
              </w:tc>
              <w:tc>
                <w:tcPr>
                  <w:tcW w:w="694" w:type="pct"/>
                  <w:tcBorders>
                    <w:left w:val="single" w:color="000000" w:sz="4" w:space="0"/>
                  </w:tcBorders>
                  <w:vAlign w:val="center"/>
                </w:tcPr>
                <w:p w14:paraId="17FCC39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04AF74D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olor w:val="auto"/>
                      <w:highlight w:val="none"/>
                      <w:lang w:val="en-US" w:eastAsia="zh-CN"/>
                    </w:rPr>
                    <w:t>已批已建</w:t>
                  </w:r>
                </w:p>
              </w:tc>
            </w:tr>
            <w:tr w14:paraId="527D3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restart"/>
                  <w:vAlign w:val="center"/>
                </w:tcPr>
                <w:p w14:paraId="3B2D475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贮运工程</w:t>
                  </w:r>
                </w:p>
              </w:tc>
              <w:tc>
                <w:tcPr>
                  <w:tcW w:w="1043" w:type="pct"/>
                  <w:gridSpan w:val="2"/>
                  <w:vAlign w:val="center"/>
                </w:tcPr>
                <w:p w14:paraId="69F7C82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原料仓库</w:t>
                  </w:r>
                </w:p>
              </w:tc>
              <w:tc>
                <w:tcPr>
                  <w:tcW w:w="800" w:type="pct"/>
                  <w:tcBorders>
                    <w:right w:val="single" w:color="000000" w:sz="4" w:space="0"/>
                  </w:tcBorders>
                  <w:vAlign w:val="center"/>
                </w:tcPr>
                <w:p w14:paraId="470C493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500m</w:t>
                  </w:r>
                  <w:r>
                    <w:rPr>
                      <w:rFonts w:hint="default" w:ascii="Times New Roman" w:hAnsi="Times New Roman" w:eastAsia="宋体" w:cs="Times New Roman"/>
                      <w:color w:val="auto"/>
                      <w:szCs w:val="21"/>
                      <w:highlight w:val="none"/>
                      <w:vertAlign w:val="superscript"/>
                      <w:lang w:val="en-US" w:eastAsia="zh-CN"/>
                    </w:rPr>
                    <w:t>2</w:t>
                  </w:r>
                </w:p>
              </w:tc>
              <w:tc>
                <w:tcPr>
                  <w:tcW w:w="819" w:type="pct"/>
                  <w:tcBorders>
                    <w:left w:val="single" w:color="000000" w:sz="4" w:space="0"/>
                    <w:right w:val="single" w:color="000000" w:sz="4" w:space="0"/>
                  </w:tcBorders>
                  <w:vAlign w:val="center"/>
                </w:tcPr>
                <w:p w14:paraId="40E8386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500m</w:t>
                  </w:r>
                  <w:r>
                    <w:rPr>
                      <w:rFonts w:hint="default" w:ascii="Times New Roman" w:hAnsi="Times New Roman" w:eastAsia="宋体" w:cs="Times New Roman"/>
                      <w:color w:val="auto"/>
                      <w:szCs w:val="21"/>
                      <w:highlight w:val="none"/>
                      <w:vertAlign w:val="superscript"/>
                      <w:lang w:val="en-US" w:eastAsia="zh-CN"/>
                    </w:rPr>
                    <w:t>2</w:t>
                  </w:r>
                </w:p>
              </w:tc>
              <w:tc>
                <w:tcPr>
                  <w:tcW w:w="694" w:type="pct"/>
                  <w:tcBorders>
                    <w:left w:val="single" w:color="000000" w:sz="4" w:space="0"/>
                  </w:tcBorders>
                  <w:vAlign w:val="center"/>
                </w:tcPr>
                <w:p w14:paraId="6EC2851C">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29615E3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依托现有，3号楼一层</w:t>
                  </w:r>
                </w:p>
              </w:tc>
            </w:tr>
            <w:tr w14:paraId="18AB1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6459C2E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096CA2A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成品仓库</w:t>
                  </w:r>
                </w:p>
              </w:tc>
              <w:tc>
                <w:tcPr>
                  <w:tcW w:w="800" w:type="pct"/>
                  <w:tcBorders>
                    <w:right w:val="single" w:color="000000" w:sz="4" w:space="0"/>
                  </w:tcBorders>
                  <w:vAlign w:val="center"/>
                </w:tcPr>
                <w:p w14:paraId="532A4C2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500m</w:t>
                  </w:r>
                  <w:r>
                    <w:rPr>
                      <w:rFonts w:hint="default" w:ascii="Times New Roman" w:hAnsi="Times New Roman" w:eastAsia="宋体" w:cs="Times New Roman"/>
                      <w:color w:val="auto"/>
                      <w:szCs w:val="21"/>
                      <w:highlight w:val="none"/>
                      <w:vertAlign w:val="superscript"/>
                      <w:lang w:val="en-US" w:eastAsia="zh-CN"/>
                    </w:rPr>
                    <w:t>2</w:t>
                  </w:r>
                </w:p>
              </w:tc>
              <w:tc>
                <w:tcPr>
                  <w:tcW w:w="819" w:type="pct"/>
                  <w:tcBorders>
                    <w:left w:val="single" w:color="000000" w:sz="4" w:space="0"/>
                    <w:right w:val="single" w:color="000000" w:sz="4" w:space="0"/>
                  </w:tcBorders>
                  <w:vAlign w:val="center"/>
                </w:tcPr>
                <w:p w14:paraId="64ABD28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500m</w:t>
                  </w:r>
                  <w:r>
                    <w:rPr>
                      <w:rFonts w:hint="default" w:ascii="Times New Roman" w:hAnsi="Times New Roman" w:eastAsia="宋体" w:cs="Times New Roman"/>
                      <w:color w:val="auto"/>
                      <w:szCs w:val="21"/>
                      <w:highlight w:val="none"/>
                      <w:vertAlign w:val="superscript"/>
                      <w:lang w:val="en-US" w:eastAsia="zh-CN"/>
                    </w:rPr>
                    <w:t>2</w:t>
                  </w:r>
                </w:p>
              </w:tc>
              <w:tc>
                <w:tcPr>
                  <w:tcW w:w="694" w:type="pct"/>
                  <w:tcBorders>
                    <w:left w:val="single" w:color="000000" w:sz="4" w:space="0"/>
                  </w:tcBorders>
                  <w:vAlign w:val="center"/>
                </w:tcPr>
                <w:p w14:paraId="4CE64ED7">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2184516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依托现有，3号楼一层</w:t>
                  </w:r>
                </w:p>
              </w:tc>
            </w:tr>
            <w:tr w14:paraId="06349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21F0151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4E5E711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运输</w:t>
                  </w:r>
                </w:p>
              </w:tc>
              <w:tc>
                <w:tcPr>
                  <w:tcW w:w="800" w:type="pct"/>
                  <w:tcBorders>
                    <w:right w:val="single" w:color="000000" w:sz="4" w:space="0"/>
                  </w:tcBorders>
                  <w:vAlign w:val="center"/>
                </w:tcPr>
                <w:p w14:paraId="7C73DB9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819" w:type="pct"/>
                  <w:tcBorders>
                    <w:left w:val="single" w:color="000000" w:sz="4" w:space="0"/>
                    <w:right w:val="single" w:color="000000" w:sz="4" w:space="0"/>
                  </w:tcBorders>
                  <w:vAlign w:val="center"/>
                </w:tcPr>
                <w:p w14:paraId="5E525AA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694" w:type="pct"/>
                  <w:tcBorders>
                    <w:left w:val="single" w:color="000000" w:sz="4" w:space="0"/>
                  </w:tcBorders>
                  <w:vAlign w:val="center"/>
                </w:tcPr>
                <w:p w14:paraId="72F8080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4DF50BE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汽车运输</w:t>
                  </w:r>
                </w:p>
              </w:tc>
            </w:tr>
            <w:tr w14:paraId="6D7D9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3" w:hRule="atLeast"/>
                <w:jc w:val="center"/>
              </w:trPr>
              <w:tc>
                <w:tcPr>
                  <w:tcW w:w="367" w:type="pct"/>
                  <w:vMerge w:val="restart"/>
                  <w:vAlign w:val="center"/>
                </w:tcPr>
                <w:p w14:paraId="4217FD8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公用工程</w:t>
                  </w:r>
                </w:p>
              </w:tc>
              <w:tc>
                <w:tcPr>
                  <w:tcW w:w="1043" w:type="pct"/>
                  <w:gridSpan w:val="2"/>
                  <w:vAlign w:val="center"/>
                </w:tcPr>
                <w:p w14:paraId="08141A6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给水</w:t>
                  </w:r>
                </w:p>
              </w:tc>
              <w:tc>
                <w:tcPr>
                  <w:tcW w:w="800" w:type="pct"/>
                  <w:tcBorders>
                    <w:right w:val="single" w:color="000000" w:sz="4" w:space="0"/>
                  </w:tcBorders>
                  <w:vAlign w:val="center"/>
                </w:tcPr>
                <w:p w14:paraId="23EBDD2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173740.04</w:t>
                  </w:r>
                  <w:r>
                    <w:rPr>
                      <w:rFonts w:hint="default" w:ascii="Times New Roman" w:hAnsi="Times New Roman" w:eastAsia="宋体" w:cs="Times New Roman"/>
                      <w:color w:val="auto"/>
                      <w:sz w:val="21"/>
                      <w:szCs w:val="21"/>
                      <w:highlight w:val="none"/>
                      <w:lang w:val="en-US" w:eastAsia="zh-CN"/>
                    </w:rPr>
                    <w:t>t/a</w:t>
                  </w:r>
                </w:p>
              </w:tc>
              <w:tc>
                <w:tcPr>
                  <w:tcW w:w="819" w:type="pct"/>
                  <w:tcBorders>
                    <w:left w:val="single" w:color="000000" w:sz="4" w:space="0"/>
                    <w:right w:val="single" w:color="000000" w:sz="4" w:space="0"/>
                  </w:tcBorders>
                  <w:vAlign w:val="center"/>
                </w:tcPr>
                <w:p w14:paraId="15B4C62B">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174086.54t</w:t>
                  </w:r>
                  <w:r>
                    <w:rPr>
                      <w:rFonts w:hint="eastAsia" w:ascii="Times New Roman" w:hAnsi="Times New Roman" w:eastAsia="宋体" w:cs="Times New Roman"/>
                      <w:color w:val="auto"/>
                      <w:sz w:val="21"/>
                      <w:szCs w:val="21"/>
                      <w:highlight w:val="none"/>
                      <w:lang w:val="en-US" w:eastAsia="zh-CN"/>
                    </w:rPr>
                    <w:t>/a</w:t>
                  </w:r>
                </w:p>
              </w:tc>
              <w:tc>
                <w:tcPr>
                  <w:tcW w:w="694" w:type="pct"/>
                  <w:tcBorders>
                    <w:left w:val="single" w:color="000000" w:sz="4" w:space="0"/>
                  </w:tcBorders>
                  <w:vAlign w:val="center"/>
                </w:tcPr>
                <w:p w14:paraId="6AE0D1E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+346 .5</w:t>
                  </w:r>
                  <w:r>
                    <w:rPr>
                      <w:rFonts w:hint="eastAsia" w:ascii="Times New Roman" w:hAnsi="Times New Roman" w:eastAsia="宋体" w:cs="Times New Roman"/>
                      <w:color w:val="auto"/>
                      <w:sz w:val="21"/>
                      <w:szCs w:val="21"/>
                      <w:highlight w:val="none"/>
                      <w:lang w:val="en-US" w:eastAsia="zh-CN"/>
                    </w:rPr>
                    <w:t>t/a</w:t>
                  </w:r>
                </w:p>
              </w:tc>
              <w:tc>
                <w:tcPr>
                  <w:tcW w:w="1274" w:type="pct"/>
                  <w:vAlign w:val="center"/>
                </w:tcPr>
                <w:p w14:paraId="3FA1407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w:t>
                  </w:r>
                </w:p>
              </w:tc>
            </w:tr>
            <w:tr w14:paraId="50389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7" w:type="pct"/>
                  <w:vMerge w:val="continue"/>
                  <w:vAlign w:val="center"/>
                </w:tcPr>
                <w:p w14:paraId="5FC124D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restart"/>
                  <w:vAlign w:val="center"/>
                </w:tcPr>
                <w:p w14:paraId="3E16A66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排水</w:t>
                  </w:r>
                </w:p>
              </w:tc>
              <w:tc>
                <w:tcPr>
                  <w:tcW w:w="744" w:type="pct"/>
                  <w:vAlign w:val="center"/>
                </w:tcPr>
                <w:p w14:paraId="2E6940D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生活污水</w:t>
                  </w:r>
                </w:p>
              </w:tc>
              <w:tc>
                <w:tcPr>
                  <w:tcW w:w="800" w:type="pct"/>
                  <w:tcBorders>
                    <w:right w:val="single" w:color="000000" w:sz="4" w:space="0"/>
                  </w:tcBorders>
                  <w:vAlign w:val="center"/>
                </w:tcPr>
                <w:p w14:paraId="11BDBD1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24000t/a</w:t>
                  </w:r>
                </w:p>
              </w:tc>
              <w:tc>
                <w:tcPr>
                  <w:tcW w:w="819" w:type="pct"/>
                  <w:tcBorders>
                    <w:left w:val="single" w:color="000000" w:sz="4" w:space="0"/>
                    <w:right w:val="single" w:color="000000" w:sz="4" w:space="0"/>
                  </w:tcBorders>
                  <w:vAlign w:val="center"/>
                </w:tcPr>
                <w:p w14:paraId="5228866F">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24000t/a</w:t>
                  </w:r>
                </w:p>
              </w:tc>
              <w:tc>
                <w:tcPr>
                  <w:tcW w:w="694" w:type="pct"/>
                  <w:tcBorders>
                    <w:left w:val="single" w:color="000000" w:sz="4" w:space="0"/>
                  </w:tcBorders>
                  <w:vAlign w:val="center"/>
                </w:tcPr>
                <w:p w14:paraId="51D7F38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74" w:type="pct"/>
                  <w:vMerge w:val="restart"/>
                  <w:vAlign w:val="center"/>
                </w:tcPr>
                <w:p w14:paraId="286F6DE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依托现有污水处理措施及接管口</w:t>
                  </w:r>
                </w:p>
              </w:tc>
            </w:tr>
            <w:tr w14:paraId="46D3B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72E3D37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0375919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4FDAB982">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w:t>
                  </w:r>
                </w:p>
              </w:tc>
              <w:tc>
                <w:tcPr>
                  <w:tcW w:w="800" w:type="pct"/>
                  <w:tcBorders>
                    <w:right w:val="single" w:color="000000" w:sz="4" w:space="0"/>
                  </w:tcBorders>
                  <w:vAlign w:val="center"/>
                </w:tcPr>
                <w:p w14:paraId="5E8A83A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9600t/a</w:t>
                  </w:r>
                </w:p>
              </w:tc>
              <w:tc>
                <w:tcPr>
                  <w:tcW w:w="819" w:type="pct"/>
                  <w:tcBorders>
                    <w:left w:val="single" w:color="000000" w:sz="4" w:space="0"/>
                    <w:right w:val="single" w:color="000000" w:sz="4" w:space="0"/>
                  </w:tcBorders>
                  <w:vAlign w:val="center"/>
                </w:tcPr>
                <w:p w14:paraId="142441D8">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9600t/a</w:t>
                  </w:r>
                </w:p>
              </w:tc>
              <w:tc>
                <w:tcPr>
                  <w:tcW w:w="694" w:type="pct"/>
                  <w:tcBorders>
                    <w:left w:val="single" w:color="000000" w:sz="4" w:space="0"/>
                  </w:tcBorders>
                  <w:vAlign w:val="center"/>
                </w:tcPr>
                <w:p w14:paraId="32B19FE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74" w:type="pct"/>
                  <w:vMerge w:val="continue"/>
                  <w:vAlign w:val="center"/>
                </w:tcPr>
                <w:p w14:paraId="0DA695A1">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r>
            <w:tr w14:paraId="05435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7" w:type="pct"/>
                  <w:vMerge w:val="continue"/>
                  <w:vAlign w:val="center"/>
                </w:tcPr>
                <w:p w14:paraId="426DAF4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496DB08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0BFC0467">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超声波清洗废水</w:t>
                  </w:r>
                </w:p>
              </w:tc>
              <w:tc>
                <w:tcPr>
                  <w:tcW w:w="800" w:type="pct"/>
                  <w:tcBorders>
                    <w:right w:val="single" w:color="000000" w:sz="4" w:space="0"/>
                  </w:tcBorders>
                  <w:vAlign w:val="center"/>
                </w:tcPr>
                <w:p w14:paraId="059D39C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105003.766t/a</w:t>
                  </w:r>
                </w:p>
              </w:tc>
              <w:tc>
                <w:tcPr>
                  <w:tcW w:w="819" w:type="pct"/>
                  <w:tcBorders>
                    <w:left w:val="single" w:color="000000" w:sz="4" w:space="0"/>
                    <w:right w:val="single" w:color="000000" w:sz="4" w:space="0"/>
                  </w:tcBorders>
                  <w:vAlign w:val="center"/>
                </w:tcPr>
                <w:p w14:paraId="54974ED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105003.766t/a</w:t>
                  </w:r>
                </w:p>
              </w:tc>
              <w:tc>
                <w:tcPr>
                  <w:tcW w:w="694" w:type="pct"/>
                  <w:tcBorders>
                    <w:left w:val="single" w:color="000000" w:sz="4" w:space="0"/>
                  </w:tcBorders>
                  <w:vAlign w:val="center"/>
                </w:tcPr>
                <w:p w14:paraId="62A7FCC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74" w:type="pct"/>
                  <w:vMerge w:val="continue"/>
                  <w:vAlign w:val="center"/>
                </w:tcPr>
                <w:p w14:paraId="07E5FED8">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r>
            <w:tr w14:paraId="19E29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7" w:type="pct"/>
                  <w:vMerge w:val="continue"/>
                  <w:vAlign w:val="center"/>
                </w:tcPr>
                <w:p w14:paraId="5FB67E5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104A4A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7D64A5E4">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实验室冷却水</w:t>
                  </w:r>
                </w:p>
              </w:tc>
              <w:tc>
                <w:tcPr>
                  <w:tcW w:w="800" w:type="pct"/>
                  <w:tcBorders>
                    <w:right w:val="single" w:color="000000" w:sz="4" w:space="0"/>
                  </w:tcBorders>
                  <w:vAlign w:val="center"/>
                </w:tcPr>
                <w:p w14:paraId="760C678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2.04t/a</w:t>
                  </w:r>
                </w:p>
              </w:tc>
              <w:tc>
                <w:tcPr>
                  <w:tcW w:w="819" w:type="pct"/>
                  <w:tcBorders>
                    <w:left w:val="single" w:color="000000" w:sz="4" w:space="0"/>
                    <w:right w:val="single" w:color="000000" w:sz="4" w:space="0"/>
                  </w:tcBorders>
                  <w:vAlign w:val="center"/>
                </w:tcPr>
                <w:p w14:paraId="530C44E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2.04t/a</w:t>
                  </w:r>
                </w:p>
              </w:tc>
              <w:tc>
                <w:tcPr>
                  <w:tcW w:w="694" w:type="pct"/>
                  <w:tcBorders>
                    <w:left w:val="single" w:color="000000" w:sz="4" w:space="0"/>
                  </w:tcBorders>
                  <w:vAlign w:val="center"/>
                </w:tcPr>
                <w:p w14:paraId="17E1CBF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74" w:type="pct"/>
                  <w:vMerge w:val="continue"/>
                  <w:vAlign w:val="center"/>
                </w:tcPr>
                <w:p w14:paraId="461FD0AF">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r>
            <w:tr w14:paraId="61844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7" w:type="pct"/>
                  <w:vMerge w:val="continue"/>
                  <w:vAlign w:val="center"/>
                </w:tcPr>
                <w:p w14:paraId="3D938FF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5C13AD3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1392D577">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实验室水浴废水</w:t>
                  </w:r>
                </w:p>
              </w:tc>
              <w:tc>
                <w:tcPr>
                  <w:tcW w:w="800" w:type="pct"/>
                  <w:tcBorders>
                    <w:right w:val="single" w:color="000000" w:sz="4" w:space="0"/>
                  </w:tcBorders>
                  <w:vAlign w:val="center"/>
                </w:tcPr>
                <w:p w14:paraId="54C5CA1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r>
                    <w:rPr>
                      <w:rFonts w:hint="default" w:ascii="Times New Roman" w:hAnsi="Times New Roman" w:eastAsia="宋体" w:cs="Times New Roman"/>
                      <w:color w:val="auto"/>
                      <w:sz w:val="21"/>
                      <w:szCs w:val="21"/>
                      <w:highlight w:val="none"/>
                      <w:lang w:val="en-US" w:eastAsia="zh-CN"/>
                    </w:rPr>
                    <w:t>t/a</w:t>
                  </w:r>
                </w:p>
              </w:tc>
              <w:tc>
                <w:tcPr>
                  <w:tcW w:w="819" w:type="pct"/>
                  <w:tcBorders>
                    <w:left w:val="single" w:color="000000" w:sz="4" w:space="0"/>
                    <w:right w:val="single" w:color="000000" w:sz="4" w:space="0"/>
                  </w:tcBorders>
                  <w:vAlign w:val="center"/>
                </w:tcPr>
                <w:p w14:paraId="1C6200C4">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0.14</w:t>
                  </w:r>
                  <w:r>
                    <w:rPr>
                      <w:rFonts w:hint="default" w:ascii="Times New Roman" w:hAnsi="Times New Roman" w:eastAsia="宋体" w:cs="Times New Roman"/>
                      <w:color w:val="auto"/>
                      <w:sz w:val="21"/>
                      <w:szCs w:val="21"/>
                      <w:highlight w:val="none"/>
                      <w:lang w:val="en-US" w:eastAsia="zh-CN"/>
                    </w:rPr>
                    <w:t>t/a</w:t>
                  </w:r>
                </w:p>
              </w:tc>
              <w:tc>
                <w:tcPr>
                  <w:tcW w:w="694" w:type="pct"/>
                  <w:tcBorders>
                    <w:left w:val="single" w:color="000000" w:sz="4" w:space="0"/>
                  </w:tcBorders>
                  <w:vAlign w:val="center"/>
                </w:tcPr>
                <w:p w14:paraId="355676E1">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1274" w:type="pct"/>
                  <w:vMerge w:val="continue"/>
                  <w:vAlign w:val="center"/>
                </w:tcPr>
                <w:p w14:paraId="5F75CC7B">
                  <w:pPr>
                    <w:pStyle w:val="32"/>
                    <w:keepNext w:val="0"/>
                    <w:keepLines w:val="0"/>
                    <w:widowControl w:val="0"/>
                    <w:suppressLineNumbers w:val="0"/>
                    <w:adjustRightInd w:val="0"/>
                    <w:snapToGrid w:val="0"/>
                    <w:ind w:left="0" w:right="0"/>
                    <w:jc w:val="center"/>
                    <w:rPr>
                      <w:rFonts w:hint="default" w:ascii="Times New Roman" w:hAnsi="Times New Roman" w:eastAsia="宋体" w:cs="Times New Roman"/>
                      <w:color w:val="auto"/>
                      <w:sz w:val="21"/>
                      <w:szCs w:val="21"/>
                      <w:highlight w:val="none"/>
                      <w:lang w:val="en-US" w:eastAsia="zh-CN"/>
                    </w:rPr>
                  </w:pPr>
                </w:p>
              </w:tc>
            </w:tr>
            <w:tr w14:paraId="59CAB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7" w:type="pct"/>
                  <w:vMerge w:val="continue"/>
                  <w:vAlign w:val="center"/>
                </w:tcPr>
                <w:p w14:paraId="7CA8D9C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1387395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供电</w:t>
                  </w:r>
                </w:p>
              </w:tc>
              <w:tc>
                <w:tcPr>
                  <w:tcW w:w="800" w:type="pct"/>
                  <w:tcBorders>
                    <w:right w:val="single" w:color="000000" w:sz="4" w:space="0"/>
                  </w:tcBorders>
                  <w:vAlign w:val="center"/>
                </w:tcPr>
                <w:p w14:paraId="7DC7043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160</w:t>
                  </w:r>
                  <w:r>
                    <w:rPr>
                      <w:rFonts w:hint="default" w:ascii="Times New Roman" w:hAnsi="Times New Roman" w:eastAsia="宋体" w:cs="Times New Roman"/>
                      <w:color w:val="auto"/>
                      <w:szCs w:val="21"/>
                      <w:highlight w:val="none"/>
                    </w:rPr>
                    <w:t>万</w:t>
                  </w:r>
                  <w:r>
                    <w:rPr>
                      <w:rFonts w:hint="default" w:ascii="Times New Roman" w:hAnsi="Times New Roman" w:eastAsia="宋体" w:cs="Times New Roman"/>
                      <w:color w:val="auto"/>
                      <w:szCs w:val="21"/>
                      <w:highlight w:val="none"/>
                      <w:lang w:val="en-US" w:eastAsia="zh-CN"/>
                    </w:rPr>
                    <w:t>kwh</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a</w:t>
                  </w:r>
                </w:p>
              </w:tc>
              <w:tc>
                <w:tcPr>
                  <w:tcW w:w="819" w:type="pct"/>
                  <w:tcBorders>
                    <w:left w:val="single" w:color="000000" w:sz="4" w:space="0"/>
                    <w:right w:val="single" w:color="000000" w:sz="4" w:space="0"/>
                  </w:tcBorders>
                  <w:vAlign w:val="center"/>
                </w:tcPr>
                <w:p w14:paraId="3C7B017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200</w:t>
                  </w:r>
                  <w:r>
                    <w:rPr>
                      <w:rFonts w:hint="default" w:ascii="Times New Roman" w:hAnsi="Times New Roman" w:eastAsia="宋体" w:cs="Times New Roman"/>
                      <w:color w:val="auto"/>
                      <w:szCs w:val="21"/>
                      <w:highlight w:val="none"/>
                    </w:rPr>
                    <w:t>万</w:t>
                  </w:r>
                  <w:r>
                    <w:rPr>
                      <w:rFonts w:hint="default" w:ascii="Times New Roman" w:hAnsi="Times New Roman" w:eastAsia="宋体" w:cs="Times New Roman"/>
                      <w:color w:val="auto"/>
                      <w:szCs w:val="21"/>
                      <w:highlight w:val="none"/>
                      <w:lang w:val="en-US" w:eastAsia="zh-CN"/>
                    </w:rPr>
                    <w:t>kwh</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a</w:t>
                  </w:r>
                </w:p>
              </w:tc>
              <w:tc>
                <w:tcPr>
                  <w:tcW w:w="694" w:type="pct"/>
                  <w:tcBorders>
                    <w:left w:val="single" w:color="000000" w:sz="4" w:space="0"/>
                  </w:tcBorders>
                  <w:vAlign w:val="center"/>
                </w:tcPr>
                <w:p w14:paraId="6EE74C4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r>
                    <w:rPr>
                      <w:rFonts w:hint="default" w:ascii="Times New Roman" w:hAnsi="Times New Roman" w:eastAsia="宋体" w:cs="Times New Roman"/>
                      <w:color w:val="auto"/>
                      <w:szCs w:val="21"/>
                      <w:highlight w:val="none"/>
                    </w:rPr>
                    <w:t>万</w:t>
                  </w:r>
                  <w:r>
                    <w:rPr>
                      <w:rFonts w:hint="default" w:ascii="Times New Roman" w:hAnsi="Times New Roman" w:eastAsia="宋体" w:cs="Times New Roman"/>
                      <w:color w:val="auto"/>
                      <w:szCs w:val="21"/>
                      <w:highlight w:val="none"/>
                      <w:lang w:val="en-US" w:eastAsia="zh-CN"/>
                    </w:rPr>
                    <w:t>kwh</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a</w:t>
                  </w:r>
                </w:p>
              </w:tc>
              <w:tc>
                <w:tcPr>
                  <w:tcW w:w="1274" w:type="pct"/>
                  <w:vAlign w:val="center"/>
                </w:tcPr>
                <w:p w14:paraId="26F0F4D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由太科园电网统一供电</w:t>
                  </w:r>
                </w:p>
              </w:tc>
            </w:tr>
            <w:tr w14:paraId="0975D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5303B24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28A2298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供气</w:t>
                  </w:r>
                </w:p>
              </w:tc>
              <w:tc>
                <w:tcPr>
                  <w:tcW w:w="800" w:type="pct"/>
                  <w:tcBorders>
                    <w:right w:val="single" w:color="000000" w:sz="4" w:space="0"/>
                  </w:tcBorders>
                  <w:vAlign w:val="center"/>
                </w:tcPr>
                <w:p w14:paraId="54BC54B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万m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/a</w:t>
                  </w:r>
                </w:p>
              </w:tc>
              <w:tc>
                <w:tcPr>
                  <w:tcW w:w="819" w:type="pct"/>
                  <w:tcBorders>
                    <w:left w:val="single" w:color="000000" w:sz="4" w:space="0"/>
                    <w:right w:val="single" w:color="000000" w:sz="4" w:space="0"/>
                  </w:tcBorders>
                  <w:vAlign w:val="center"/>
                </w:tcPr>
                <w:p w14:paraId="5BD79C5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万m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/a</w:t>
                  </w:r>
                </w:p>
              </w:tc>
              <w:tc>
                <w:tcPr>
                  <w:tcW w:w="694" w:type="pct"/>
                  <w:tcBorders>
                    <w:left w:val="single" w:color="000000" w:sz="4" w:space="0"/>
                  </w:tcBorders>
                  <w:vAlign w:val="center"/>
                </w:tcPr>
                <w:p w14:paraId="6058949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5D03D6C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食堂用，管道天然气</w:t>
                  </w:r>
                </w:p>
              </w:tc>
            </w:tr>
            <w:tr w14:paraId="04240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367" w:type="pct"/>
                  <w:vMerge w:val="continue"/>
                  <w:vAlign w:val="center"/>
                </w:tcPr>
                <w:p w14:paraId="7A438DB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1AF309E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绿化</w:t>
                  </w:r>
                </w:p>
              </w:tc>
              <w:tc>
                <w:tcPr>
                  <w:tcW w:w="800" w:type="pct"/>
                  <w:tcBorders>
                    <w:right w:val="single" w:color="000000" w:sz="4" w:space="0"/>
                  </w:tcBorders>
                  <w:vAlign w:val="center"/>
                </w:tcPr>
                <w:p w14:paraId="5C34145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1000m</w:t>
                  </w:r>
                  <w:r>
                    <w:rPr>
                      <w:rFonts w:hint="default" w:ascii="Times New Roman" w:hAnsi="Times New Roman" w:eastAsia="宋体" w:cs="Times New Roman"/>
                      <w:color w:val="auto"/>
                      <w:szCs w:val="21"/>
                      <w:highlight w:val="none"/>
                      <w:vertAlign w:val="superscript"/>
                      <w:lang w:val="en-US" w:eastAsia="zh-CN"/>
                    </w:rPr>
                    <w:t>2</w:t>
                  </w:r>
                </w:p>
              </w:tc>
              <w:tc>
                <w:tcPr>
                  <w:tcW w:w="819" w:type="pct"/>
                  <w:tcBorders>
                    <w:left w:val="single" w:color="000000" w:sz="4" w:space="0"/>
                    <w:right w:val="single" w:color="000000" w:sz="4" w:space="0"/>
                  </w:tcBorders>
                  <w:vAlign w:val="center"/>
                </w:tcPr>
                <w:p w14:paraId="630F339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1000m</w:t>
                  </w:r>
                  <w:r>
                    <w:rPr>
                      <w:rFonts w:hint="default" w:ascii="Times New Roman" w:hAnsi="Times New Roman" w:eastAsia="宋体" w:cs="Times New Roman"/>
                      <w:color w:val="auto"/>
                      <w:szCs w:val="21"/>
                      <w:highlight w:val="none"/>
                      <w:vertAlign w:val="superscript"/>
                      <w:lang w:val="en-US" w:eastAsia="zh-CN"/>
                    </w:rPr>
                    <w:t>2</w:t>
                  </w:r>
                </w:p>
              </w:tc>
              <w:tc>
                <w:tcPr>
                  <w:tcW w:w="694" w:type="pct"/>
                  <w:tcBorders>
                    <w:left w:val="single" w:color="000000" w:sz="4" w:space="0"/>
                  </w:tcBorders>
                  <w:vAlign w:val="center"/>
                </w:tcPr>
                <w:p w14:paraId="7089972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w:t>
                  </w:r>
                </w:p>
              </w:tc>
              <w:tc>
                <w:tcPr>
                  <w:tcW w:w="1274" w:type="pct"/>
                  <w:vAlign w:val="center"/>
                </w:tcPr>
                <w:p w14:paraId="4E6993F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依托现有</w:t>
                  </w:r>
                </w:p>
              </w:tc>
            </w:tr>
            <w:tr w14:paraId="0A9B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6B8F94B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18725B9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门卫室</w:t>
                  </w:r>
                </w:p>
              </w:tc>
              <w:tc>
                <w:tcPr>
                  <w:tcW w:w="800" w:type="pct"/>
                  <w:tcBorders>
                    <w:right w:val="single" w:color="000000" w:sz="4" w:space="0"/>
                  </w:tcBorders>
                  <w:vAlign w:val="center"/>
                </w:tcPr>
                <w:p w14:paraId="682CEA9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1层，30m</w:t>
                  </w:r>
                  <w:r>
                    <w:rPr>
                      <w:rFonts w:hint="default" w:ascii="Times New Roman" w:hAnsi="Times New Roman" w:eastAsia="宋体" w:cs="Times New Roman"/>
                      <w:color w:val="auto"/>
                      <w:szCs w:val="21"/>
                      <w:highlight w:val="none"/>
                      <w:vertAlign w:val="superscript"/>
                      <w:lang w:val="en-US" w:eastAsia="zh-CN"/>
                    </w:rPr>
                    <w:t>2</w:t>
                  </w:r>
                </w:p>
              </w:tc>
              <w:tc>
                <w:tcPr>
                  <w:tcW w:w="819" w:type="pct"/>
                  <w:tcBorders>
                    <w:left w:val="single" w:color="000000" w:sz="4" w:space="0"/>
                    <w:right w:val="single" w:color="000000" w:sz="4" w:space="0"/>
                  </w:tcBorders>
                  <w:vAlign w:val="center"/>
                </w:tcPr>
                <w:p w14:paraId="42381A0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1层，30m</w:t>
                  </w:r>
                  <w:r>
                    <w:rPr>
                      <w:rFonts w:hint="default" w:ascii="Times New Roman" w:hAnsi="Times New Roman" w:eastAsia="宋体" w:cs="Times New Roman"/>
                      <w:color w:val="auto"/>
                      <w:szCs w:val="21"/>
                      <w:highlight w:val="none"/>
                      <w:vertAlign w:val="superscript"/>
                      <w:lang w:val="en-US" w:eastAsia="zh-CN"/>
                    </w:rPr>
                    <w:t>2</w:t>
                  </w:r>
                </w:p>
              </w:tc>
              <w:tc>
                <w:tcPr>
                  <w:tcW w:w="694" w:type="pct"/>
                  <w:tcBorders>
                    <w:left w:val="single" w:color="000000" w:sz="4" w:space="0"/>
                  </w:tcBorders>
                  <w:vAlign w:val="center"/>
                </w:tcPr>
                <w:p w14:paraId="3D60B86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1层，30m</w:t>
                  </w:r>
                  <w:r>
                    <w:rPr>
                      <w:rFonts w:hint="default" w:ascii="Times New Roman" w:hAnsi="Times New Roman" w:eastAsia="宋体" w:cs="Times New Roman"/>
                      <w:color w:val="auto"/>
                      <w:szCs w:val="21"/>
                      <w:highlight w:val="none"/>
                      <w:vertAlign w:val="superscript"/>
                      <w:lang w:val="en-US" w:eastAsia="zh-CN"/>
                    </w:rPr>
                    <w:t>2</w:t>
                  </w:r>
                </w:p>
              </w:tc>
              <w:tc>
                <w:tcPr>
                  <w:tcW w:w="1274" w:type="pct"/>
                  <w:vAlign w:val="center"/>
                </w:tcPr>
                <w:p w14:paraId="20EEE68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w:t>
                  </w:r>
                </w:p>
              </w:tc>
            </w:tr>
            <w:tr w14:paraId="6FD2C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16" w:hRule="atLeast"/>
                <w:jc w:val="center"/>
              </w:trPr>
              <w:tc>
                <w:tcPr>
                  <w:tcW w:w="367" w:type="pct"/>
                  <w:vMerge w:val="restart"/>
                  <w:vAlign w:val="center"/>
                </w:tcPr>
                <w:p w14:paraId="6ABA9B3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环保工程</w:t>
                  </w:r>
                </w:p>
              </w:tc>
              <w:tc>
                <w:tcPr>
                  <w:tcW w:w="298" w:type="pct"/>
                  <w:vMerge w:val="restart"/>
                  <w:vAlign w:val="center"/>
                </w:tcPr>
                <w:p w14:paraId="46C3320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废气处理</w:t>
                  </w:r>
                </w:p>
              </w:tc>
              <w:tc>
                <w:tcPr>
                  <w:tcW w:w="744" w:type="pct"/>
                  <w:vAlign w:val="center"/>
                </w:tcPr>
                <w:p w14:paraId="05857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3号楼1#线3D打印</w:t>
                  </w:r>
                  <w:r>
                    <w:rPr>
                      <w:rFonts w:hint="default" w:ascii="Times New Roman" w:hAnsi="Times New Roman" w:eastAsia="宋体" w:cs="Times New Roman"/>
                      <w:color w:val="auto"/>
                      <w:szCs w:val="21"/>
                      <w:highlight w:val="none"/>
                      <w:lang w:val="en-US" w:eastAsia="zh-CN"/>
                    </w:rPr>
                    <w:t>、甩干废气、后处理线废气以及室温搅拌废气和注塑成型废气</w:t>
                  </w:r>
                </w:p>
              </w:tc>
              <w:tc>
                <w:tcPr>
                  <w:tcW w:w="800" w:type="pct"/>
                  <w:tcBorders>
                    <w:right w:val="single" w:color="auto" w:sz="4" w:space="0"/>
                  </w:tcBorders>
                  <w:vAlign w:val="center"/>
                </w:tcPr>
                <w:p w14:paraId="78E079F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一级碱喷淋＋一级水喷淋+除雾器＋二级活性炭吸附装置，风量26000m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left w:val="single" w:color="auto" w:sz="4" w:space="0"/>
                  </w:tcBorders>
                  <w:vAlign w:val="center"/>
                </w:tcPr>
                <w:p w14:paraId="25C99DEE">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一级碱喷淋＋一级水喷淋+除雾器＋二级活性炭吸附装置，风量26000m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auto" w:sz="4" w:space="0"/>
                  </w:tcBorders>
                  <w:vAlign w:val="center"/>
                </w:tcPr>
                <w:p w14:paraId="59DB8654">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不变</w:t>
                  </w:r>
                </w:p>
              </w:tc>
              <w:tc>
                <w:tcPr>
                  <w:tcW w:w="1274" w:type="pct"/>
                  <w:vAlign w:val="center"/>
                </w:tcPr>
                <w:p w14:paraId="729F138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3号楼</w:t>
                  </w:r>
                  <w:r>
                    <w:rPr>
                      <w:rFonts w:hint="default" w:ascii="Times New Roman" w:hAnsi="Times New Roman" w:eastAsia="宋体" w:cs="Times New Roman"/>
                      <w:color w:val="auto"/>
                      <w:szCs w:val="21"/>
                      <w:highlight w:val="none"/>
                      <w:lang w:val="en-US" w:eastAsia="zh-CN"/>
                    </w:rPr>
                    <w:t>3D打印、甩干废气、后处理线以及室温搅拌</w:t>
                  </w:r>
                  <w:r>
                    <w:rPr>
                      <w:rFonts w:hint="eastAsia" w:cs="Times New Roman"/>
                      <w:color w:val="auto"/>
                      <w:szCs w:val="21"/>
                      <w:highlight w:val="none"/>
                      <w:lang w:val="en-US" w:eastAsia="zh-CN"/>
                    </w:rPr>
                    <w:t>已批</w:t>
                  </w:r>
                  <w:r>
                    <w:rPr>
                      <w:rFonts w:hint="eastAsia" w:ascii="Times New Roman" w:hAnsi="Times New Roman" w:eastAsia="宋体" w:cs="Times New Roman"/>
                      <w:color w:val="auto"/>
                      <w:szCs w:val="21"/>
                      <w:highlight w:val="none"/>
                      <w:lang w:val="en-US" w:eastAsia="zh-CN"/>
                    </w:rPr>
                    <w:t>已建</w:t>
                  </w:r>
                  <w:r>
                    <w:rPr>
                      <w:rFonts w:hint="default" w:ascii="Times New Roman" w:hAnsi="Times New Roman" w:eastAsia="宋体" w:cs="Times New Roman"/>
                      <w:color w:val="auto"/>
                      <w:szCs w:val="21"/>
                      <w:highlight w:val="none"/>
                      <w:lang w:val="en-US" w:eastAsia="zh-CN"/>
                    </w:rPr>
                    <w:t>，通过28m高排气筒FQ01排放</w:t>
                  </w:r>
                  <w:r>
                    <w:rPr>
                      <w:rFonts w:hint="eastAsia" w:cs="Times New Roman"/>
                      <w:color w:val="auto"/>
                      <w:szCs w:val="21"/>
                      <w:highlight w:val="none"/>
                      <w:lang w:val="en-US" w:eastAsia="zh-CN"/>
                    </w:rPr>
                    <w:t>；注塑成型生产线已批待建</w:t>
                  </w:r>
                </w:p>
              </w:tc>
            </w:tr>
            <w:tr w14:paraId="73C93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7" w:type="pct"/>
                  <w:vMerge w:val="continue"/>
                  <w:vAlign w:val="center"/>
                </w:tcPr>
                <w:p w14:paraId="52960AD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8B7D67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451BD7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2号楼2#线3D打印</w:t>
                  </w:r>
                  <w:r>
                    <w:rPr>
                      <w:rFonts w:hint="default" w:ascii="Times New Roman" w:hAnsi="Times New Roman" w:eastAsia="宋体" w:cs="Times New Roman"/>
                      <w:color w:val="auto"/>
                      <w:szCs w:val="21"/>
                      <w:highlight w:val="none"/>
                    </w:rPr>
                    <w:t>、甩干、后处理线废气</w:t>
                  </w:r>
                </w:p>
              </w:tc>
              <w:tc>
                <w:tcPr>
                  <w:tcW w:w="800" w:type="pct"/>
                  <w:tcBorders>
                    <w:right w:val="single" w:color="auto" w:sz="4" w:space="0"/>
                  </w:tcBorders>
                  <w:vAlign w:val="center"/>
                </w:tcPr>
                <w:p w14:paraId="19CD771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一级碱喷淋＋一级水喷淋+除雾器＋二级活性炭吸附装置，风量20000m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right w:val="single" w:color="000000" w:sz="4" w:space="0"/>
                  </w:tcBorders>
                  <w:vAlign w:val="center"/>
                </w:tcPr>
                <w:p w14:paraId="784E584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一级碱喷淋＋一级水喷淋+除雾器＋二级活性炭吸附装置，风量20000m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000000" w:sz="4" w:space="0"/>
                  </w:tcBorders>
                  <w:vAlign w:val="center"/>
                </w:tcPr>
                <w:p w14:paraId="09EA9AD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38670DF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已批已建</w:t>
                  </w:r>
                  <w:r>
                    <w:rPr>
                      <w:rFonts w:hint="default" w:ascii="Times New Roman" w:hAnsi="Times New Roman" w:eastAsia="宋体" w:cs="Times New Roman"/>
                      <w:color w:val="auto"/>
                      <w:szCs w:val="21"/>
                      <w:highlight w:val="none"/>
                      <w:lang w:val="en-US" w:eastAsia="zh-CN"/>
                    </w:rPr>
                    <w:t>，通过28m高排气筒FQ02排放</w:t>
                  </w:r>
                </w:p>
              </w:tc>
            </w:tr>
            <w:tr w14:paraId="4BDDF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7" w:type="pct"/>
                  <w:vMerge w:val="continue"/>
                  <w:vAlign w:val="center"/>
                </w:tcPr>
                <w:p w14:paraId="5782DAB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5AB6D3F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523F6E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2号楼3#线3D打印</w:t>
                  </w:r>
                  <w:r>
                    <w:rPr>
                      <w:rFonts w:hint="default" w:ascii="Times New Roman" w:hAnsi="Times New Roman" w:eastAsia="宋体" w:cs="Times New Roman"/>
                      <w:color w:val="auto"/>
                      <w:szCs w:val="21"/>
                      <w:highlight w:val="none"/>
                    </w:rPr>
                    <w:t>、甩干废气、后处理线废气</w:t>
                  </w:r>
                </w:p>
              </w:tc>
              <w:tc>
                <w:tcPr>
                  <w:tcW w:w="800" w:type="pct"/>
                  <w:tcBorders>
                    <w:right w:val="single" w:color="auto" w:sz="4" w:space="0"/>
                  </w:tcBorders>
                  <w:vAlign w:val="center"/>
                </w:tcPr>
                <w:p w14:paraId="3BE60D4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一级碱喷淋＋一级水喷淋+除雾器＋二级活性炭吸附装置，风量20000m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right w:val="single" w:color="000000" w:sz="4" w:space="0"/>
                  </w:tcBorders>
                  <w:vAlign w:val="center"/>
                </w:tcPr>
                <w:p w14:paraId="64192E4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一级碱喷淋＋一级水喷淋+除雾器＋二级活性炭吸附装置，风量20000m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000000" w:sz="4" w:space="0"/>
                  </w:tcBorders>
                  <w:vAlign w:val="center"/>
                </w:tcPr>
                <w:p w14:paraId="5EFF9A2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43A6285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已批待建</w:t>
                  </w:r>
                  <w:r>
                    <w:rPr>
                      <w:rFonts w:hint="default" w:ascii="Times New Roman" w:hAnsi="Times New Roman" w:eastAsia="宋体" w:cs="Times New Roman"/>
                      <w:color w:val="auto"/>
                      <w:szCs w:val="21"/>
                      <w:highlight w:val="none"/>
                      <w:lang w:val="en-US" w:eastAsia="zh-CN"/>
                    </w:rPr>
                    <w:t>，通过28m高排气筒FQ03排放</w:t>
                  </w:r>
                </w:p>
              </w:tc>
            </w:tr>
            <w:tr w14:paraId="511A7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7" w:type="pct"/>
                  <w:vMerge w:val="continue"/>
                  <w:vAlign w:val="center"/>
                </w:tcPr>
                <w:p w14:paraId="431A7ED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7CFE941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745CCB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1号楼4#线3D打印</w:t>
                  </w:r>
                  <w:r>
                    <w:rPr>
                      <w:rFonts w:hint="default" w:ascii="Times New Roman" w:hAnsi="Times New Roman" w:eastAsia="宋体" w:cs="Times New Roman"/>
                      <w:color w:val="auto"/>
                      <w:szCs w:val="21"/>
                      <w:highlight w:val="none"/>
                    </w:rPr>
                    <w:t>、甩干废气、后处理线废气</w:t>
                  </w:r>
                </w:p>
              </w:tc>
              <w:tc>
                <w:tcPr>
                  <w:tcW w:w="800" w:type="pct"/>
                  <w:tcBorders>
                    <w:right w:val="single" w:color="auto" w:sz="4" w:space="0"/>
                  </w:tcBorders>
                  <w:vAlign w:val="center"/>
                </w:tcPr>
                <w:p w14:paraId="5922A54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一级碱喷淋＋一级水喷淋+除雾器＋二级活性炭吸附装置，风量20000m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right w:val="single" w:color="000000" w:sz="4" w:space="0"/>
                  </w:tcBorders>
                  <w:vAlign w:val="center"/>
                </w:tcPr>
                <w:p w14:paraId="48CE4BA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一级碱喷淋＋一级水喷淋+除雾器＋二级活性炭吸附装置，风量20000m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000000" w:sz="4" w:space="0"/>
                  </w:tcBorders>
                  <w:vAlign w:val="center"/>
                </w:tcPr>
                <w:p w14:paraId="36C144EF">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1FE03C4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已批待建</w:t>
                  </w:r>
                  <w:r>
                    <w:rPr>
                      <w:rFonts w:hint="default" w:ascii="Times New Roman" w:hAnsi="Times New Roman" w:eastAsia="宋体" w:cs="Times New Roman"/>
                      <w:color w:val="auto"/>
                      <w:szCs w:val="21"/>
                      <w:highlight w:val="none"/>
                      <w:lang w:val="en-US" w:eastAsia="zh-CN"/>
                    </w:rPr>
                    <w:t>，通过28m高排气筒FQ04排放</w:t>
                  </w:r>
                </w:p>
              </w:tc>
            </w:tr>
            <w:tr w14:paraId="55766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7" w:type="pct"/>
                  <w:vMerge w:val="continue"/>
                  <w:vAlign w:val="center"/>
                </w:tcPr>
                <w:p w14:paraId="794171E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BE7D43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2D5B9C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1号楼5#线3D打印</w:t>
                  </w:r>
                  <w:r>
                    <w:rPr>
                      <w:rFonts w:hint="default" w:ascii="Times New Roman" w:hAnsi="Times New Roman" w:eastAsia="宋体" w:cs="Times New Roman"/>
                      <w:color w:val="auto"/>
                      <w:szCs w:val="21"/>
                      <w:highlight w:val="none"/>
                    </w:rPr>
                    <w:t>、甩干废气、后处理线废气</w:t>
                  </w:r>
                </w:p>
              </w:tc>
              <w:tc>
                <w:tcPr>
                  <w:tcW w:w="800" w:type="pct"/>
                  <w:tcBorders>
                    <w:right w:val="single" w:color="auto" w:sz="4" w:space="0"/>
                  </w:tcBorders>
                  <w:vAlign w:val="center"/>
                </w:tcPr>
                <w:p w14:paraId="3F2C8D2A">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ascii="Times New Roman" w:hAnsi="Times New Roman" w:eastAsia="宋体" w:cs="Times New Roman"/>
                      <w:color w:val="auto"/>
                      <w:szCs w:val="21"/>
                      <w:highlight w:val="none"/>
                      <w:lang w:val="en-US" w:eastAsia="zh-CN"/>
                    </w:rPr>
                    <w:t>26</w:t>
                  </w:r>
                  <w:r>
                    <w:rPr>
                      <w:rFonts w:hint="default" w:ascii="Times New Roman" w:hAnsi="Times New Roman" w:eastAsia="宋体" w:cs="Times New Roman"/>
                      <w:color w:val="auto"/>
                      <w:szCs w:val="21"/>
                      <w:highlight w:val="none"/>
                      <w:lang w:val="en-US" w:eastAsia="zh-CN"/>
                    </w:rPr>
                    <w:t>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right w:val="single" w:color="000000" w:sz="4" w:space="0"/>
                  </w:tcBorders>
                  <w:vAlign w:val="center"/>
                </w:tcPr>
                <w:p w14:paraId="399152E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ascii="Times New Roman" w:hAnsi="Times New Roman" w:eastAsia="宋体" w:cs="Times New Roman"/>
                      <w:color w:val="auto"/>
                      <w:szCs w:val="21"/>
                      <w:highlight w:val="none"/>
                      <w:lang w:val="en-US" w:eastAsia="zh-CN"/>
                    </w:rPr>
                    <w:t>26</w:t>
                  </w:r>
                  <w:r>
                    <w:rPr>
                      <w:rFonts w:hint="default" w:ascii="Times New Roman" w:hAnsi="Times New Roman" w:eastAsia="宋体" w:cs="Times New Roman"/>
                      <w:color w:val="auto"/>
                      <w:szCs w:val="21"/>
                      <w:highlight w:val="none"/>
                      <w:lang w:val="en-US" w:eastAsia="zh-CN"/>
                    </w:rPr>
                    <w:t>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000000" w:sz="4" w:space="0"/>
                  </w:tcBorders>
                  <w:vAlign w:val="center"/>
                </w:tcPr>
                <w:p w14:paraId="43191DB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5E5286B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已批待建</w:t>
                  </w:r>
                  <w:r>
                    <w:rPr>
                      <w:rFonts w:hint="default" w:ascii="Times New Roman" w:hAnsi="Times New Roman" w:eastAsia="宋体" w:cs="Times New Roman"/>
                      <w:color w:val="auto"/>
                      <w:szCs w:val="21"/>
                      <w:highlight w:val="none"/>
                      <w:lang w:val="en-US" w:eastAsia="zh-CN"/>
                    </w:rPr>
                    <w:t>，通过28m高排气筒FQ05排放</w:t>
                  </w:r>
                </w:p>
              </w:tc>
            </w:tr>
            <w:tr w14:paraId="1768D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7" w:type="pct"/>
                  <w:vMerge w:val="continue"/>
                  <w:vAlign w:val="center"/>
                </w:tcPr>
                <w:p w14:paraId="32DA383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1759D0E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4444A4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4号楼6#线3D打印</w:t>
                  </w:r>
                  <w:r>
                    <w:rPr>
                      <w:rFonts w:hint="default" w:ascii="Times New Roman" w:hAnsi="Times New Roman" w:eastAsia="宋体" w:cs="Times New Roman"/>
                      <w:color w:val="auto"/>
                      <w:szCs w:val="21"/>
                      <w:highlight w:val="none"/>
                      <w:lang w:val="en-US" w:eastAsia="zh-CN"/>
                    </w:rPr>
                    <w:t>、甩干废气、后处理线废气</w:t>
                  </w:r>
                </w:p>
              </w:tc>
              <w:tc>
                <w:tcPr>
                  <w:tcW w:w="800" w:type="pct"/>
                  <w:tcBorders>
                    <w:right w:val="single" w:color="auto" w:sz="4" w:space="0"/>
                  </w:tcBorders>
                  <w:vAlign w:val="center"/>
                </w:tcPr>
                <w:p w14:paraId="79FF4D4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一级碱喷淋＋一级水喷淋+除雾器＋二级活性炭吸附装置，风量26000m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right w:val="single" w:color="000000" w:sz="4" w:space="0"/>
                  </w:tcBorders>
                  <w:vAlign w:val="center"/>
                </w:tcPr>
                <w:p w14:paraId="4DC8860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一级碱喷淋＋一级水喷淋+除雾器＋二级活性炭吸附装置，风量26000m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000000" w:sz="4" w:space="0"/>
                  </w:tcBorders>
                  <w:vAlign w:val="center"/>
                </w:tcPr>
                <w:p w14:paraId="4CA8C8D3">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3F7E05A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已批待建</w:t>
                  </w:r>
                  <w:r>
                    <w:rPr>
                      <w:rFonts w:hint="default" w:ascii="Times New Roman" w:hAnsi="Times New Roman" w:eastAsia="宋体" w:cs="Times New Roman"/>
                      <w:color w:val="auto"/>
                      <w:szCs w:val="21"/>
                      <w:highlight w:val="none"/>
                      <w:lang w:val="en-US" w:eastAsia="zh-CN"/>
                    </w:rPr>
                    <w:t>，通过28m高排气筒FQ06排放</w:t>
                  </w:r>
                </w:p>
              </w:tc>
            </w:tr>
            <w:tr w14:paraId="13BF1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7" w:type="pct"/>
                  <w:vMerge w:val="continue"/>
                  <w:vAlign w:val="center"/>
                </w:tcPr>
                <w:p w14:paraId="01DC58E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7BFF8EB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08B04C07">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eastAsia="zh-CN"/>
                    </w:rPr>
                    <w:t>计量配料废气</w:t>
                  </w:r>
                </w:p>
              </w:tc>
              <w:tc>
                <w:tcPr>
                  <w:tcW w:w="800" w:type="pct"/>
                  <w:tcBorders>
                    <w:right w:val="single" w:color="auto" w:sz="4" w:space="0"/>
                  </w:tcBorders>
                  <w:vAlign w:val="center"/>
                </w:tcPr>
                <w:p w14:paraId="00B491D9">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经烟尘净化器处理在车间无组织排放</w:t>
                  </w:r>
                </w:p>
              </w:tc>
              <w:tc>
                <w:tcPr>
                  <w:tcW w:w="819" w:type="pct"/>
                  <w:tcBorders>
                    <w:right w:val="single" w:color="000000" w:sz="4" w:space="0"/>
                  </w:tcBorders>
                  <w:vAlign w:val="center"/>
                </w:tcPr>
                <w:p w14:paraId="399D395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经烟尘净化器处理在车间无组织排放</w:t>
                  </w:r>
                </w:p>
              </w:tc>
              <w:tc>
                <w:tcPr>
                  <w:tcW w:w="694" w:type="pct"/>
                  <w:tcBorders>
                    <w:left w:val="single" w:color="000000" w:sz="4" w:space="0"/>
                  </w:tcBorders>
                  <w:vAlign w:val="center"/>
                </w:tcPr>
                <w:p w14:paraId="7CE92D12">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31A68864">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已批待建</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于</w:t>
                  </w:r>
                  <w:r>
                    <w:rPr>
                      <w:rFonts w:hint="eastAsia" w:ascii="Times New Roman" w:hAnsi="Times New Roman" w:eastAsia="宋体" w:cs="Times New Roman"/>
                      <w:color w:val="auto"/>
                      <w:sz w:val="21"/>
                      <w:szCs w:val="21"/>
                      <w:highlight w:val="none"/>
                      <w:lang w:val="en-US" w:eastAsia="zh-CN"/>
                    </w:rPr>
                    <w:t>车间无组织排放</w:t>
                  </w:r>
                </w:p>
              </w:tc>
            </w:tr>
            <w:tr w14:paraId="21A81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7" w:type="pct"/>
                  <w:vMerge w:val="continue"/>
                  <w:vAlign w:val="center"/>
                </w:tcPr>
                <w:p w14:paraId="7A1F1D9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0006CF6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4AE2752C">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喷涂烘干</w:t>
                  </w:r>
                  <w:r>
                    <w:rPr>
                      <w:rFonts w:hint="eastAsia" w:ascii="Times New Roman" w:hAnsi="Times New Roman" w:eastAsia="宋体" w:cs="Times New Roman"/>
                      <w:color w:val="auto"/>
                      <w:sz w:val="21"/>
                      <w:szCs w:val="21"/>
                      <w:highlight w:val="none"/>
                      <w:lang w:eastAsia="zh-CN"/>
                    </w:rPr>
                    <w:t>废气</w:t>
                  </w:r>
                </w:p>
              </w:tc>
              <w:tc>
                <w:tcPr>
                  <w:tcW w:w="800" w:type="pct"/>
                  <w:vMerge w:val="restart"/>
                  <w:tcBorders>
                    <w:right w:val="single" w:color="auto" w:sz="4" w:space="0"/>
                  </w:tcBorders>
                  <w:vAlign w:val="center"/>
                </w:tcPr>
                <w:p w14:paraId="015504E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ascii="Times New Roman" w:hAnsi="Times New Roman" w:eastAsia="宋体" w:cs="Times New Roman"/>
                      <w:color w:val="auto"/>
                      <w:szCs w:val="21"/>
                      <w:highlight w:val="none"/>
                      <w:lang w:val="en-US" w:eastAsia="zh-CN"/>
                    </w:rPr>
                    <w:t>175</w:t>
                  </w:r>
                  <w:r>
                    <w:rPr>
                      <w:rFonts w:hint="default" w:ascii="Times New Roman" w:hAnsi="Times New Roman" w:eastAsia="宋体" w:cs="Times New Roman"/>
                      <w:color w:val="auto"/>
                      <w:szCs w:val="21"/>
                      <w:highlight w:val="none"/>
                      <w:lang w:val="en-US" w:eastAsia="zh-CN"/>
                    </w:rPr>
                    <w:t>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vMerge w:val="restart"/>
                  <w:tcBorders>
                    <w:right w:val="single" w:color="000000" w:sz="4" w:space="0"/>
                  </w:tcBorders>
                  <w:vAlign w:val="center"/>
                </w:tcPr>
                <w:p w14:paraId="1338A025">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ascii="Times New Roman" w:hAnsi="Times New Roman" w:eastAsia="宋体" w:cs="Times New Roman"/>
                      <w:color w:val="auto"/>
                      <w:szCs w:val="21"/>
                      <w:highlight w:val="none"/>
                      <w:lang w:val="en-US" w:eastAsia="zh-CN"/>
                    </w:rPr>
                    <w:t>175</w:t>
                  </w:r>
                  <w:r>
                    <w:rPr>
                      <w:rFonts w:hint="default" w:ascii="Times New Roman" w:hAnsi="Times New Roman" w:eastAsia="宋体" w:cs="Times New Roman"/>
                      <w:color w:val="auto"/>
                      <w:szCs w:val="21"/>
                      <w:highlight w:val="none"/>
                      <w:lang w:val="en-US" w:eastAsia="zh-CN"/>
                    </w:rPr>
                    <w:t>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vMerge w:val="restart"/>
                  <w:tcBorders>
                    <w:left w:val="single" w:color="000000" w:sz="4" w:space="0"/>
                  </w:tcBorders>
                  <w:vAlign w:val="center"/>
                </w:tcPr>
                <w:p w14:paraId="09FD8E8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依托现有的变频风机</w:t>
                  </w:r>
                </w:p>
              </w:tc>
              <w:tc>
                <w:tcPr>
                  <w:tcW w:w="1274" w:type="pct"/>
                  <w:vMerge w:val="restart"/>
                  <w:vAlign w:val="center"/>
                </w:tcPr>
                <w:p w14:paraId="377467E7">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喷涂烘干、3号楼压膜已批</w:t>
                  </w:r>
                  <w:r>
                    <w:rPr>
                      <w:rFonts w:hint="eastAsia" w:ascii="Times New Roman" w:hAnsi="Times New Roman" w:eastAsia="宋体" w:cs="Times New Roman"/>
                      <w:color w:val="auto"/>
                      <w:sz w:val="21"/>
                      <w:szCs w:val="21"/>
                      <w:highlight w:val="none"/>
                      <w:lang w:val="en-US" w:eastAsia="zh-CN"/>
                    </w:rPr>
                    <w:t>已建，</w:t>
                  </w:r>
                  <w:r>
                    <w:rPr>
                      <w:rFonts w:hint="eastAsia" w:ascii="Times New Roman" w:hAnsi="Times New Roman" w:cs="Times New Roman"/>
                      <w:color w:val="auto"/>
                      <w:sz w:val="21"/>
                      <w:szCs w:val="21"/>
                      <w:highlight w:val="none"/>
                      <w:lang w:val="en-US" w:eastAsia="zh-CN"/>
                    </w:rPr>
                    <w:t>新增</w:t>
                  </w:r>
                  <w:r>
                    <w:rPr>
                      <w:rFonts w:hint="eastAsia" w:ascii="Times New Roman" w:hAnsi="Times New Roman" w:eastAsia="宋体" w:cs="Times New Roman"/>
                      <w:color w:val="auto"/>
                      <w:sz w:val="21"/>
                      <w:szCs w:val="21"/>
                      <w:highlight w:val="none"/>
                      <w:lang w:val="en-US" w:eastAsia="zh-CN"/>
                    </w:rPr>
                    <w:t>3号楼喷涂硅油-脱模剂废气</w:t>
                  </w:r>
                  <w:r>
                    <w:rPr>
                      <w:rFonts w:hint="eastAsia" w:ascii="Times New Roman" w:hAnsi="Times New Roman" w:cs="Times New Roman"/>
                      <w:color w:val="auto"/>
                      <w:sz w:val="21"/>
                      <w:szCs w:val="21"/>
                      <w:highlight w:val="none"/>
                      <w:lang w:val="en-US" w:eastAsia="zh-CN"/>
                    </w:rPr>
                    <w:t>依托已批已建成的</w:t>
                  </w:r>
                  <w:r>
                    <w:rPr>
                      <w:rFonts w:hint="eastAsia" w:ascii="Times New Roman" w:hAnsi="Times New Roman" w:eastAsia="宋体" w:cs="Times New Roman"/>
                      <w:color w:val="auto"/>
                      <w:sz w:val="21"/>
                      <w:szCs w:val="21"/>
                      <w:highlight w:val="none"/>
                      <w:lang w:val="en-US" w:eastAsia="zh-CN"/>
                    </w:rPr>
                    <w:t>28m高排气筒FQ07排放</w:t>
                  </w:r>
                </w:p>
              </w:tc>
            </w:tr>
            <w:tr w14:paraId="14F49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75" w:hRule="atLeast"/>
                <w:jc w:val="center"/>
              </w:trPr>
              <w:tc>
                <w:tcPr>
                  <w:tcW w:w="367" w:type="pct"/>
                  <w:vMerge w:val="continue"/>
                  <w:vAlign w:val="center"/>
                </w:tcPr>
                <w:p w14:paraId="068A549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B5E201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2DB3BDC7">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3号楼</w:t>
                  </w:r>
                  <w:r>
                    <w:rPr>
                      <w:rFonts w:hint="default" w:ascii="Times New Roman" w:hAnsi="Times New Roman" w:eastAsia="宋体" w:cs="Times New Roman"/>
                      <w:color w:val="auto"/>
                      <w:sz w:val="21"/>
                      <w:szCs w:val="21"/>
                      <w:highlight w:val="none"/>
                    </w:rPr>
                    <w:t>压膜废气</w:t>
                  </w:r>
                </w:p>
              </w:tc>
              <w:tc>
                <w:tcPr>
                  <w:tcW w:w="800" w:type="pct"/>
                  <w:vMerge w:val="continue"/>
                  <w:tcBorders>
                    <w:right w:val="single" w:color="auto" w:sz="4" w:space="0"/>
                  </w:tcBorders>
                  <w:vAlign w:val="center"/>
                </w:tcPr>
                <w:p w14:paraId="3D4EEEB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819" w:type="pct"/>
                  <w:vMerge w:val="continue"/>
                  <w:tcBorders>
                    <w:right w:val="single" w:color="000000" w:sz="4" w:space="0"/>
                  </w:tcBorders>
                  <w:vAlign w:val="center"/>
                </w:tcPr>
                <w:p w14:paraId="6CD207A9">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694" w:type="pct"/>
                  <w:vMerge w:val="continue"/>
                  <w:tcBorders>
                    <w:left w:val="single" w:color="000000" w:sz="4" w:space="0"/>
                  </w:tcBorders>
                  <w:vAlign w:val="center"/>
                </w:tcPr>
                <w:p w14:paraId="25A4ACD4">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p>
              </w:tc>
              <w:tc>
                <w:tcPr>
                  <w:tcW w:w="1274" w:type="pct"/>
                  <w:vMerge w:val="continue"/>
                  <w:vAlign w:val="center"/>
                </w:tcPr>
                <w:p w14:paraId="21BF6F89">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6C46C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52" w:hRule="atLeast"/>
                <w:jc w:val="center"/>
              </w:trPr>
              <w:tc>
                <w:tcPr>
                  <w:tcW w:w="367" w:type="pct"/>
                  <w:vMerge w:val="continue"/>
                  <w:vAlign w:val="center"/>
                </w:tcPr>
                <w:p w14:paraId="1A959E2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6CEB7AB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323BA794">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3号楼喷涂硅油-脱模剂</w:t>
                  </w:r>
                  <w:r>
                    <w:rPr>
                      <w:rFonts w:hint="eastAsia" w:ascii="Times New Roman" w:hAnsi="Times New Roman" w:eastAsia="宋体" w:cs="Times New Roman"/>
                      <w:color w:val="auto"/>
                      <w:sz w:val="21"/>
                      <w:szCs w:val="21"/>
                      <w:highlight w:val="none"/>
                      <w:lang w:val="en-US" w:eastAsia="zh-CN"/>
                    </w:rPr>
                    <w:t>废气</w:t>
                  </w:r>
                </w:p>
              </w:tc>
              <w:tc>
                <w:tcPr>
                  <w:tcW w:w="800" w:type="pct"/>
                  <w:tcBorders>
                    <w:right w:val="single" w:color="auto" w:sz="4" w:space="0"/>
                  </w:tcBorders>
                  <w:vAlign w:val="center"/>
                </w:tcPr>
                <w:p w14:paraId="6D5A590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819" w:type="pct"/>
                  <w:vMerge w:val="continue"/>
                  <w:tcBorders>
                    <w:right w:val="single" w:color="000000" w:sz="4" w:space="0"/>
                  </w:tcBorders>
                  <w:vAlign w:val="center"/>
                </w:tcPr>
                <w:p w14:paraId="3EEC4B5D">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694" w:type="pct"/>
                  <w:vMerge w:val="continue"/>
                  <w:tcBorders>
                    <w:left w:val="single" w:color="000000" w:sz="4" w:space="0"/>
                  </w:tcBorders>
                  <w:vAlign w:val="center"/>
                </w:tcPr>
                <w:p w14:paraId="77EECC4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p>
              </w:tc>
              <w:tc>
                <w:tcPr>
                  <w:tcW w:w="1274" w:type="pct"/>
                  <w:vMerge w:val="continue"/>
                  <w:vAlign w:val="center"/>
                </w:tcPr>
                <w:p w14:paraId="480324E6">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73AE2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11" w:hRule="atLeast"/>
                <w:jc w:val="center"/>
              </w:trPr>
              <w:tc>
                <w:tcPr>
                  <w:tcW w:w="367" w:type="pct"/>
                  <w:vMerge w:val="continue"/>
                  <w:vAlign w:val="center"/>
                </w:tcPr>
                <w:p w14:paraId="3731C79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1FC33D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6DC8C23F">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3号楼</w:t>
                  </w:r>
                  <w:r>
                    <w:rPr>
                      <w:rFonts w:hint="default" w:ascii="Times New Roman" w:hAnsi="Times New Roman" w:eastAsia="宋体" w:cs="Times New Roman"/>
                      <w:color w:val="auto"/>
                      <w:sz w:val="21"/>
                      <w:szCs w:val="21"/>
                      <w:highlight w:val="none"/>
                    </w:rPr>
                    <w:t>抛光</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精细抛光</w:t>
                  </w:r>
                  <w:r>
                    <w:rPr>
                      <w:rFonts w:hint="default" w:ascii="Times New Roman" w:hAnsi="Times New Roman" w:eastAsia="宋体" w:cs="Times New Roman"/>
                      <w:color w:val="auto"/>
                      <w:sz w:val="21"/>
                      <w:szCs w:val="21"/>
                      <w:highlight w:val="none"/>
                    </w:rPr>
                    <w:t>粉尘</w:t>
                  </w:r>
                </w:p>
              </w:tc>
              <w:tc>
                <w:tcPr>
                  <w:tcW w:w="800" w:type="pct"/>
                  <w:tcBorders>
                    <w:right w:val="single" w:color="auto" w:sz="4" w:space="0"/>
                  </w:tcBorders>
                  <w:vAlign w:val="center"/>
                </w:tcPr>
                <w:p w14:paraId="265200D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布袋除尘器，风机风量</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819" w:type="pct"/>
                  <w:tcBorders>
                    <w:right w:val="single" w:color="000000" w:sz="4" w:space="0"/>
                  </w:tcBorders>
                  <w:vAlign w:val="center"/>
                </w:tcPr>
                <w:p w14:paraId="5305D100">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布袋除尘器，风机风量</w:t>
                  </w:r>
                  <w:r>
                    <w:rPr>
                      <w:rFonts w:hint="eastAsia" w:cs="Times New Roman"/>
                      <w:color w:val="auto"/>
                      <w:sz w:val="21"/>
                      <w:szCs w:val="21"/>
                      <w:highlight w:val="none"/>
                      <w:lang w:val="en-US" w:eastAsia="zh-CN"/>
                    </w:rPr>
                    <w:t>16000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694" w:type="pct"/>
                  <w:tcBorders>
                    <w:left w:val="single" w:color="000000" w:sz="4" w:space="0"/>
                  </w:tcBorders>
                  <w:vAlign w:val="center"/>
                </w:tcPr>
                <w:p w14:paraId="25000164">
                  <w:pPr>
                    <w:keepNext w:val="0"/>
                    <w:keepLines w:val="0"/>
                    <w:widowControl/>
                    <w:suppressLineNumbers w:val="0"/>
                    <w:spacing w:before="0" w:beforeAutospacing="0" w:after="0" w:afterAutospacing="0" w:line="144" w:lineRule="auto"/>
                    <w:ind w:left="0" w:right="0"/>
                    <w:jc w:val="center"/>
                    <w:rPr>
                      <w:rFonts w:hint="default"/>
                      <w:color w:val="auto"/>
                      <w:highlight w:val="none"/>
                      <w:lang w:val="en-US" w:eastAsia="zh-CN"/>
                    </w:rPr>
                  </w:pPr>
                  <w:r>
                    <w:rPr>
                      <w:rFonts w:hint="eastAsia" w:cs="Times New Roman"/>
                      <w:color w:val="auto"/>
                      <w:kern w:val="2"/>
                      <w:sz w:val="21"/>
                      <w:szCs w:val="21"/>
                      <w:highlight w:val="none"/>
                      <w:lang w:val="en-US" w:eastAsia="zh-CN" w:bidi="ar-SA"/>
                    </w:rPr>
                    <w:t>风机风量</w:t>
                  </w:r>
                  <w:r>
                    <w:rPr>
                      <w:rFonts w:hint="eastAsia"/>
                      <w:color w:val="auto"/>
                      <w:highlight w:val="none"/>
                      <w:lang w:val="en-US" w:eastAsia="zh-CN"/>
                    </w:rPr>
                    <w:t>增加11000m</w:t>
                  </w:r>
                  <w:r>
                    <w:rPr>
                      <w:rFonts w:hint="eastAsia"/>
                      <w:color w:val="auto"/>
                      <w:highlight w:val="none"/>
                      <w:vertAlign w:val="superscript"/>
                      <w:lang w:val="en-US" w:eastAsia="zh-CN"/>
                    </w:rPr>
                    <w:t>3</w:t>
                  </w:r>
                  <w:r>
                    <w:rPr>
                      <w:rFonts w:hint="eastAsia"/>
                      <w:color w:val="auto"/>
                      <w:highlight w:val="none"/>
                      <w:lang w:val="en-US" w:eastAsia="zh-CN"/>
                    </w:rPr>
                    <w:t>/h</w:t>
                  </w:r>
                </w:p>
              </w:tc>
              <w:tc>
                <w:tcPr>
                  <w:tcW w:w="1274" w:type="pct"/>
                  <w:vAlign w:val="center"/>
                </w:tcPr>
                <w:p w14:paraId="540FFAA7">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3号楼抛光已批已建</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新增的3号楼精细抛光废气依托已批已建成的</w:t>
                  </w:r>
                  <w:r>
                    <w:rPr>
                      <w:rFonts w:hint="default" w:ascii="Times New Roman" w:hAnsi="Times New Roman" w:eastAsia="宋体" w:cs="Times New Roman"/>
                      <w:color w:val="auto"/>
                      <w:sz w:val="21"/>
                      <w:szCs w:val="21"/>
                      <w:highlight w:val="none"/>
                      <w:lang w:val="en-US" w:eastAsia="zh-CN"/>
                    </w:rPr>
                    <w:t>28m高排气筒FQ08排放</w:t>
                  </w:r>
                </w:p>
              </w:tc>
            </w:tr>
            <w:tr w14:paraId="2053B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1" w:hRule="atLeast"/>
                <w:jc w:val="center"/>
              </w:trPr>
              <w:tc>
                <w:tcPr>
                  <w:tcW w:w="367" w:type="pct"/>
                  <w:vMerge w:val="continue"/>
                  <w:vAlign w:val="center"/>
                </w:tcPr>
                <w:p w14:paraId="43268C8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54E8B10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241A2F70">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1号楼压膜废气</w:t>
                  </w:r>
                </w:p>
              </w:tc>
              <w:tc>
                <w:tcPr>
                  <w:tcW w:w="800" w:type="pct"/>
                  <w:tcBorders>
                    <w:right w:val="single" w:color="auto" w:sz="4" w:space="0"/>
                  </w:tcBorders>
                  <w:vAlign w:val="center"/>
                </w:tcPr>
                <w:p w14:paraId="3454424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ascii="Times New Roman" w:hAnsi="Times New Roman" w:eastAsia="宋体" w:cs="Times New Roman"/>
                      <w:color w:val="auto"/>
                      <w:szCs w:val="21"/>
                      <w:highlight w:val="none"/>
                      <w:lang w:val="en-US" w:eastAsia="zh-CN"/>
                    </w:rPr>
                    <w:t>60</w:t>
                  </w:r>
                  <w:r>
                    <w:rPr>
                      <w:rFonts w:hint="default" w:ascii="Times New Roman" w:hAnsi="Times New Roman" w:eastAsia="宋体" w:cs="Times New Roman"/>
                      <w:color w:val="auto"/>
                      <w:szCs w:val="21"/>
                      <w:highlight w:val="none"/>
                      <w:lang w:val="en-US" w:eastAsia="zh-CN"/>
                    </w:rPr>
                    <w:t>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vMerge w:val="restart"/>
                  <w:tcBorders>
                    <w:right w:val="single" w:color="000000" w:sz="4" w:space="0"/>
                  </w:tcBorders>
                  <w:vAlign w:val="center"/>
                </w:tcPr>
                <w:p w14:paraId="04E53728">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cs="Times New Roman"/>
                      <w:color w:val="auto"/>
                      <w:szCs w:val="21"/>
                      <w:highlight w:val="none"/>
                      <w:lang w:val="en-US" w:eastAsia="zh-CN"/>
                    </w:rPr>
                    <w:t>7500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vMerge w:val="restart"/>
                  <w:tcBorders>
                    <w:left w:val="single" w:color="000000" w:sz="4" w:space="0"/>
                  </w:tcBorders>
                  <w:vAlign w:val="center"/>
                </w:tcPr>
                <w:p w14:paraId="3CBCBB4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风机风量</w:t>
                  </w:r>
                  <w:r>
                    <w:rPr>
                      <w:rFonts w:hint="eastAsia"/>
                      <w:color w:val="auto"/>
                      <w:highlight w:val="none"/>
                      <w:lang w:val="en-US" w:eastAsia="zh-CN"/>
                    </w:rPr>
                    <w:t>增加1500m</w:t>
                  </w:r>
                  <w:r>
                    <w:rPr>
                      <w:rFonts w:hint="eastAsia"/>
                      <w:color w:val="auto"/>
                      <w:highlight w:val="none"/>
                      <w:vertAlign w:val="superscript"/>
                      <w:lang w:val="en-US" w:eastAsia="zh-CN"/>
                    </w:rPr>
                    <w:t>3</w:t>
                  </w:r>
                  <w:r>
                    <w:rPr>
                      <w:rFonts w:hint="eastAsia"/>
                      <w:color w:val="auto"/>
                      <w:highlight w:val="none"/>
                      <w:lang w:val="en-US" w:eastAsia="zh-CN"/>
                    </w:rPr>
                    <w:t>/h</w:t>
                  </w:r>
                </w:p>
              </w:tc>
              <w:tc>
                <w:tcPr>
                  <w:tcW w:w="1274" w:type="pct"/>
                  <w:vMerge w:val="restart"/>
                  <w:vAlign w:val="center"/>
                </w:tcPr>
                <w:p w14:paraId="6B9B03FB">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1号楼压膜已批待建。本次新增的1号楼喷涂硅油-脱模剂废气依托已批待建的</w:t>
                  </w:r>
                  <w:r>
                    <w:rPr>
                      <w:rFonts w:hint="eastAsia" w:ascii="Times New Roman" w:hAnsi="Times New Roman" w:eastAsia="宋体" w:cs="Times New Roman"/>
                      <w:color w:val="auto"/>
                      <w:sz w:val="21"/>
                      <w:szCs w:val="21"/>
                      <w:highlight w:val="none"/>
                      <w:lang w:val="en-US" w:eastAsia="zh-CN"/>
                    </w:rPr>
                    <w:t>28m高排气筒FQ09排放</w:t>
                  </w:r>
                  <w:r>
                    <w:rPr>
                      <w:rFonts w:hint="eastAsia"/>
                      <w:color w:val="auto"/>
                      <w:highlight w:val="none"/>
                      <w:lang w:eastAsia="zh-CN"/>
                    </w:rPr>
                    <w:t>。</w:t>
                  </w:r>
                </w:p>
              </w:tc>
            </w:tr>
            <w:tr w14:paraId="78F28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78" w:hRule="atLeast"/>
                <w:jc w:val="center"/>
              </w:trPr>
              <w:tc>
                <w:tcPr>
                  <w:tcW w:w="367" w:type="pct"/>
                  <w:vMerge w:val="continue"/>
                  <w:vAlign w:val="center"/>
                </w:tcPr>
                <w:p w14:paraId="0F48098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1C24E2B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0BD604F6">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1号楼喷涂硅油-脱模剂</w:t>
                  </w:r>
                  <w:r>
                    <w:rPr>
                      <w:rFonts w:hint="eastAsia" w:ascii="Times New Roman" w:hAnsi="Times New Roman" w:eastAsia="宋体" w:cs="Times New Roman"/>
                      <w:color w:val="auto"/>
                      <w:sz w:val="21"/>
                      <w:szCs w:val="21"/>
                      <w:highlight w:val="none"/>
                      <w:lang w:val="en-US" w:eastAsia="zh-CN"/>
                    </w:rPr>
                    <w:t>废气</w:t>
                  </w:r>
                </w:p>
              </w:tc>
              <w:tc>
                <w:tcPr>
                  <w:tcW w:w="800" w:type="pct"/>
                  <w:tcBorders>
                    <w:right w:val="single" w:color="auto" w:sz="4" w:space="0"/>
                  </w:tcBorders>
                  <w:vAlign w:val="center"/>
                </w:tcPr>
                <w:p w14:paraId="26CBE84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819" w:type="pct"/>
                  <w:vMerge w:val="continue"/>
                  <w:tcBorders>
                    <w:right w:val="single" w:color="000000" w:sz="4" w:space="0"/>
                  </w:tcBorders>
                  <w:vAlign w:val="center"/>
                </w:tcPr>
                <w:p w14:paraId="0998E0E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694" w:type="pct"/>
                  <w:vMerge w:val="continue"/>
                  <w:tcBorders>
                    <w:left w:val="single" w:color="000000" w:sz="4" w:space="0"/>
                  </w:tcBorders>
                  <w:vAlign w:val="center"/>
                </w:tcPr>
                <w:p w14:paraId="031030E6">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1274" w:type="pct"/>
                  <w:vMerge w:val="continue"/>
                  <w:vAlign w:val="center"/>
                </w:tcPr>
                <w:p w14:paraId="538BB159">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7CBB9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1" w:hRule="atLeast"/>
                <w:jc w:val="center"/>
              </w:trPr>
              <w:tc>
                <w:tcPr>
                  <w:tcW w:w="367" w:type="pct"/>
                  <w:vMerge w:val="continue"/>
                  <w:vAlign w:val="center"/>
                </w:tcPr>
                <w:p w14:paraId="3BF0F19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29F6D7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6B71AB08">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2号楼压膜废气</w:t>
                  </w:r>
                </w:p>
              </w:tc>
              <w:tc>
                <w:tcPr>
                  <w:tcW w:w="800" w:type="pct"/>
                  <w:tcBorders>
                    <w:right w:val="single" w:color="auto" w:sz="4" w:space="0"/>
                  </w:tcBorders>
                  <w:vAlign w:val="center"/>
                </w:tcPr>
                <w:p w14:paraId="67C178F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ascii="Times New Roman" w:hAnsi="Times New Roman" w:eastAsia="宋体" w:cs="Times New Roman"/>
                      <w:color w:val="auto"/>
                      <w:szCs w:val="21"/>
                      <w:highlight w:val="none"/>
                      <w:lang w:val="en-US" w:eastAsia="zh-CN"/>
                    </w:rPr>
                    <w:t>60</w:t>
                  </w:r>
                  <w:r>
                    <w:rPr>
                      <w:rFonts w:hint="default" w:ascii="Times New Roman" w:hAnsi="Times New Roman" w:eastAsia="宋体" w:cs="Times New Roman"/>
                      <w:color w:val="auto"/>
                      <w:szCs w:val="21"/>
                      <w:highlight w:val="none"/>
                      <w:lang w:val="en-US" w:eastAsia="zh-CN"/>
                    </w:rPr>
                    <w:t>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vMerge w:val="restart"/>
                  <w:tcBorders>
                    <w:right w:val="single" w:color="000000" w:sz="4" w:space="0"/>
                  </w:tcBorders>
                  <w:vAlign w:val="center"/>
                </w:tcPr>
                <w:p w14:paraId="595FD795">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cs="Times New Roman"/>
                      <w:color w:val="auto"/>
                      <w:szCs w:val="21"/>
                      <w:highlight w:val="none"/>
                      <w:lang w:val="en-US" w:eastAsia="zh-CN"/>
                    </w:rPr>
                    <w:t>7500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vMerge w:val="restart"/>
                  <w:tcBorders>
                    <w:left w:val="single" w:color="000000" w:sz="4" w:space="0"/>
                  </w:tcBorders>
                  <w:vAlign w:val="center"/>
                </w:tcPr>
                <w:p w14:paraId="071D2C91">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风机风量</w:t>
                  </w:r>
                  <w:r>
                    <w:rPr>
                      <w:rFonts w:hint="eastAsia"/>
                      <w:color w:val="auto"/>
                      <w:highlight w:val="none"/>
                      <w:lang w:val="en-US" w:eastAsia="zh-CN"/>
                    </w:rPr>
                    <w:t>增加1500m</w:t>
                  </w:r>
                  <w:r>
                    <w:rPr>
                      <w:rFonts w:hint="eastAsia"/>
                      <w:color w:val="auto"/>
                      <w:highlight w:val="none"/>
                      <w:vertAlign w:val="superscript"/>
                      <w:lang w:val="en-US" w:eastAsia="zh-CN"/>
                    </w:rPr>
                    <w:t>3</w:t>
                  </w:r>
                  <w:r>
                    <w:rPr>
                      <w:rFonts w:hint="eastAsia"/>
                      <w:color w:val="auto"/>
                      <w:highlight w:val="none"/>
                      <w:lang w:val="en-US" w:eastAsia="zh-CN"/>
                    </w:rPr>
                    <w:t>/h</w:t>
                  </w:r>
                </w:p>
              </w:tc>
              <w:tc>
                <w:tcPr>
                  <w:tcW w:w="1274" w:type="pct"/>
                  <w:vMerge w:val="restart"/>
                  <w:vAlign w:val="center"/>
                </w:tcPr>
                <w:p w14:paraId="79BA4986">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2号楼压膜已批已建</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本次新增的</w:t>
                  </w:r>
                  <w:r>
                    <w:rPr>
                      <w:rFonts w:hint="eastAsia" w:ascii="Times New Roman" w:hAnsi="Times New Roman" w:cs="Times New Roman"/>
                      <w:color w:val="auto"/>
                      <w:sz w:val="21"/>
                      <w:szCs w:val="21"/>
                      <w:highlight w:val="none"/>
                      <w:lang w:val="en-US" w:eastAsia="zh-CN"/>
                    </w:rPr>
                    <w:t>2号楼喷涂硅油-脱模剂</w:t>
                  </w:r>
                  <w:r>
                    <w:rPr>
                      <w:rFonts w:hint="eastAsia"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依托已批已建成的</w:t>
                  </w:r>
                  <w:r>
                    <w:rPr>
                      <w:rFonts w:hint="eastAsia" w:ascii="Times New Roman" w:hAnsi="Times New Roman" w:eastAsia="宋体" w:cs="Times New Roman"/>
                      <w:color w:val="auto"/>
                      <w:sz w:val="21"/>
                      <w:szCs w:val="21"/>
                      <w:highlight w:val="none"/>
                      <w:lang w:val="en-US" w:eastAsia="zh-CN"/>
                    </w:rPr>
                    <w:t>28m高排气筒FQ10排放</w:t>
                  </w:r>
                </w:p>
              </w:tc>
            </w:tr>
            <w:tr w14:paraId="7138B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63" w:hRule="atLeast"/>
                <w:jc w:val="center"/>
              </w:trPr>
              <w:tc>
                <w:tcPr>
                  <w:tcW w:w="367" w:type="pct"/>
                  <w:vMerge w:val="continue"/>
                  <w:vAlign w:val="center"/>
                </w:tcPr>
                <w:p w14:paraId="766CC23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4D3CCE7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1C29FBB6">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2号楼喷涂硅油-脱模剂</w:t>
                  </w:r>
                  <w:r>
                    <w:rPr>
                      <w:rFonts w:hint="eastAsia" w:ascii="Times New Roman" w:hAnsi="Times New Roman" w:eastAsia="宋体" w:cs="Times New Roman"/>
                      <w:color w:val="auto"/>
                      <w:sz w:val="21"/>
                      <w:szCs w:val="21"/>
                      <w:highlight w:val="none"/>
                      <w:lang w:val="en-US" w:eastAsia="zh-CN"/>
                    </w:rPr>
                    <w:t>废气</w:t>
                  </w:r>
                </w:p>
              </w:tc>
              <w:tc>
                <w:tcPr>
                  <w:tcW w:w="800" w:type="pct"/>
                  <w:tcBorders>
                    <w:right w:val="single" w:color="auto" w:sz="4" w:space="0"/>
                  </w:tcBorders>
                  <w:vAlign w:val="center"/>
                </w:tcPr>
                <w:p w14:paraId="412CD42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819" w:type="pct"/>
                  <w:vMerge w:val="continue"/>
                  <w:tcBorders>
                    <w:right w:val="single" w:color="000000" w:sz="4" w:space="0"/>
                  </w:tcBorders>
                  <w:vAlign w:val="center"/>
                </w:tcPr>
                <w:p w14:paraId="2B469F7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694" w:type="pct"/>
                  <w:vMerge w:val="continue"/>
                  <w:tcBorders>
                    <w:left w:val="single" w:color="000000" w:sz="4" w:space="0"/>
                  </w:tcBorders>
                  <w:vAlign w:val="center"/>
                </w:tcPr>
                <w:p w14:paraId="6E0714A4">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1274" w:type="pct"/>
                  <w:vMerge w:val="continue"/>
                  <w:vAlign w:val="center"/>
                </w:tcPr>
                <w:p w14:paraId="2404D578">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76CC5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1" w:hRule="atLeast"/>
                <w:jc w:val="center"/>
              </w:trPr>
              <w:tc>
                <w:tcPr>
                  <w:tcW w:w="367" w:type="pct"/>
                  <w:vMerge w:val="continue"/>
                  <w:vAlign w:val="center"/>
                </w:tcPr>
                <w:p w14:paraId="4CEDF60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30705E4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78E3200F">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4号楼压膜废气</w:t>
                  </w:r>
                </w:p>
              </w:tc>
              <w:tc>
                <w:tcPr>
                  <w:tcW w:w="800" w:type="pct"/>
                  <w:tcBorders>
                    <w:right w:val="single" w:color="auto" w:sz="4" w:space="0"/>
                  </w:tcBorders>
                  <w:vAlign w:val="center"/>
                </w:tcPr>
                <w:p w14:paraId="727532F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ascii="Times New Roman" w:hAnsi="Times New Roman" w:eastAsia="宋体" w:cs="Times New Roman"/>
                      <w:color w:val="auto"/>
                      <w:szCs w:val="21"/>
                      <w:highlight w:val="none"/>
                      <w:lang w:val="en-US" w:eastAsia="zh-CN"/>
                    </w:rPr>
                    <w:t>60</w:t>
                  </w:r>
                  <w:r>
                    <w:rPr>
                      <w:rFonts w:hint="default" w:ascii="Times New Roman" w:hAnsi="Times New Roman" w:eastAsia="宋体" w:cs="Times New Roman"/>
                      <w:color w:val="auto"/>
                      <w:szCs w:val="21"/>
                      <w:highlight w:val="none"/>
                      <w:lang w:val="en-US" w:eastAsia="zh-CN"/>
                    </w:rPr>
                    <w:t>00m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vMerge w:val="restart"/>
                  <w:tcBorders>
                    <w:right w:val="single" w:color="000000" w:sz="4" w:space="0"/>
                  </w:tcBorders>
                  <w:vAlign w:val="center"/>
                </w:tcPr>
                <w:p w14:paraId="0E143D38">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一级碱喷淋＋一级水喷淋+除雾器＋二级活性炭吸附装置，风量</w:t>
                  </w:r>
                  <w:r>
                    <w:rPr>
                      <w:rFonts w:hint="eastAsia" w:cs="Times New Roman"/>
                      <w:color w:val="auto"/>
                      <w:szCs w:val="21"/>
                      <w:highlight w:val="none"/>
                      <w:lang w:val="en-US" w:eastAsia="zh-CN"/>
                    </w:rPr>
                    <w:t>7500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vMerge w:val="restart"/>
                  <w:tcBorders>
                    <w:left w:val="single" w:color="000000" w:sz="4" w:space="0"/>
                  </w:tcBorders>
                  <w:vAlign w:val="center"/>
                </w:tcPr>
                <w:p w14:paraId="592EA731">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风机风量</w:t>
                  </w:r>
                  <w:r>
                    <w:rPr>
                      <w:rFonts w:hint="eastAsia"/>
                      <w:color w:val="auto"/>
                      <w:highlight w:val="none"/>
                      <w:lang w:val="en-US" w:eastAsia="zh-CN"/>
                    </w:rPr>
                    <w:t>增加1500m</w:t>
                  </w:r>
                  <w:r>
                    <w:rPr>
                      <w:rFonts w:hint="eastAsia"/>
                      <w:color w:val="auto"/>
                      <w:highlight w:val="none"/>
                      <w:vertAlign w:val="superscript"/>
                      <w:lang w:val="en-US" w:eastAsia="zh-CN"/>
                    </w:rPr>
                    <w:t>3</w:t>
                  </w:r>
                  <w:r>
                    <w:rPr>
                      <w:rFonts w:hint="eastAsia"/>
                      <w:color w:val="auto"/>
                      <w:highlight w:val="none"/>
                      <w:lang w:val="en-US" w:eastAsia="zh-CN"/>
                    </w:rPr>
                    <w:t>/h</w:t>
                  </w:r>
                </w:p>
              </w:tc>
              <w:tc>
                <w:tcPr>
                  <w:tcW w:w="1274" w:type="pct"/>
                  <w:vMerge w:val="restart"/>
                  <w:vAlign w:val="center"/>
                </w:tcPr>
                <w:p w14:paraId="6DFE5F5A">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4号楼压膜已批待建。本次新增的</w:t>
                  </w:r>
                  <w:r>
                    <w:rPr>
                      <w:rFonts w:hint="eastAsia" w:ascii="Times New Roman" w:hAnsi="Times New Roman" w:cs="Times New Roman"/>
                      <w:color w:val="auto"/>
                      <w:sz w:val="21"/>
                      <w:szCs w:val="21"/>
                      <w:highlight w:val="none"/>
                      <w:lang w:val="en-US" w:eastAsia="zh-CN"/>
                    </w:rPr>
                    <w:t>4号楼喷涂硅油-脱模剂</w:t>
                  </w:r>
                  <w:r>
                    <w:rPr>
                      <w:rFonts w:hint="eastAsia" w:ascii="Times New Roman" w:hAnsi="Times New Roman" w:eastAsia="宋体" w:cs="Times New Roman"/>
                      <w:color w:val="auto"/>
                      <w:sz w:val="21"/>
                      <w:szCs w:val="21"/>
                      <w:highlight w:val="none"/>
                      <w:lang w:val="en-US" w:eastAsia="zh-CN"/>
                    </w:rPr>
                    <w:t>废气</w:t>
                  </w:r>
                  <w:r>
                    <w:rPr>
                      <w:rFonts w:hint="eastAsia" w:cs="Times New Roman"/>
                      <w:color w:val="auto"/>
                      <w:sz w:val="21"/>
                      <w:szCs w:val="21"/>
                      <w:highlight w:val="none"/>
                      <w:lang w:val="en-US" w:eastAsia="zh-CN"/>
                    </w:rPr>
                    <w:t>依托已批待建的</w:t>
                  </w:r>
                  <w:r>
                    <w:rPr>
                      <w:rFonts w:hint="eastAsia" w:ascii="Times New Roman" w:hAnsi="Times New Roman" w:eastAsia="宋体" w:cs="Times New Roman"/>
                      <w:color w:val="auto"/>
                      <w:sz w:val="21"/>
                      <w:szCs w:val="21"/>
                      <w:highlight w:val="none"/>
                      <w:lang w:val="en-US" w:eastAsia="zh-CN"/>
                    </w:rPr>
                    <w:t>28m高排气筒FQ11排放</w:t>
                  </w:r>
                </w:p>
              </w:tc>
            </w:tr>
            <w:tr w14:paraId="4D996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28" w:hRule="atLeast"/>
                <w:jc w:val="center"/>
              </w:trPr>
              <w:tc>
                <w:tcPr>
                  <w:tcW w:w="367" w:type="pct"/>
                  <w:vMerge w:val="continue"/>
                  <w:vAlign w:val="center"/>
                </w:tcPr>
                <w:p w14:paraId="62ACCEB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1B7C652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6948D7C3">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4号楼喷涂硅油-脱模剂</w:t>
                  </w:r>
                  <w:r>
                    <w:rPr>
                      <w:rFonts w:hint="eastAsia" w:ascii="Times New Roman" w:hAnsi="Times New Roman" w:eastAsia="宋体" w:cs="Times New Roman"/>
                      <w:color w:val="auto"/>
                      <w:sz w:val="21"/>
                      <w:szCs w:val="21"/>
                      <w:highlight w:val="none"/>
                      <w:lang w:val="en-US" w:eastAsia="zh-CN"/>
                    </w:rPr>
                    <w:t>废气</w:t>
                  </w:r>
                </w:p>
              </w:tc>
              <w:tc>
                <w:tcPr>
                  <w:tcW w:w="800" w:type="pct"/>
                  <w:tcBorders>
                    <w:right w:val="single" w:color="auto" w:sz="4" w:space="0"/>
                  </w:tcBorders>
                  <w:vAlign w:val="center"/>
                </w:tcPr>
                <w:p w14:paraId="1E418EA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819" w:type="pct"/>
                  <w:vMerge w:val="continue"/>
                  <w:tcBorders>
                    <w:right w:val="single" w:color="000000" w:sz="4" w:space="0"/>
                  </w:tcBorders>
                  <w:vAlign w:val="center"/>
                </w:tcPr>
                <w:p w14:paraId="6174962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694" w:type="pct"/>
                  <w:vMerge w:val="continue"/>
                  <w:tcBorders>
                    <w:left w:val="single" w:color="000000" w:sz="4" w:space="0"/>
                  </w:tcBorders>
                  <w:vAlign w:val="center"/>
                </w:tcPr>
                <w:p w14:paraId="03C0205A">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1274" w:type="pct"/>
                  <w:vMerge w:val="continue"/>
                  <w:vAlign w:val="center"/>
                </w:tcPr>
                <w:p w14:paraId="4E02A0E2">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p>
              </w:tc>
            </w:tr>
            <w:tr w14:paraId="7EDBA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3" w:hRule="atLeast"/>
                <w:jc w:val="center"/>
              </w:trPr>
              <w:tc>
                <w:tcPr>
                  <w:tcW w:w="367" w:type="pct"/>
                  <w:vMerge w:val="continue"/>
                  <w:vAlign w:val="center"/>
                </w:tcPr>
                <w:p w14:paraId="46CD9FB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107A6CA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5BA4A4C8">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1号楼抛光</w:t>
                  </w:r>
                  <w:r>
                    <w:rPr>
                      <w:rFonts w:hint="eastAsia" w:ascii="Times New Roman" w:hAnsi="Times New Roman" w:cs="Times New Roman"/>
                      <w:color w:val="auto"/>
                      <w:sz w:val="21"/>
                      <w:szCs w:val="21"/>
                      <w:highlight w:val="none"/>
                      <w:lang w:val="en-US" w:eastAsia="zh-CN"/>
                    </w:rPr>
                    <w:t>、精细抛光</w:t>
                  </w:r>
                  <w:r>
                    <w:rPr>
                      <w:rFonts w:hint="eastAsia" w:ascii="Times New Roman" w:hAnsi="Times New Roman" w:eastAsia="宋体" w:cs="Times New Roman"/>
                      <w:color w:val="auto"/>
                      <w:sz w:val="21"/>
                      <w:szCs w:val="21"/>
                      <w:highlight w:val="none"/>
                      <w:lang w:val="en-US" w:eastAsia="zh-CN"/>
                    </w:rPr>
                    <w:t>废气</w:t>
                  </w:r>
                </w:p>
              </w:tc>
              <w:tc>
                <w:tcPr>
                  <w:tcW w:w="800" w:type="pct"/>
                  <w:tcBorders>
                    <w:right w:val="single" w:color="auto" w:sz="4" w:space="0"/>
                  </w:tcBorders>
                  <w:vAlign w:val="center"/>
                </w:tcPr>
                <w:p w14:paraId="720159C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布袋除尘器，风机风量</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819" w:type="pct"/>
                  <w:tcBorders>
                    <w:right w:val="single" w:color="000000" w:sz="4" w:space="0"/>
                  </w:tcBorders>
                  <w:vAlign w:val="center"/>
                </w:tcPr>
                <w:p w14:paraId="7C83DA51">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布袋除尘器，风机风量</w:t>
                  </w:r>
                  <w:r>
                    <w:rPr>
                      <w:rFonts w:hint="eastAsia" w:cs="Times New Roman"/>
                      <w:color w:val="auto"/>
                      <w:sz w:val="21"/>
                      <w:szCs w:val="21"/>
                      <w:highlight w:val="none"/>
                      <w:lang w:val="en-US" w:eastAsia="zh-CN"/>
                    </w:rPr>
                    <w:t>16000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694" w:type="pct"/>
                  <w:tcBorders>
                    <w:left w:val="single" w:color="000000" w:sz="4" w:space="0"/>
                  </w:tcBorders>
                  <w:vAlign w:val="center"/>
                </w:tcPr>
                <w:p w14:paraId="27C172B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风机风量</w:t>
                  </w:r>
                  <w:r>
                    <w:rPr>
                      <w:rFonts w:hint="eastAsia"/>
                      <w:color w:val="auto"/>
                      <w:highlight w:val="none"/>
                      <w:lang w:val="en-US" w:eastAsia="zh-CN"/>
                    </w:rPr>
                    <w:t>增加11000m</w:t>
                  </w:r>
                  <w:r>
                    <w:rPr>
                      <w:rFonts w:hint="eastAsia"/>
                      <w:color w:val="auto"/>
                      <w:highlight w:val="none"/>
                      <w:vertAlign w:val="superscript"/>
                      <w:lang w:val="en-US" w:eastAsia="zh-CN"/>
                    </w:rPr>
                    <w:t>3</w:t>
                  </w:r>
                  <w:r>
                    <w:rPr>
                      <w:rFonts w:hint="eastAsia"/>
                      <w:color w:val="auto"/>
                      <w:highlight w:val="none"/>
                      <w:lang w:val="en-US" w:eastAsia="zh-CN"/>
                    </w:rPr>
                    <w:t>/h</w:t>
                  </w:r>
                </w:p>
              </w:tc>
              <w:tc>
                <w:tcPr>
                  <w:tcW w:w="1274" w:type="pct"/>
                  <w:vAlign w:val="center"/>
                </w:tcPr>
                <w:p w14:paraId="4F36AA0B">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1号楼抛光已批待建，本次新增的1号楼精细抛光废气依托已批待建的</w:t>
                  </w:r>
                  <w:r>
                    <w:rPr>
                      <w:rFonts w:hint="eastAsia" w:ascii="Times New Roman" w:hAnsi="Times New Roman" w:eastAsia="宋体" w:cs="Times New Roman"/>
                      <w:color w:val="auto"/>
                      <w:sz w:val="21"/>
                      <w:szCs w:val="21"/>
                      <w:highlight w:val="none"/>
                      <w:lang w:val="en-US" w:eastAsia="zh-CN"/>
                    </w:rPr>
                    <w:t>28m高排气筒FQ12排放</w:t>
                  </w:r>
                </w:p>
              </w:tc>
            </w:tr>
            <w:tr w14:paraId="14213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7" w:type="pct"/>
                  <w:vMerge w:val="continue"/>
                  <w:vAlign w:val="center"/>
                </w:tcPr>
                <w:p w14:paraId="35F4D02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7FCC5F6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1DB59B5C">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2号楼抛光</w:t>
                  </w:r>
                  <w:r>
                    <w:rPr>
                      <w:rFonts w:hint="eastAsia" w:ascii="Times New Roman" w:hAnsi="Times New Roman" w:cs="Times New Roman"/>
                      <w:color w:val="auto"/>
                      <w:sz w:val="21"/>
                      <w:szCs w:val="21"/>
                      <w:highlight w:val="none"/>
                      <w:lang w:val="en-US" w:eastAsia="zh-CN"/>
                    </w:rPr>
                    <w:t>、精细抛光</w:t>
                  </w:r>
                  <w:r>
                    <w:rPr>
                      <w:rFonts w:hint="eastAsia" w:ascii="Times New Roman" w:hAnsi="Times New Roman" w:eastAsia="宋体" w:cs="Times New Roman"/>
                      <w:color w:val="auto"/>
                      <w:sz w:val="21"/>
                      <w:szCs w:val="21"/>
                      <w:highlight w:val="none"/>
                      <w:lang w:val="en-US" w:eastAsia="zh-CN"/>
                    </w:rPr>
                    <w:t>废气</w:t>
                  </w:r>
                </w:p>
              </w:tc>
              <w:tc>
                <w:tcPr>
                  <w:tcW w:w="800" w:type="pct"/>
                  <w:tcBorders>
                    <w:right w:val="single" w:color="auto" w:sz="4" w:space="0"/>
                  </w:tcBorders>
                  <w:vAlign w:val="center"/>
                </w:tcPr>
                <w:p w14:paraId="5DD38D2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布袋除尘器，风机风量</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819" w:type="pct"/>
                  <w:tcBorders>
                    <w:right w:val="single" w:color="000000" w:sz="4" w:space="0"/>
                  </w:tcBorders>
                  <w:vAlign w:val="center"/>
                </w:tcPr>
                <w:p w14:paraId="7729AD1D">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布袋除尘器，风机风量</w:t>
                  </w:r>
                  <w:r>
                    <w:rPr>
                      <w:rFonts w:hint="eastAsia" w:cs="Times New Roman"/>
                      <w:color w:val="auto"/>
                      <w:sz w:val="21"/>
                      <w:szCs w:val="21"/>
                      <w:highlight w:val="none"/>
                      <w:lang w:val="en-US" w:eastAsia="zh-CN"/>
                    </w:rPr>
                    <w:t>16000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694" w:type="pct"/>
                  <w:tcBorders>
                    <w:left w:val="single" w:color="000000" w:sz="4" w:space="0"/>
                  </w:tcBorders>
                  <w:vAlign w:val="center"/>
                </w:tcPr>
                <w:p w14:paraId="6312F48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风机风量</w:t>
                  </w:r>
                  <w:r>
                    <w:rPr>
                      <w:rFonts w:hint="eastAsia"/>
                      <w:color w:val="auto"/>
                      <w:highlight w:val="none"/>
                      <w:lang w:val="en-US" w:eastAsia="zh-CN"/>
                    </w:rPr>
                    <w:t>增加11000m</w:t>
                  </w:r>
                  <w:r>
                    <w:rPr>
                      <w:rFonts w:hint="eastAsia"/>
                      <w:color w:val="auto"/>
                      <w:highlight w:val="none"/>
                      <w:vertAlign w:val="superscript"/>
                      <w:lang w:val="en-US" w:eastAsia="zh-CN"/>
                    </w:rPr>
                    <w:t>3</w:t>
                  </w:r>
                  <w:r>
                    <w:rPr>
                      <w:rFonts w:hint="eastAsia"/>
                      <w:color w:val="auto"/>
                      <w:highlight w:val="none"/>
                      <w:lang w:val="en-US" w:eastAsia="zh-CN"/>
                    </w:rPr>
                    <w:t>/h</w:t>
                  </w:r>
                </w:p>
              </w:tc>
              <w:tc>
                <w:tcPr>
                  <w:tcW w:w="1274" w:type="pct"/>
                  <w:vAlign w:val="center"/>
                </w:tcPr>
                <w:p w14:paraId="045AE5EB">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2号楼抛光</w:t>
                  </w:r>
                  <w:r>
                    <w:rPr>
                      <w:rFonts w:hint="eastAsia" w:ascii="Times New Roman" w:hAnsi="Times New Roman" w:eastAsia="宋体" w:cs="Times New Roman"/>
                      <w:color w:val="auto"/>
                      <w:sz w:val="21"/>
                      <w:szCs w:val="21"/>
                      <w:highlight w:val="none"/>
                      <w:lang w:val="en-US" w:eastAsia="zh-CN"/>
                    </w:rPr>
                    <w:t>已建成，</w:t>
                  </w:r>
                  <w:r>
                    <w:rPr>
                      <w:rFonts w:hint="eastAsia" w:cs="Times New Roman"/>
                      <w:color w:val="auto"/>
                      <w:sz w:val="21"/>
                      <w:szCs w:val="21"/>
                      <w:highlight w:val="none"/>
                      <w:lang w:val="en-US" w:eastAsia="zh-CN"/>
                    </w:rPr>
                    <w:t>依托已批已建成的</w:t>
                  </w:r>
                  <w:r>
                    <w:rPr>
                      <w:rFonts w:hint="eastAsia" w:ascii="Times New Roman" w:hAnsi="Times New Roman" w:eastAsia="宋体" w:cs="Times New Roman"/>
                      <w:color w:val="auto"/>
                      <w:sz w:val="21"/>
                      <w:szCs w:val="21"/>
                      <w:highlight w:val="none"/>
                      <w:lang w:val="en-US" w:eastAsia="zh-CN"/>
                    </w:rPr>
                    <w:t>28m高排气筒FQ13排放</w:t>
                  </w:r>
                </w:p>
              </w:tc>
            </w:tr>
            <w:tr w14:paraId="63CC2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3" w:hRule="atLeast"/>
                <w:jc w:val="center"/>
              </w:trPr>
              <w:tc>
                <w:tcPr>
                  <w:tcW w:w="367" w:type="pct"/>
                  <w:vMerge w:val="continue"/>
                  <w:vAlign w:val="center"/>
                </w:tcPr>
                <w:p w14:paraId="50E6484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0A974E5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15F1AD04">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4号楼抛光</w:t>
                  </w:r>
                  <w:r>
                    <w:rPr>
                      <w:rFonts w:hint="eastAsia" w:ascii="Times New Roman" w:hAnsi="Times New Roman" w:cs="Times New Roman"/>
                      <w:color w:val="auto"/>
                      <w:sz w:val="21"/>
                      <w:szCs w:val="21"/>
                      <w:highlight w:val="none"/>
                      <w:lang w:val="en-US" w:eastAsia="zh-CN"/>
                    </w:rPr>
                    <w:t>、精细抛光</w:t>
                  </w:r>
                  <w:r>
                    <w:rPr>
                      <w:rFonts w:hint="eastAsia" w:ascii="Times New Roman" w:hAnsi="Times New Roman" w:eastAsia="宋体" w:cs="Times New Roman"/>
                      <w:color w:val="auto"/>
                      <w:sz w:val="21"/>
                      <w:szCs w:val="21"/>
                      <w:highlight w:val="none"/>
                      <w:lang w:val="en-US" w:eastAsia="zh-CN"/>
                    </w:rPr>
                    <w:t>废气</w:t>
                  </w:r>
                </w:p>
              </w:tc>
              <w:tc>
                <w:tcPr>
                  <w:tcW w:w="800" w:type="pct"/>
                  <w:tcBorders>
                    <w:right w:val="single" w:color="auto" w:sz="4" w:space="0"/>
                  </w:tcBorders>
                  <w:vAlign w:val="center"/>
                </w:tcPr>
                <w:p w14:paraId="31C6D7D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布袋除尘器，风机风量</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819" w:type="pct"/>
                  <w:tcBorders>
                    <w:right w:val="single" w:color="000000" w:sz="4" w:space="0"/>
                  </w:tcBorders>
                  <w:vAlign w:val="center"/>
                </w:tcPr>
                <w:p w14:paraId="51FCA491">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布袋除尘器，风机风量</w:t>
                  </w:r>
                  <w:r>
                    <w:rPr>
                      <w:rFonts w:hint="eastAsia" w:cs="Times New Roman"/>
                      <w:color w:val="auto"/>
                      <w:sz w:val="21"/>
                      <w:szCs w:val="21"/>
                      <w:highlight w:val="none"/>
                      <w:lang w:val="en-US" w:eastAsia="zh-CN"/>
                    </w:rPr>
                    <w:t>16000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c>
                <w:tcPr>
                  <w:tcW w:w="694" w:type="pct"/>
                  <w:tcBorders>
                    <w:left w:val="single" w:color="000000" w:sz="4" w:space="0"/>
                  </w:tcBorders>
                  <w:vAlign w:val="center"/>
                </w:tcPr>
                <w:p w14:paraId="54F483D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风机风量</w:t>
                  </w:r>
                  <w:r>
                    <w:rPr>
                      <w:rFonts w:hint="eastAsia"/>
                      <w:color w:val="auto"/>
                      <w:highlight w:val="none"/>
                      <w:lang w:val="en-US" w:eastAsia="zh-CN"/>
                    </w:rPr>
                    <w:t>增加11000m</w:t>
                  </w:r>
                  <w:r>
                    <w:rPr>
                      <w:rFonts w:hint="eastAsia"/>
                      <w:color w:val="auto"/>
                      <w:highlight w:val="none"/>
                      <w:vertAlign w:val="superscript"/>
                      <w:lang w:val="en-US" w:eastAsia="zh-CN"/>
                    </w:rPr>
                    <w:t>3</w:t>
                  </w:r>
                  <w:r>
                    <w:rPr>
                      <w:rFonts w:hint="eastAsia"/>
                      <w:color w:val="auto"/>
                      <w:highlight w:val="none"/>
                      <w:lang w:val="en-US" w:eastAsia="zh-CN"/>
                    </w:rPr>
                    <w:t>/h</w:t>
                  </w:r>
                </w:p>
              </w:tc>
              <w:tc>
                <w:tcPr>
                  <w:tcW w:w="1274" w:type="pct"/>
                  <w:vAlign w:val="center"/>
                </w:tcPr>
                <w:p w14:paraId="699FD33A">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4号楼抛光已批待建。本次新增的4号楼精细抛光依托已批待建的</w:t>
                  </w:r>
                  <w:r>
                    <w:rPr>
                      <w:rFonts w:hint="eastAsia" w:ascii="Times New Roman" w:hAnsi="Times New Roman" w:eastAsia="宋体" w:cs="Times New Roman"/>
                      <w:color w:val="auto"/>
                      <w:sz w:val="21"/>
                      <w:szCs w:val="21"/>
                      <w:highlight w:val="none"/>
                      <w:lang w:val="en-US" w:eastAsia="zh-CN"/>
                    </w:rPr>
                    <w:t>28m高排气筒FQ14排放</w:t>
                  </w:r>
                </w:p>
              </w:tc>
            </w:tr>
            <w:tr w14:paraId="32131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7" w:type="pct"/>
                  <w:vMerge w:val="continue"/>
                  <w:vAlign w:val="center"/>
                </w:tcPr>
                <w:p w14:paraId="3ED13AE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76EFB18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0E5161EA">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1号楼</w:t>
                  </w:r>
                  <w:r>
                    <w:rPr>
                      <w:rFonts w:hint="default" w:ascii="Times New Roman" w:hAnsi="Times New Roman" w:eastAsia="宋体" w:cs="Times New Roman"/>
                      <w:color w:val="auto"/>
                      <w:sz w:val="21"/>
                      <w:szCs w:val="21"/>
                      <w:highlight w:val="none"/>
                      <w:lang w:val="en-US" w:eastAsia="zh-CN"/>
                    </w:rPr>
                    <w:t>激光切割废气</w:t>
                  </w:r>
                </w:p>
              </w:tc>
              <w:tc>
                <w:tcPr>
                  <w:tcW w:w="800" w:type="pct"/>
                  <w:tcBorders>
                    <w:right w:val="single" w:color="auto" w:sz="4" w:space="0"/>
                  </w:tcBorders>
                  <w:vAlign w:val="center"/>
                </w:tcPr>
                <w:p w14:paraId="5E5BD225">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一级碱喷淋+一级水喷淋+</w:t>
                  </w:r>
                  <w:r>
                    <w:rPr>
                      <w:rFonts w:hint="eastAsia" w:cs="Times New Roman"/>
                      <w:color w:val="auto"/>
                      <w:szCs w:val="21"/>
                      <w:highlight w:val="none"/>
                      <w:lang w:val="en-US" w:eastAsia="zh-CN"/>
                    </w:rPr>
                    <w:t>除雾器+</w:t>
                  </w:r>
                  <w:r>
                    <w:rPr>
                      <w:rFonts w:hint="eastAsia" w:ascii="Times New Roman" w:hAnsi="Times New Roman" w:eastAsia="宋体" w:cs="Times New Roman"/>
                      <w:color w:val="auto"/>
                      <w:szCs w:val="21"/>
                      <w:highlight w:val="none"/>
                      <w:lang w:val="en-US" w:eastAsia="zh-CN"/>
                    </w:rPr>
                    <w:t>二级活性炭</w:t>
                  </w:r>
                  <w:r>
                    <w:rPr>
                      <w:rFonts w:hint="default" w:ascii="Times New Roman" w:hAnsi="Times New Roman" w:eastAsia="宋体" w:cs="Times New Roman"/>
                      <w:color w:val="auto"/>
                      <w:szCs w:val="21"/>
                      <w:highlight w:val="none"/>
                      <w:lang w:val="en-US" w:eastAsia="zh-CN"/>
                    </w:rPr>
                    <w:t>吸附装置，风量</w:t>
                  </w:r>
                  <w:r>
                    <w:rPr>
                      <w:rFonts w:hint="eastAsia" w:ascii="Times New Roman" w:hAnsi="Times New Roman" w:eastAsia="宋体" w:cs="Times New Roman"/>
                      <w:color w:val="auto"/>
                      <w:szCs w:val="21"/>
                      <w:highlight w:val="none"/>
                      <w:lang w:val="en-US" w:eastAsia="zh-CN"/>
                    </w:rPr>
                    <w:t>15000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right w:val="single" w:color="000000" w:sz="4" w:space="0"/>
                  </w:tcBorders>
                  <w:vAlign w:val="center"/>
                </w:tcPr>
                <w:p w14:paraId="0AE70E7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一级碱喷淋+一级水喷淋+</w:t>
                  </w:r>
                  <w:r>
                    <w:rPr>
                      <w:rFonts w:hint="eastAsia" w:cs="Times New Roman"/>
                      <w:color w:val="auto"/>
                      <w:szCs w:val="21"/>
                      <w:highlight w:val="none"/>
                      <w:lang w:val="en-US" w:eastAsia="zh-CN"/>
                    </w:rPr>
                    <w:t>除雾器+</w:t>
                  </w:r>
                  <w:r>
                    <w:rPr>
                      <w:rFonts w:hint="eastAsia" w:ascii="Times New Roman" w:hAnsi="Times New Roman" w:eastAsia="宋体" w:cs="Times New Roman"/>
                      <w:color w:val="auto"/>
                      <w:szCs w:val="21"/>
                      <w:highlight w:val="none"/>
                      <w:lang w:val="en-US" w:eastAsia="zh-CN"/>
                    </w:rPr>
                    <w:t>二级活性炭</w:t>
                  </w:r>
                  <w:r>
                    <w:rPr>
                      <w:rFonts w:hint="default" w:ascii="Times New Roman" w:hAnsi="Times New Roman" w:eastAsia="宋体" w:cs="Times New Roman"/>
                      <w:color w:val="auto"/>
                      <w:szCs w:val="21"/>
                      <w:highlight w:val="none"/>
                      <w:lang w:val="en-US" w:eastAsia="zh-CN"/>
                    </w:rPr>
                    <w:t>吸附装置，风量</w:t>
                  </w:r>
                  <w:r>
                    <w:rPr>
                      <w:rFonts w:hint="eastAsia" w:ascii="Times New Roman" w:hAnsi="Times New Roman" w:eastAsia="宋体" w:cs="Times New Roman"/>
                      <w:color w:val="auto"/>
                      <w:szCs w:val="21"/>
                      <w:highlight w:val="none"/>
                      <w:lang w:val="en-US" w:eastAsia="zh-CN"/>
                    </w:rPr>
                    <w:t>15000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000000" w:sz="4" w:space="0"/>
                  </w:tcBorders>
                  <w:vAlign w:val="center"/>
                </w:tcPr>
                <w:p w14:paraId="0A8A82E9">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6193AAB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已批待建</w:t>
                  </w:r>
                  <w:r>
                    <w:rPr>
                      <w:rFonts w:hint="eastAsia" w:ascii="Times New Roman" w:hAnsi="Times New Roman" w:eastAsia="宋体" w:cs="Times New Roman"/>
                      <w:color w:val="auto"/>
                      <w:szCs w:val="21"/>
                      <w:highlight w:val="none"/>
                      <w:lang w:val="en-US" w:eastAsia="zh-CN"/>
                    </w:rPr>
                    <w:t>，通过28m高排气筒FQ15排放</w:t>
                  </w:r>
                </w:p>
              </w:tc>
            </w:tr>
            <w:tr w14:paraId="683CF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7" w:type="pct"/>
                  <w:vMerge w:val="continue"/>
                  <w:vAlign w:val="center"/>
                </w:tcPr>
                <w:p w14:paraId="3F29156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08AF4D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6AA38DDA">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2号楼</w:t>
                  </w:r>
                  <w:r>
                    <w:rPr>
                      <w:rFonts w:hint="default" w:ascii="Times New Roman" w:hAnsi="Times New Roman" w:eastAsia="宋体" w:cs="Times New Roman"/>
                      <w:color w:val="auto"/>
                      <w:sz w:val="21"/>
                      <w:szCs w:val="21"/>
                      <w:highlight w:val="none"/>
                      <w:lang w:val="en-US" w:eastAsia="zh-CN"/>
                    </w:rPr>
                    <w:t>激光切割废气</w:t>
                  </w:r>
                </w:p>
              </w:tc>
              <w:tc>
                <w:tcPr>
                  <w:tcW w:w="800" w:type="pct"/>
                  <w:tcBorders>
                    <w:right w:val="single" w:color="auto" w:sz="4" w:space="0"/>
                  </w:tcBorders>
                  <w:vAlign w:val="center"/>
                </w:tcPr>
                <w:p w14:paraId="320D788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一级碱喷淋+一级水喷淋+</w:t>
                  </w:r>
                  <w:r>
                    <w:rPr>
                      <w:rFonts w:hint="eastAsia" w:cs="Times New Roman"/>
                      <w:color w:val="auto"/>
                      <w:szCs w:val="21"/>
                      <w:highlight w:val="none"/>
                      <w:lang w:val="en-US" w:eastAsia="zh-CN"/>
                    </w:rPr>
                    <w:t>除雾器+</w:t>
                  </w:r>
                  <w:r>
                    <w:rPr>
                      <w:rFonts w:hint="eastAsia" w:ascii="Times New Roman" w:hAnsi="Times New Roman" w:eastAsia="宋体" w:cs="Times New Roman"/>
                      <w:color w:val="auto"/>
                      <w:szCs w:val="21"/>
                      <w:highlight w:val="none"/>
                      <w:lang w:val="en-US" w:eastAsia="zh-CN"/>
                    </w:rPr>
                    <w:t>二级活性炭</w:t>
                  </w:r>
                  <w:r>
                    <w:rPr>
                      <w:rFonts w:hint="default" w:ascii="Times New Roman" w:hAnsi="Times New Roman" w:eastAsia="宋体" w:cs="Times New Roman"/>
                      <w:color w:val="auto"/>
                      <w:szCs w:val="21"/>
                      <w:highlight w:val="none"/>
                      <w:lang w:val="en-US" w:eastAsia="zh-CN"/>
                    </w:rPr>
                    <w:t>吸附装置，风量</w:t>
                  </w:r>
                  <w:r>
                    <w:rPr>
                      <w:rFonts w:hint="eastAsia" w:ascii="Times New Roman" w:hAnsi="Times New Roman" w:eastAsia="宋体" w:cs="Times New Roman"/>
                      <w:color w:val="auto"/>
                      <w:szCs w:val="21"/>
                      <w:highlight w:val="none"/>
                      <w:lang w:val="en-US" w:eastAsia="zh-CN"/>
                    </w:rPr>
                    <w:t>15000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right w:val="single" w:color="000000" w:sz="4" w:space="0"/>
                  </w:tcBorders>
                  <w:vAlign w:val="center"/>
                </w:tcPr>
                <w:p w14:paraId="253E115D">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一级碱喷淋+一级水喷淋+</w:t>
                  </w:r>
                  <w:r>
                    <w:rPr>
                      <w:rFonts w:hint="eastAsia" w:cs="Times New Roman"/>
                      <w:color w:val="auto"/>
                      <w:szCs w:val="21"/>
                      <w:highlight w:val="none"/>
                      <w:lang w:val="en-US" w:eastAsia="zh-CN"/>
                    </w:rPr>
                    <w:t>除雾器+</w:t>
                  </w:r>
                  <w:r>
                    <w:rPr>
                      <w:rFonts w:hint="eastAsia" w:ascii="Times New Roman" w:hAnsi="Times New Roman" w:eastAsia="宋体" w:cs="Times New Roman"/>
                      <w:color w:val="auto"/>
                      <w:szCs w:val="21"/>
                      <w:highlight w:val="none"/>
                      <w:lang w:val="en-US" w:eastAsia="zh-CN"/>
                    </w:rPr>
                    <w:t>二级活性炭</w:t>
                  </w:r>
                  <w:r>
                    <w:rPr>
                      <w:rFonts w:hint="default" w:ascii="Times New Roman" w:hAnsi="Times New Roman" w:eastAsia="宋体" w:cs="Times New Roman"/>
                      <w:color w:val="auto"/>
                      <w:szCs w:val="21"/>
                      <w:highlight w:val="none"/>
                      <w:lang w:val="en-US" w:eastAsia="zh-CN"/>
                    </w:rPr>
                    <w:t>吸附装置，风量</w:t>
                  </w:r>
                  <w:r>
                    <w:rPr>
                      <w:rFonts w:hint="eastAsia" w:ascii="Times New Roman" w:hAnsi="Times New Roman" w:eastAsia="宋体" w:cs="Times New Roman"/>
                      <w:color w:val="auto"/>
                      <w:szCs w:val="21"/>
                      <w:highlight w:val="none"/>
                      <w:lang w:val="en-US" w:eastAsia="zh-CN"/>
                    </w:rPr>
                    <w:t>15000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000000" w:sz="4" w:space="0"/>
                  </w:tcBorders>
                  <w:vAlign w:val="center"/>
                </w:tcPr>
                <w:p w14:paraId="764AD1DD">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72C203DA">
                  <w:pPr>
                    <w:keepNext w:val="0"/>
                    <w:keepLines w:val="0"/>
                    <w:suppressLineNumbers w:val="0"/>
                    <w:spacing w:before="0" w:beforeAutospacing="0" w:after="0" w:afterAutospacing="0" w:line="144" w:lineRule="auto"/>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已批已建</w:t>
                  </w:r>
                  <w:r>
                    <w:rPr>
                      <w:rFonts w:hint="eastAsia" w:ascii="Times New Roman" w:hAnsi="Times New Roman" w:eastAsia="宋体" w:cs="Times New Roman"/>
                      <w:color w:val="auto"/>
                      <w:szCs w:val="21"/>
                      <w:highlight w:val="none"/>
                      <w:lang w:val="en-US" w:eastAsia="zh-CN"/>
                    </w:rPr>
                    <w:t>，通过28m高排气筒FQ16排放</w:t>
                  </w:r>
                </w:p>
              </w:tc>
            </w:tr>
            <w:tr w14:paraId="28584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7" w:type="pct"/>
                  <w:vMerge w:val="continue"/>
                  <w:vAlign w:val="center"/>
                </w:tcPr>
                <w:p w14:paraId="1286052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4CA8A32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487FE0A0">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3号楼</w:t>
                  </w:r>
                  <w:r>
                    <w:rPr>
                      <w:rFonts w:hint="default" w:ascii="Times New Roman" w:hAnsi="Times New Roman" w:eastAsia="宋体" w:cs="Times New Roman"/>
                      <w:color w:val="auto"/>
                      <w:sz w:val="21"/>
                      <w:szCs w:val="21"/>
                      <w:highlight w:val="none"/>
                      <w:lang w:val="en-US" w:eastAsia="zh-CN"/>
                    </w:rPr>
                    <w:t>激光切割废气</w:t>
                  </w:r>
                </w:p>
              </w:tc>
              <w:tc>
                <w:tcPr>
                  <w:tcW w:w="800" w:type="pct"/>
                  <w:tcBorders>
                    <w:right w:val="single" w:color="auto" w:sz="4" w:space="0"/>
                  </w:tcBorders>
                  <w:vAlign w:val="center"/>
                </w:tcPr>
                <w:p w14:paraId="104AD8D7">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一级碱喷淋+一级水喷淋+</w:t>
                  </w:r>
                  <w:r>
                    <w:rPr>
                      <w:rFonts w:hint="eastAsia" w:cs="Times New Roman"/>
                      <w:color w:val="auto"/>
                      <w:szCs w:val="21"/>
                      <w:highlight w:val="none"/>
                      <w:lang w:val="en-US" w:eastAsia="zh-CN"/>
                    </w:rPr>
                    <w:t>除雾器+</w:t>
                  </w:r>
                  <w:r>
                    <w:rPr>
                      <w:rFonts w:hint="eastAsia" w:ascii="Times New Roman" w:hAnsi="Times New Roman" w:eastAsia="宋体" w:cs="Times New Roman"/>
                      <w:color w:val="auto"/>
                      <w:szCs w:val="21"/>
                      <w:highlight w:val="none"/>
                      <w:lang w:val="en-US" w:eastAsia="zh-CN"/>
                    </w:rPr>
                    <w:t>二级活性炭</w:t>
                  </w:r>
                  <w:r>
                    <w:rPr>
                      <w:rFonts w:hint="default" w:ascii="Times New Roman" w:hAnsi="Times New Roman" w:eastAsia="宋体" w:cs="Times New Roman"/>
                      <w:color w:val="auto"/>
                      <w:szCs w:val="21"/>
                      <w:highlight w:val="none"/>
                      <w:lang w:val="en-US" w:eastAsia="zh-CN"/>
                    </w:rPr>
                    <w:t>吸附装置，风量</w:t>
                  </w:r>
                  <w:r>
                    <w:rPr>
                      <w:rFonts w:hint="eastAsia" w:ascii="Times New Roman" w:hAnsi="Times New Roman" w:eastAsia="宋体" w:cs="Times New Roman"/>
                      <w:color w:val="auto"/>
                      <w:szCs w:val="21"/>
                      <w:highlight w:val="none"/>
                      <w:lang w:val="en-US" w:eastAsia="zh-CN"/>
                    </w:rPr>
                    <w:t>15000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right w:val="single" w:color="000000" w:sz="4" w:space="0"/>
                  </w:tcBorders>
                  <w:vAlign w:val="center"/>
                </w:tcPr>
                <w:p w14:paraId="6D9E9C5E">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一级碱喷淋+一级水喷淋+</w:t>
                  </w:r>
                  <w:r>
                    <w:rPr>
                      <w:rFonts w:hint="eastAsia" w:cs="Times New Roman"/>
                      <w:color w:val="auto"/>
                      <w:szCs w:val="21"/>
                      <w:highlight w:val="none"/>
                      <w:lang w:val="en-US" w:eastAsia="zh-CN"/>
                    </w:rPr>
                    <w:t>除雾器+</w:t>
                  </w:r>
                  <w:r>
                    <w:rPr>
                      <w:rFonts w:hint="eastAsia" w:ascii="Times New Roman" w:hAnsi="Times New Roman" w:eastAsia="宋体" w:cs="Times New Roman"/>
                      <w:color w:val="auto"/>
                      <w:szCs w:val="21"/>
                      <w:highlight w:val="none"/>
                      <w:lang w:val="en-US" w:eastAsia="zh-CN"/>
                    </w:rPr>
                    <w:t>二级活性炭</w:t>
                  </w:r>
                  <w:r>
                    <w:rPr>
                      <w:rFonts w:hint="default" w:ascii="Times New Roman" w:hAnsi="Times New Roman" w:eastAsia="宋体" w:cs="Times New Roman"/>
                      <w:color w:val="auto"/>
                      <w:szCs w:val="21"/>
                      <w:highlight w:val="none"/>
                      <w:lang w:val="en-US" w:eastAsia="zh-CN"/>
                    </w:rPr>
                    <w:t>吸附装置，风量</w:t>
                  </w:r>
                  <w:r>
                    <w:rPr>
                      <w:rFonts w:hint="eastAsia" w:ascii="Times New Roman" w:hAnsi="Times New Roman" w:eastAsia="宋体" w:cs="Times New Roman"/>
                      <w:color w:val="auto"/>
                      <w:szCs w:val="21"/>
                      <w:highlight w:val="none"/>
                      <w:lang w:val="en-US" w:eastAsia="zh-CN"/>
                    </w:rPr>
                    <w:t>15000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000000" w:sz="4" w:space="0"/>
                  </w:tcBorders>
                  <w:vAlign w:val="center"/>
                </w:tcPr>
                <w:p w14:paraId="1C5E946C">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440A4EC7">
                  <w:pPr>
                    <w:keepNext w:val="0"/>
                    <w:keepLines w:val="0"/>
                    <w:suppressLineNumbers w:val="0"/>
                    <w:spacing w:before="0" w:beforeAutospacing="0" w:after="0" w:afterAutospacing="0" w:line="144" w:lineRule="auto"/>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已批已建</w:t>
                  </w:r>
                  <w:r>
                    <w:rPr>
                      <w:rFonts w:hint="eastAsia" w:ascii="Times New Roman" w:hAnsi="Times New Roman" w:eastAsia="宋体" w:cs="Times New Roman"/>
                      <w:color w:val="auto"/>
                      <w:szCs w:val="21"/>
                      <w:highlight w:val="none"/>
                      <w:lang w:val="en-US" w:eastAsia="zh-CN"/>
                    </w:rPr>
                    <w:t>，通过28m高排气筒FQ17排放</w:t>
                  </w:r>
                </w:p>
              </w:tc>
            </w:tr>
            <w:tr w14:paraId="6E46C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98" w:hRule="atLeast"/>
                <w:jc w:val="center"/>
              </w:trPr>
              <w:tc>
                <w:tcPr>
                  <w:tcW w:w="367" w:type="pct"/>
                  <w:vMerge w:val="continue"/>
                  <w:vAlign w:val="center"/>
                </w:tcPr>
                <w:p w14:paraId="75F0AD4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1089E51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3A49760C">
                  <w:pPr>
                    <w:pStyle w:val="32"/>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4号楼</w:t>
                  </w:r>
                  <w:r>
                    <w:rPr>
                      <w:rFonts w:hint="default" w:ascii="Times New Roman" w:hAnsi="Times New Roman" w:eastAsia="宋体" w:cs="Times New Roman"/>
                      <w:color w:val="auto"/>
                      <w:sz w:val="21"/>
                      <w:szCs w:val="21"/>
                      <w:highlight w:val="none"/>
                      <w:lang w:val="en-US" w:eastAsia="zh-CN"/>
                    </w:rPr>
                    <w:t>激光切割废气</w:t>
                  </w:r>
                </w:p>
              </w:tc>
              <w:tc>
                <w:tcPr>
                  <w:tcW w:w="800" w:type="pct"/>
                  <w:tcBorders>
                    <w:right w:val="single" w:color="auto" w:sz="4" w:space="0"/>
                  </w:tcBorders>
                  <w:vAlign w:val="center"/>
                </w:tcPr>
                <w:p w14:paraId="5EAB1186">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一级碱喷淋+一级水喷淋+</w:t>
                  </w:r>
                  <w:r>
                    <w:rPr>
                      <w:rFonts w:hint="eastAsia" w:cs="Times New Roman"/>
                      <w:color w:val="auto"/>
                      <w:szCs w:val="21"/>
                      <w:highlight w:val="none"/>
                      <w:lang w:val="en-US" w:eastAsia="zh-CN"/>
                    </w:rPr>
                    <w:t>除雾器+</w:t>
                  </w:r>
                  <w:r>
                    <w:rPr>
                      <w:rFonts w:hint="eastAsia" w:ascii="Times New Roman" w:hAnsi="Times New Roman" w:eastAsia="宋体" w:cs="Times New Roman"/>
                      <w:color w:val="auto"/>
                      <w:szCs w:val="21"/>
                      <w:highlight w:val="none"/>
                      <w:lang w:val="en-US" w:eastAsia="zh-CN"/>
                    </w:rPr>
                    <w:t>二级活性炭</w:t>
                  </w:r>
                  <w:r>
                    <w:rPr>
                      <w:rFonts w:hint="default" w:ascii="Times New Roman" w:hAnsi="Times New Roman" w:eastAsia="宋体" w:cs="Times New Roman"/>
                      <w:color w:val="auto"/>
                      <w:szCs w:val="21"/>
                      <w:highlight w:val="none"/>
                      <w:lang w:val="en-US" w:eastAsia="zh-CN"/>
                    </w:rPr>
                    <w:t>吸附装置，风量</w:t>
                  </w:r>
                  <w:r>
                    <w:rPr>
                      <w:rFonts w:hint="eastAsia" w:ascii="Times New Roman" w:hAnsi="Times New Roman" w:eastAsia="宋体" w:cs="Times New Roman"/>
                      <w:color w:val="auto"/>
                      <w:szCs w:val="21"/>
                      <w:highlight w:val="none"/>
                      <w:lang w:val="en-US" w:eastAsia="zh-CN"/>
                    </w:rPr>
                    <w:t>15000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819" w:type="pct"/>
                  <w:tcBorders>
                    <w:right w:val="single" w:color="000000" w:sz="4" w:space="0"/>
                  </w:tcBorders>
                  <w:vAlign w:val="center"/>
                </w:tcPr>
                <w:p w14:paraId="4E4F91C2">
                  <w:pPr>
                    <w:keepNext w:val="0"/>
                    <w:keepLines w:val="0"/>
                    <w:widowControl/>
                    <w:suppressLineNumbers w:val="0"/>
                    <w:spacing w:before="0" w:beforeAutospacing="0" w:after="0" w:afterAutospacing="0" w:line="144" w:lineRule="auto"/>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一级碱喷淋+一级水喷淋+</w:t>
                  </w:r>
                  <w:r>
                    <w:rPr>
                      <w:rFonts w:hint="eastAsia" w:cs="Times New Roman"/>
                      <w:color w:val="auto"/>
                      <w:szCs w:val="21"/>
                      <w:highlight w:val="none"/>
                      <w:lang w:val="en-US" w:eastAsia="zh-CN"/>
                    </w:rPr>
                    <w:t>除雾器+</w:t>
                  </w:r>
                  <w:r>
                    <w:rPr>
                      <w:rFonts w:hint="eastAsia" w:ascii="Times New Roman" w:hAnsi="Times New Roman" w:eastAsia="宋体" w:cs="Times New Roman"/>
                      <w:color w:val="auto"/>
                      <w:szCs w:val="21"/>
                      <w:highlight w:val="none"/>
                      <w:lang w:val="en-US" w:eastAsia="zh-CN"/>
                    </w:rPr>
                    <w:t>二级活性炭</w:t>
                  </w:r>
                  <w:r>
                    <w:rPr>
                      <w:rFonts w:hint="default" w:ascii="Times New Roman" w:hAnsi="Times New Roman" w:eastAsia="宋体" w:cs="Times New Roman"/>
                      <w:color w:val="auto"/>
                      <w:szCs w:val="21"/>
                      <w:highlight w:val="none"/>
                      <w:lang w:val="en-US" w:eastAsia="zh-CN"/>
                    </w:rPr>
                    <w:t>吸附装置，风量</w:t>
                  </w:r>
                  <w:r>
                    <w:rPr>
                      <w:rFonts w:hint="eastAsia" w:ascii="Times New Roman" w:hAnsi="Times New Roman" w:eastAsia="宋体" w:cs="Times New Roman"/>
                      <w:color w:val="auto"/>
                      <w:szCs w:val="21"/>
                      <w:highlight w:val="none"/>
                      <w:lang w:val="en-US" w:eastAsia="zh-CN"/>
                    </w:rPr>
                    <w:t>15000</w:t>
                  </w:r>
                  <w:r>
                    <w:rPr>
                      <w:rFonts w:hint="default" w:ascii="Times New Roman" w:hAnsi="Times New Roman" w:eastAsia="宋体" w:cs="Times New Roman"/>
                      <w:color w:val="auto"/>
                      <w:szCs w:val="21"/>
                      <w:highlight w:val="none"/>
                      <w:lang w:val="en-US" w:eastAsia="zh-CN"/>
                    </w:rPr>
                    <w:t>m</w:t>
                  </w:r>
                  <w:r>
                    <w:rPr>
                      <w:rFonts w:hint="default" w:ascii="Times New Roman" w:hAnsi="Times New Roman" w:eastAsia="宋体" w:cs="Times New Roman"/>
                      <w:color w:val="auto"/>
                      <w:szCs w:val="21"/>
                      <w:highlight w:val="none"/>
                      <w:vertAlign w:val="superscript"/>
                      <w:lang w:val="en-US" w:eastAsia="zh-CN"/>
                    </w:rPr>
                    <w:t>3</w:t>
                  </w:r>
                  <w:r>
                    <w:rPr>
                      <w:rFonts w:hint="default" w:ascii="Times New Roman" w:hAnsi="Times New Roman" w:eastAsia="宋体" w:cs="Times New Roman"/>
                      <w:color w:val="auto"/>
                      <w:szCs w:val="21"/>
                      <w:highlight w:val="none"/>
                      <w:lang w:val="en-US" w:eastAsia="zh-CN"/>
                    </w:rPr>
                    <w:t>/h</w:t>
                  </w:r>
                </w:p>
              </w:tc>
              <w:tc>
                <w:tcPr>
                  <w:tcW w:w="694" w:type="pct"/>
                  <w:tcBorders>
                    <w:left w:val="single" w:color="000000" w:sz="4" w:space="0"/>
                  </w:tcBorders>
                  <w:vAlign w:val="center"/>
                </w:tcPr>
                <w:p w14:paraId="0C430391">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不变</w:t>
                  </w:r>
                </w:p>
              </w:tc>
              <w:tc>
                <w:tcPr>
                  <w:tcW w:w="1274" w:type="pct"/>
                  <w:vAlign w:val="center"/>
                </w:tcPr>
                <w:p w14:paraId="2BA5FF0C">
                  <w:pPr>
                    <w:keepNext w:val="0"/>
                    <w:keepLines w:val="0"/>
                    <w:suppressLineNumbers w:val="0"/>
                    <w:spacing w:before="0" w:beforeAutospacing="0" w:after="0" w:afterAutospacing="0" w:line="144" w:lineRule="auto"/>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已批待建</w:t>
                  </w:r>
                  <w:r>
                    <w:rPr>
                      <w:rFonts w:hint="eastAsia" w:ascii="Times New Roman" w:hAnsi="Times New Roman" w:eastAsia="宋体" w:cs="Times New Roman"/>
                      <w:color w:val="auto"/>
                      <w:szCs w:val="21"/>
                      <w:highlight w:val="none"/>
                      <w:lang w:val="en-US" w:eastAsia="zh-CN"/>
                    </w:rPr>
                    <w:t>，通过28m高排气筒FQ18排放</w:t>
                  </w:r>
                </w:p>
              </w:tc>
            </w:tr>
            <w:tr w14:paraId="2CDD4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7" w:type="pct"/>
                  <w:vMerge w:val="continue"/>
                  <w:vAlign w:val="center"/>
                </w:tcPr>
                <w:p w14:paraId="6CD1D1E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B97B94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65829E77">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实验室废气</w:t>
                  </w:r>
                </w:p>
              </w:tc>
              <w:tc>
                <w:tcPr>
                  <w:tcW w:w="800" w:type="pct"/>
                  <w:tcBorders>
                    <w:right w:val="single" w:color="auto" w:sz="4" w:space="0"/>
                  </w:tcBorders>
                  <w:vAlign w:val="center"/>
                </w:tcPr>
                <w:p w14:paraId="7C71E608">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二级活性炭吸附装置</w:t>
                  </w:r>
                </w:p>
              </w:tc>
              <w:tc>
                <w:tcPr>
                  <w:tcW w:w="819" w:type="pct"/>
                  <w:tcBorders>
                    <w:right w:val="single" w:color="000000" w:sz="4" w:space="0"/>
                  </w:tcBorders>
                  <w:vAlign w:val="center"/>
                </w:tcPr>
                <w:p w14:paraId="79ADB89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二级活性炭吸附装置</w:t>
                  </w:r>
                </w:p>
              </w:tc>
              <w:tc>
                <w:tcPr>
                  <w:tcW w:w="694" w:type="pct"/>
                  <w:tcBorders>
                    <w:left w:val="single" w:color="000000" w:sz="4" w:space="0"/>
                  </w:tcBorders>
                  <w:vAlign w:val="center"/>
                </w:tcPr>
                <w:p w14:paraId="6E7A0454">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不变</w:t>
                  </w:r>
                </w:p>
              </w:tc>
              <w:tc>
                <w:tcPr>
                  <w:tcW w:w="1274" w:type="pct"/>
                  <w:vAlign w:val="center"/>
                </w:tcPr>
                <w:p w14:paraId="3C77977D">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依托现有设施</w:t>
                  </w:r>
                  <w:r>
                    <w:rPr>
                      <w:rFonts w:hint="default" w:ascii="Times New Roman" w:hAnsi="Times New Roman" w:eastAsia="宋体" w:cs="Times New Roman"/>
                      <w:color w:val="auto"/>
                      <w:sz w:val="21"/>
                      <w:szCs w:val="21"/>
                      <w:highlight w:val="none"/>
                    </w:rPr>
                    <w:t>，车间通风排放</w:t>
                  </w:r>
                </w:p>
              </w:tc>
            </w:tr>
            <w:tr w14:paraId="1CF4B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7" w:type="pct"/>
                  <w:vMerge w:val="continue"/>
                  <w:vAlign w:val="center"/>
                </w:tcPr>
                <w:p w14:paraId="7A42B0C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48C54CD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04636FEF">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危险废物</w:t>
                  </w:r>
                  <w:r>
                    <w:rPr>
                      <w:rFonts w:hint="default" w:ascii="Times New Roman" w:hAnsi="Times New Roman" w:eastAsia="宋体" w:cs="Times New Roman"/>
                      <w:color w:val="auto"/>
                      <w:sz w:val="21"/>
                      <w:szCs w:val="21"/>
                      <w:highlight w:val="none"/>
                      <w:lang w:eastAsia="zh-CN"/>
                    </w:rPr>
                    <w:t>仓库</w:t>
                  </w:r>
                </w:p>
              </w:tc>
              <w:tc>
                <w:tcPr>
                  <w:tcW w:w="800" w:type="pct"/>
                  <w:tcBorders>
                    <w:right w:val="single" w:color="auto" w:sz="4" w:space="0"/>
                  </w:tcBorders>
                  <w:vAlign w:val="center"/>
                </w:tcPr>
                <w:p w14:paraId="24829BA2">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二级活性炭吸附装置</w:t>
                  </w:r>
                </w:p>
              </w:tc>
              <w:tc>
                <w:tcPr>
                  <w:tcW w:w="819" w:type="pct"/>
                  <w:tcBorders>
                    <w:right w:val="single" w:color="000000" w:sz="4" w:space="0"/>
                  </w:tcBorders>
                  <w:vAlign w:val="center"/>
                </w:tcPr>
                <w:p w14:paraId="25EECFF3">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二级活性炭吸附装置</w:t>
                  </w:r>
                </w:p>
              </w:tc>
              <w:tc>
                <w:tcPr>
                  <w:tcW w:w="694" w:type="pct"/>
                  <w:tcBorders>
                    <w:left w:val="single" w:color="000000" w:sz="4" w:space="0"/>
                  </w:tcBorders>
                  <w:vAlign w:val="center"/>
                </w:tcPr>
                <w:p w14:paraId="45E7A666">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不变</w:t>
                  </w:r>
                </w:p>
              </w:tc>
              <w:tc>
                <w:tcPr>
                  <w:tcW w:w="1274" w:type="pct"/>
                  <w:vAlign w:val="center"/>
                </w:tcPr>
                <w:p w14:paraId="1143CB5B">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依托现有</w:t>
                  </w:r>
                  <w:r>
                    <w:rPr>
                      <w:rFonts w:hint="default" w:ascii="Times New Roman" w:hAnsi="Times New Roman" w:eastAsia="宋体" w:cs="Times New Roman"/>
                      <w:color w:val="auto"/>
                      <w:sz w:val="21"/>
                      <w:szCs w:val="21"/>
                      <w:highlight w:val="none"/>
                    </w:rPr>
                    <w:t>，车间通风排放</w:t>
                  </w:r>
                </w:p>
              </w:tc>
            </w:tr>
            <w:tr w14:paraId="0A72A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4" w:hRule="atLeast"/>
                <w:jc w:val="center"/>
              </w:trPr>
              <w:tc>
                <w:tcPr>
                  <w:tcW w:w="367" w:type="pct"/>
                  <w:vMerge w:val="continue"/>
                  <w:vAlign w:val="center"/>
                </w:tcPr>
                <w:p w14:paraId="7FD2901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3093906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465A722A">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食堂</w:t>
                  </w:r>
                </w:p>
              </w:tc>
              <w:tc>
                <w:tcPr>
                  <w:tcW w:w="800" w:type="pct"/>
                  <w:tcBorders>
                    <w:right w:val="single" w:color="auto" w:sz="4" w:space="0"/>
                  </w:tcBorders>
                  <w:vAlign w:val="center"/>
                </w:tcPr>
                <w:p w14:paraId="308A676C">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油烟净化器</w:t>
                  </w:r>
                </w:p>
              </w:tc>
              <w:tc>
                <w:tcPr>
                  <w:tcW w:w="819" w:type="pct"/>
                  <w:tcBorders>
                    <w:right w:val="single" w:color="000000" w:sz="4" w:space="0"/>
                  </w:tcBorders>
                  <w:vAlign w:val="center"/>
                </w:tcPr>
                <w:p w14:paraId="76BBC30D">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油烟净化器</w:t>
                  </w:r>
                </w:p>
              </w:tc>
              <w:tc>
                <w:tcPr>
                  <w:tcW w:w="694" w:type="pct"/>
                  <w:tcBorders>
                    <w:left w:val="single" w:color="000000" w:sz="4" w:space="0"/>
                  </w:tcBorders>
                  <w:vAlign w:val="center"/>
                </w:tcPr>
                <w:p w14:paraId="5A36DBA9">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不变</w:t>
                  </w:r>
                </w:p>
              </w:tc>
              <w:tc>
                <w:tcPr>
                  <w:tcW w:w="1274" w:type="pct"/>
                  <w:vAlign w:val="center"/>
                </w:tcPr>
                <w:p w14:paraId="24037E26">
                  <w:pPr>
                    <w:pStyle w:val="32"/>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依托现有，</w:t>
                  </w:r>
                  <w:r>
                    <w:rPr>
                      <w:rFonts w:hint="default" w:ascii="Times New Roman" w:hAnsi="Times New Roman" w:eastAsia="宋体" w:cs="Times New Roman"/>
                      <w:color w:val="auto"/>
                      <w:sz w:val="21"/>
                      <w:szCs w:val="21"/>
                      <w:highlight w:val="none"/>
                      <w:lang w:val="en-US" w:eastAsia="zh-CN"/>
                    </w:rPr>
                    <w:t>经屋顶烟道排放</w:t>
                  </w:r>
                </w:p>
              </w:tc>
            </w:tr>
            <w:tr w14:paraId="79D3F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8" w:hRule="atLeast"/>
                <w:jc w:val="center"/>
              </w:trPr>
              <w:tc>
                <w:tcPr>
                  <w:tcW w:w="367" w:type="pct"/>
                  <w:vMerge w:val="continue"/>
                  <w:vAlign w:val="center"/>
                </w:tcPr>
                <w:p w14:paraId="38B2F5D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restart"/>
                  <w:vAlign w:val="center"/>
                </w:tcPr>
                <w:p w14:paraId="13CA44A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废水处理</w:t>
                  </w:r>
                </w:p>
              </w:tc>
              <w:tc>
                <w:tcPr>
                  <w:tcW w:w="744" w:type="pct"/>
                  <w:vAlign w:val="center"/>
                </w:tcPr>
                <w:p w14:paraId="263D45A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生活污水</w:t>
                  </w:r>
                </w:p>
              </w:tc>
              <w:tc>
                <w:tcPr>
                  <w:tcW w:w="800" w:type="pct"/>
                  <w:tcBorders>
                    <w:right w:val="single" w:color="000000" w:sz="4" w:space="0"/>
                  </w:tcBorders>
                  <w:vAlign w:val="center"/>
                </w:tcPr>
                <w:p w14:paraId="1D04DBD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化粪池6</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p>
              </w:tc>
              <w:tc>
                <w:tcPr>
                  <w:tcW w:w="819" w:type="pct"/>
                  <w:tcBorders>
                    <w:left w:val="single" w:color="000000" w:sz="4" w:space="0"/>
                    <w:right w:val="single" w:color="000000" w:sz="4" w:space="0"/>
                  </w:tcBorders>
                  <w:vAlign w:val="center"/>
                </w:tcPr>
                <w:p w14:paraId="547BA2BE">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化粪池6</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p>
              </w:tc>
              <w:tc>
                <w:tcPr>
                  <w:tcW w:w="694" w:type="pct"/>
                  <w:tcBorders>
                    <w:left w:val="single" w:color="000000" w:sz="4" w:space="0"/>
                  </w:tcBorders>
                  <w:vAlign w:val="center"/>
                </w:tcPr>
                <w:p w14:paraId="703FBC45">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不变</w:t>
                  </w:r>
                </w:p>
              </w:tc>
              <w:tc>
                <w:tcPr>
                  <w:tcW w:w="1274" w:type="pct"/>
                  <w:vMerge w:val="restart"/>
                  <w:vAlign w:val="center"/>
                </w:tcPr>
                <w:p w14:paraId="0998497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依托</w:t>
                  </w:r>
                  <w:r>
                    <w:rPr>
                      <w:rFonts w:hint="default" w:ascii="Times New Roman" w:hAnsi="Times New Roman" w:eastAsia="宋体" w:cs="Times New Roman"/>
                      <w:color w:val="auto"/>
                      <w:kern w:val="0"/>
                      <w:szCs w:val="21"/>
                      <w:highlight w:val="none"/>
                      <w:lang w:val="en-US" w:eastAsia="zh-CN" w:bidi="ar"/>
                    </w:rPr>
                    <w:t>现有设施处理</w:t>
                  </w:r>
                  <w:r>
                    <w:rPr>
                      <w:rFonts w:hint="default" w:ascii="Times New Roman" w:hAnsi="Times New Roman" w:eastAsia="宋体" w:cs="Times New Roman"/>
                      <w:color w:val="auto"/>
                      <w:kern w:val="0"/>
                      <w:szCs w:val="21"/>
                      <w:highlight w:val="none"/>
                      <w:lang w:bidi="ar"/>
                    </w:rPr>
                    <w:t>后</w:t>
                  </w:r>
                  <w:r>
                    <w:rPr>
                      <w:rFonts w:hint="default" w:ascii="Times New Roman" w:hAnsi="Times New Roman" w:eastAsia="宋体" w:cs="Times New Roman"/>
                      <w:color w:val="auto"/>
                      <w:szCs w:val="21"/>
                      <w:highlight w:val="none"/>
                    </w:rPr>
                    <w:t>接管至</w:t>
                  </w:r>
                  <w:r>
                    <w:rPr>
                      <w:rFonts w:hint="default" w:ascii="Times New Roman" w:hAnsi="Times New Roman" w:eastAsia="宋体" w:cs="Times New Roman"/>
                      <w:color w:val="auto"/>
                      <w:szCs w:val="21"/>
                      <w:highlight w:val="none"/>
                      <w:lang w:val="en-US" w:eastAsia="zh-CN"/>
                    </w:rPr>
                    <w:t>太湖新城污水处理厂处理</w:t>
                  </w:r>
                </w:p>
              </w:tc>
            </w:tr>
            <w:tr w14:paraId="7F25F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367" w:type="pct"/>
                  <w:vMerge w:val="continue"/>
                  <w:vAlign w:val="center"/>
                </w:tcPr>
                <w:p w14:paraId="55A754FB">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2629B9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690623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食堂</w:t>
                  </w:r>
                  <w:r>
                    <w:rPr>
                      <w:rFonts w:hint="default" w:ascii="Times New Roman" w:hAnsi="Times New Roman" w:eastAsia="宋体" w:cs="Times New Roman"/>
                      <w:color w:val="auto"/>
                      <w:szCs w:val="21"/>
                      <w:highlight w:val="none"/>
                    </w:rPr>
                    <w:t>废水</w:t>
                  </w:r>
                </w:p>
              </w:tc>
              <w:tc>
                <w:tcPr>
                  <w:tcW w:w="800" w:type="pct"/>
                  <w:tcBorders>
                    <w:right w:val="single" w:color="000000" w:sz="4" w:space="0"/>
                  </w:tcBorders>
                  <w:vAlign w:val="center"/>
                </w:tcPr>
                <w:p w14:paraId="78E7738B">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Cs w:val="21"/>
                      <w:highlight w:val="none"/>
                      <w:lang w:val="en-US" w:eastAsia="zh-CN"/>
                    </w:rPr>
                    <w:t>隔油池6</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p>
              </w:tc>
              <w:tc>
                <w:tcPr>
                  <w:tcW w:w="819" w:type="pct"/>
                  <w:tcBorders>
                    <w:left w:val="single" w:color="000000" w:sz="4" w:space="0"/>
                  </w:tcBorders>
                  <w:vAlign w:val="center"/>
                </w:tcPr>
                <w:p w14:paraId="3851F4D0">
                  <w:pPr>
                    <w:keepNext w:val="0"/>
                    <w:keepLines w:val="0"/>
                    <w:widowControl/>
                    <w:suppressLineNumbers w:val="0"/>
                    <w:spacing w:before="0" w:beforeAutospacing="0" w:after="0" w:afterAutospacing="0" w:line="144" w:lineRule="auto"/>
                    <w:ind w:left="0" w:right="0"/>
                    <w:jc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szCs w:val="21"/>
                      <w:highlight w:val="none"/>
                      <w:lang w:val="en-US" w:eastAsia="zh-CN"/>
                    </w:rPr>
                    <w:t>隔油池6</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3</w:t>
                  </w:r>
                </w:p>
              </w:tc>
              <w:tc>
                <w:tcPr>
                  <w:tcW w:w="694" w:type="pct"/>
                  <w:tcBorders>
                    <w:left w:val="single" w:color="auto" w:sz="4" w:space="0"/>
                  </w:tcBorders>
                  <w:vAlign w:val="center"/>
                </w:tcPr>
                <w:p w14:paraId="2851A37F">
                  <w:pPr>
                    <w:keepNext w:val="0"/>
                    <w:keepLines w:val="0"/>
                    <w:widowControl/>
                    <w:suppressLineNumbers w:val="0"/>
                    <w:spacing w:before="0" w:beforeAutospacing="0" w:after="0" w:afterAutospacing="0" w:line="144" w:lineRule="auto"/>
                    <w:ind w:left="0" w:leftChars="0" w:right="0" w:rightChars="0"/>
                    <w:jc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2"/>
                      <w:sz w:val="21"/>
                      <w:szCs w:val="21"/>
                      <w:highlight w:val="none"/>
                      <w:lang w:val="en-US" w:eastAsia="zh-CN" w:bidi="ar-SA"/>
                    </w:rPr>
                    <w:t>不变</w:t>
                  </w:r>
                </w:p>
              </w:tc>
              <w:tc>
                <w:tcPr>
                  <w:tcW w:w="1274" w:type="pct"/>
                  <w:vMerge w:val="continue"/>
                  <w:vAlign w:val="center"/>
                </w:tcPr>
                <w:p w14:paraId="568DABD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r>
            <w:tr w14:paraId="67D7C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88" w:hRule="atLeast"/>
                <w:jc w:val="center"/>
              </w:trPr>
              <w:tc>
                <w:tcPr>
                  <w:tcW w:w="367" w:type="pct"/>
                  <w:vMerge w:val="continue"/>
                  <w:vAlign w:val="center"/>
                </w:tcPr>
                <w:p w14:paraId="341453A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1043" w:type="pct"/>
                  <w:gridSpan w:val="2"/>
                  <w:vAlign w:val="center"/>
                </w:tcPr>
                <w:p w14:paraId="7F588A9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2314" w:type="pct"/>
                  <w:gridSpan w:val="3"/>
                  <w:vAlign w:val="center"/>
                </w:tcPr>
                <w:p w14:paraId="5727CDF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高噪声设备基础减振、隔声等</w:t>
                  </w:r>
                </w:p>
              </w:tc>
              <w:tc>
                <w:tcPr>
                  <w:tcW w:w="1274" w:type="pct"/>
                  <w:vAlign w:val="center"/>
                </w:tcPr>
                <w:p w14:paraId="4CCA8D5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厂界达标</w:t>
                  </w:r>
                </w:p>
              </w:tc>
            </w:tr>
            <w:tr w14:paraId="7F4C4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7" w:type="pct"/>
                  <w:vMerge w:val="continue"/>
                  <w:vAlign w:val="center"/>
                </w:tcPr>
                <w:p w14:paraId="3601BC55">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restart"/>
                  <w:vAlign w:val="center"/>
                </w:tcPr>
                <w:p w14:paraId="2FE44452">
                  <w:pPr>
                    <w:keepNext w:val="0"/>
                    <w:keepLines w:val="0"/>
                    <w:suppressLineNumbers w:val="0"/>
                    <w:spacing w:before="0" w:beforeAutospacing="0" w:after="0" w:afterAutospacing="0" w:line="144" w:lineRule="auto"/>
                    <w:ind w:left="0" w:right="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固体废物</w:t>
                  </w:r>
                </w:p>
              </w:tc>
              <w:tc>
                <w:tcPr>
                  <w:tcW w:w="744" w:type="pct"/>
                  <w:vAlign w:val="center"/>
                </w:tcPr>
                <w:p w14:paraId="3161953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一般固体废物</w:t>
                  </w:r>
                  <w:r>
                    <w:rPr>
                      <w:rFonts w:hint="default" w:ascii="Times New Roman" w:hAnsi="Times New Roman" w:eastAsia="宋体" w:cs="Times New Roman"/>
                      <w:color w:val="auto"/>
                      <w:szCs w:val="21"/>
                      <w:highlight w:val="none"/>
                      <w:lang w:val="en-US" w:eastAsia="zh-CN"/>
                    </w:rPr>
                    <w:t>暂存间</w:t>
                  </w:r>
                </w:p>
              </w:tc>
              <w:tc>
                <w:tcPr>
                  <w:tcW w:w="800" w:type="pct"/>
                  <w:tcBorders>
                    <w:right w:val="single" w:color="000000" w:sz="4" w:space="0"/>
                  </w:tcBorders>
                  <w:vAlign w:val="center"/>
                </w:tcPr>
                <w:p w14:paraId="067EA65C">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819" w:type="pct"/>
                  <w:tcBorders>
                    <w:left w:val="single" w:color="000000" w:sz="4" w:space="0"/>
                    <w:right w:val="single" w:color="000000" w:sz="4" w:space="0"/>
                  </w:tcBorders>
                  <w:vAlign w:val="center"/>
                </w:tcPr>
                <w:p w14:paraId="637B7DD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50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694" w:type="pct"/>
                  <w:tcBorders>
                    <w:left w:val="single" w:color="000000" w:sz="4" w:space="0"/>
                  </w:tcBorders>
                  <w:vAlign w:val="center"/>
                </w:tcPr>
                <w:p w14:paraId="0FB69158">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不变</w:t>
                  </w:r>
                </w:p>
              </w:tc>
              <w:tc>
                <w:tcPr>
                  <w:tcW w:w="1274" w:type="pct"/>
                  <w:vAlign w:val="center"/>
                </w:tcPr>
                <w:p w14:paraId="56FAB8F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依托现有，位于厂区东北侧</w:t>
                  </w:r>
                </w:p>
              </w:tc>
            </w:tr>
            <w:tr w14:paraId="247A0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7" w:type="pct"/>
                  <w:vMerge w:val="continue"/>
                  <w:vAlign w:val="center"/>
                </w:tcPr>
                <w:p w14:paraId="335E4CB9">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015F19F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60CEB28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危险废物</w:t>
                  </w:r>
                  <w:r>
                    <w:rPr>
                      <w:rFonts w:hint="default" w:ascii="Times New Roman" w:hAnsi="Times New Roman" w:eastAsia="宋体" w:cs="Times New Roman"/>
                      <w:color w:val="auto"/>
                      <w:szCs w:val="21"/>
                      <w:highlight w:val="none"/>
                    </w:rPr>
                    <w:t>仓库</w:t>
                  </w:r>
                </w:p>
              </w:tc>
              <w:tc>
                <w:tcPr>
                  <w:tcW w:w="800" w:type="pct"/>
                  <w:tcBorders>
                    <w:right w:val="single" w:color="000000" w:sz="4" w:space="0"/>
                  </w:tcBorders>
                  <w:vAlign w:val="center"/>
                </w:tcPr>
                <w:p w14:paraId="76713FEA">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819" w:type="pct"/>
                  <w:tcBorders>
                    <w:left w:val="single" w:color="000000" w:sz="4" w:space="0"/>
                    <w:right w:val="single" w:color="000000" w:sz="4" w:space="0"/>
                  </w:tcBorders>
                  <w:vAlign w:val="center"/>
                </w:tcPr>
                <w:p w14:paraId="0E3FBCC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100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694" w:type="pct"/>
                  <w:tcBorders>
                    <w:left w:val="single" w:color="000000" w:sz="4" w:space="0"/>
                  </w:tcBorders>
                  <w:vAlign w:val="center"/>
                </w:tcPr>
                <w:p w14:paraId="6BA515C5">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不变</w:t>
                  </w:r>
                </w:p>
              </w:tc>
              <w:tc>
                <w:tcPr>
                  <w:tcW w:w="1274" w:type="pct"/>
                  <w:vAlign w:val="center"/>
                </w:tcPr>
                <w:p w14:paraId="250902A3">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依托现有，</w:t>
                  </w:r>
                  <w:r>
                    <w:rPr>
                      <w:rFonts w:hint="default" w:ascii="Times New Roman" w:hAnsi="Times New Roman" w:eastAsia="宋体" w:cs="Times New Roman"/>
                      <w:color w:val="auto"/>
                      <w:szCs w:val="21"/>
                      <w:highlight w:val="none"/>
                      <w:lang w:val="en-US" w:eastAsia="zh-CN"/>
                    </w:rPr>
                    <w:t>位于厂区东北侧</w:t>
                  </w:r>
                </w:p>
              </w:tc>
            </w:tr>
            <w:tr w14:paraId="78943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67" w:type="pct"/>
                  <w:vMerge w:val="continue"/>
                  <w:vAlign w:val="center"/>
                </w:tcPr>
                <w:p w14:paraId="144C3696">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Merge w:val="continue"/>
                  <w:vAlign w:val="center"/>
                </w:tcPr>
                <w:p w14:paraId="2488D9F2">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744" w:type="pct"/>
                  <w:vAlign w:val="center"/>
                </w:tcPr>
                <w:p w14:paraId="2E5AE8E1">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生活垃圾收集设施</w:t>
                  </w:r>
                </w:p>
              </w:tc>
              <w:tc>
                <w:tcPr>
                  <w:tcW w:w="800" w:type="pct"/>
                  <w:tcBorders>
                    <w:right w:val="single" w:color="000000" w:sz="4" w:space="0"/>
                  </w:tcBorders>
                  <w:vAlign w:val="center"/>
                </w:tcPr>
                <w:p w14:paraId="57317FCD">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厂区办公区设置垃圾桶若干</w:t>
                  </w:r>
                </w:p>
              </w:tc>
              <w:tc>
                <w:tcPr>
                  <w:tcW w:w="819" w:type="pct"/>
                  <w:tcBorders>
                    <w:left w:val="single" w:color="000000" w:sz="4" w:space="0"/>
                    <w:right w:val="single" w:color="000000" w:sz="4" w:space="0"/>
                  </w:tcBorders>
                  <w:vAlign w:val="center"/>
                </w:tcPr>
                <w:p w14:paraId="684BDA9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厂区办公区设置垃圾桶若干</w:t>
                  </w:r>
                </w:p>
              </w:tc>
              <w:tc>
                <w:tcPr>
                  <w:tcW w:w="694" w:type="pct"/>
                  <w:tcBorders>
                    <w:left w:val="single" w:color="000000" w:sz="4" w:space="0"/>
                  </w:tcBorders>
                  <w:vAlign w:val="center"/>
                </w:tcPr>
                <w:p w14:paraId="283F5A49">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不变</w:t>
                  </w:r>
                </w:p>
              </w:tc>
              <w:tc>
                <w:tcPr>
                  <w:tcW w:w="1274" w:type="pct"/>
                  <w:vAlign w:val="center"/>
                </w:tcPr>
                <w:p w14:paraId="555410A4">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依托现有</w:t>
                  </w:r>
                </w:p>
              </w:tc>
            </w:tr>
            <w:tr w14:paraId="58944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9" w:hRule="atLeast"/>
                <w:jc w:val="center"/>
              </w:trPr>
              <w:tc>
                <w:tcPr>
                  <w:tcW w:w="367" w:type="pct"/>
                  <w:vMerge w:val="continue"/>
                  <w:vAlign w:val="center"/>
                </w:tcPr>
                <w:p w14:paraId="40158CA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p>
              </w:tc>
              <w:tc>
                <w:tcPr>
                  <w:tcW w:w="298" w:type="pct"/>
                  <w:vAlign w:val="center"/>
                </w:tcPr>
                <w:p w14:paraId="04B5802E">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环境风险</w:t>
                  </w:r>
                </w:p>
              </w:tc>
              <w:tc>
                <w:tcPr>
                  <w:tcW w:w="744" w:type="pct"/>
                  <w:vAlign w:val="center"/>
                </w:tcPr>
                <w:p w14:paraId="5F7B4208">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事故应急池</w:t>
                  </w:r>
                </w:p>
              </w:tc>
              <w:tc>
                <w:tcPr>
                  <w:tcW w:w="800" w:type="pct"/>
                  <w:vAlign w:val="center"/>
                </w:tcPr>
                <w:p w14:paraId="50316037">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450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819" w:type="pct"/>
                  <w:vAlign w:val="center"/>
                </w:tcPr>
                <w:p w14:paraId="53B9FA2F">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450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p>
              </w:tc>
              <w:tc>
                <w:tcPr>
                  <w:tcW w:w="694" w:type="pct"/>
                  <w:vAlign w:val="center"/>
                </w:tcPr>
                <w:p w14:paraId="3F5B08EC">
                  <w:pPr>
                    <w:keepNext w:val="0"/>
                    <w:keepLines w:val="0"/>
                    <w:widowControl/>
                    <w:suppressLineNumbers w:val="0"/>
                    <w:spacing w:before="0" w:beforeAutospacing="0" w:after="0" w:afterAutospacing="0" w:line="144" w:lineRule="auto"/>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不变</w:t>
                  </w:r>
                </w:p>
              </w:tc>
              <w:tc>
                <w:tcPr>
                  <w:tcW w:w="1274" w:type="pct"/>
                  <w:vAlign w:val="center"/>
                </w:tcPr>
                <w:p w14:paraId="036EC880">
                  <w:pPr>
                    <w:keepNext w:val="0"/>
                    <w:keepLines w:val="0"/>
                    <w:suppressLineNumbers w:val="0"/>
                    <w:spacing w:before="0" w:beforeAutospacing="0" w:after="0" w:afterAutospacing="0" w:line="144" w:lineRule="auto"/>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依托现有</w:t>
                  </w:r>
                </w:p>
              </w:tc>
            </w:tr>
          </w:tbl>
          <w:p w14:paraId="09325C31">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sz w:val="24"/>
                <w:szCs w:val="32"/>
                <w:highlight w:val="none"/>
              </w:rPr>
              <w:t>主要原辅材料</w:t>
            </w:r>
          </w:p>
          <w:p w14:paraId="1C39854D">
            <w:pPr>
              <w:pStyle w:val="11"/>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本项目在主要原辅材料方面的具体内容为：将碳酸丙烯酯用量削减到0，新增硅油-脱模剂用量。</w:t>
            </w:r>
            <w:r>
              <w:rPr>
                <w:rFonts w:hint="eastAsia"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主要原辅材料及其用量</w:t>
            </w:r>
            <w:r>
              <w:rPr>
                <w:rFonts w:hint="eastAsia" w:ascii="Times New Roman" w:hAnsi="Times New Roman" w:eastAsia="宋体" w:cs="Times New Roman"/>
                <w:color w:val="auto"/>
                <w:sz w:val="24"/>
                <w:szCs w:val="24"/>
                <w:highlight w:val="none"/>
                <w:lang w:val="en-US" w:eastAsia="zh-CN"/>
              </w:rPr>
              <w:t>见表2-</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，理化性质见2-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p>
          <w:p w14:paraId="237C1163">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 xml:space="preserve">4  </w:t>
            </w:r>
            <w:r>
              <w:rPr>
                <w:rFonts w:hint="default" w:ascii="Times New Roman" w:hAnsi="Times New Roman" w:eastAsia="宋体" w:cs="Times New Roman"/>
                <w:b/>
                <w:bCs/>
                <w:color w:val="auto"/>
                <w:sz w:val="24"/>
                <w:highlight w:val="none"/>
              </w:rPr>
              <w:t>主要原辅材料及其用量一览表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71"/>
              <w:gridCol w:w="728"/>
              <w:gridCol w:w="699"/>
              <w:gridCol w:w="718"/>
              <w:gridCol w:w="789"/>
              <w:gridCol w:w="1149"/>
              <w:gridCol w:w="803"/>
              <w:gridCol w:w="597"/>
              <w:gridCol w:w="1158"/>
            </w:tblGrid>
            <w:tr w14:paraId="4E0DD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08" w:type="pct"/>
                  <w:vMerge w:val="restart"/>
                  <w:tcBorders>
                    <w:tl2br w:val="nil"/>
                    <w:tr2bl w:val="nil"/>
                  </w:tcBorders>
                  <w:vAlign w:val="center"/>
                </w:tcPr>
                <w:p w14:paraId="75CF7417">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50" w:type="pct"/>
                  <w:vMerge w:val="restart"/>
                  <w:tcBorders>
                    <w:tl2br w:val="nil"/>
                    <w:tr2bl w:val="nil"/>
                  </w:tcBorders>
                  <w:vAlign w:val="center"/>
                </w:tcPr>
                <w:p w14:paraId="28A30394">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240" w:type="pct"/>
                  <w:gridSpan w:val="3"/>
                  <w:tcBorders>
                    <w:bottom w:val="single" w:color="000000" w:sz="4" w:space="0"/>
                    <w:tl2br w:val="nil"/>
                    <w:tr2bl w:val="nil"/>
                  </w:tcBorders>
                  <w:vAlign w:val="center"/>
                </w:tcPr>
                <w:p w14:paraId="6010DDF6">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年用量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lang w:eastAsia="zh-CN"/>
                    </w:rPr>
                    <w:t>）</w:t>
                  </w:r>
                </w:p>
              </w:tc>
              <w:tc>
                <w:tcPr>
                  <w:tcW w:w="456" w:type="pct"/>
                  <w:vMerge w:val="restart"/>
                  <w:tcBorders>
                    <w:tl2br w:val="nil"/>
                    <w:tr2bl w:val="nil"/>
                  </w:tcBorders>
                  <w:vAlign w:val="center"/>
                </w:tcPr>
                <w:p w14:paraId="4E6F5E1F">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性状</w:t>
                  </w:r>
                  <w:r>
                    <w:rPr>
                      <w:rFonts w:hint="default" w:ascii="Times New Roman" w:hAnsi="Times New Roman" w:eastAsia="宋体" w:cs="Times New Roman"/>
                      <w:b/>
                      <w:bCs/>
                      <w:color w:val="auto"/>
                      <w:sz w:val="21"/>
                      <w:szCs w:val="21"/>
                      <w:highlight w:val="none"/>
                      <w:lang w:val="en-US" w:eastAsia="zh-CN"/>
                    </w:rPr>
                    <w:t>及规格</w:t>
                  </w:r>
                </w:p>
              </w:tc>
              <w:tc>
                <w:tcPr>
                  <w:tcW w:w="664" w:type="pct"/>
                  <w:vMerge w:val="restart"/>
                  <w:tcBorders>
                    <w:tl2br w:val="nil"/>
                    <w:tr2bl w:val="nil"/>
                  </w:tcBorders>
                  <w:vAlign w:val="center"/>
                </w:tcPr>
                <w:p w14:paraId="212914A8">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包装规格</w:t>
                  </w:r>
                </w:p>
              </w:tc>
              <w:tc>
                <w:tcPr>
                  <w:tcW w:w="464" w:type="pct"/>
                  <w:vMerge w:val="restart"/>
                  <w:tcBorders>
                    <w:tl2br w:val="nil"/>
                    <w:tr2bl w:val="nil"/>
                  </w:tcBorders>
                  <w:vAlign w:val="center"/>
                </w:tcPr>
                <w:p w14:paraId="732933D0">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最大储存量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t</w:t>
                  </w:r>
                  <w:r>
                    <w:rPr>
                      <w:rFonts w:hint="default" w:ascii="Times New Roman" w:hAnsi="Times New Roman" w:eastAsia="宋体" w:cs="Times New Roman"/>
                      <w:b/>
                      <w:bCs/>
                      <w:color w:val="auto"/>
                      <w:sz w:val="21"/>
                      <w:szCs w:val="21"/>
                      <w:highlight w:val="none"/>
                      <w:lang w:eastAsia="zh-CN"/>
                    </w:rPr>
                    <w:t>）</w:t>
                  </w:r>
                </w:p>
              </w:tc>
              <w:tc>
                <w:tcPr>
                  <w:tcW w:w="345" w:type="pct"/>
                  <w:vMerge w:val="restart"/>
                  <w:tcBorders>
                    <w:tl2br w:val="nil"/>
                    <w:tr2bl w:val="nil"/>
                  </w:tcBorders>
                  <w:vAlign w:val="center"/>
                </w:tcPr>
                <w:p w14:paraId="3220DED8">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存储位置</w:t>
                  </w:r>
                </w:p>
              </w:tc>
              <w:tc>
                <w:tcPr>
                  <w:tcW w:w="669" w:type="pct"/>
                  <w:vMerge w:val="restart"/>
                  <w:tcBorders>
                    <w:tl2br w:val="nil"/>
                    <w:tr2bl w:val="nil"/>
                  </w:tcBorders>
                  <w:vAlign w:val="center"/>
                </w:tcPr>
                <w:p w14:paraId="18411612">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对应工序</w:t>
                  </w:r>
                </w:p>
              </w:tc>
            </w:tr>
            <w:tr w14:paraId="1836F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vMerge w:val="continue"/>
                  <w:tcBorders>
                    <w:tl2br w:val="nil"/>
                    <w:tr2bl w:val="nil"/>
                  </w:tcBorders>
                  <w:vAlign w:val="center"/>
                </w:tcPr>
                <w:p w14:paraId="0C572485">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p>
              </w:tc>
              <w:tc>
                <w:tcPr>
                  <w:tcW w:w="850" w:type="pct"/>
                  <w:vMerge w:val="continue"/>
                  <w:tcBorders>
                    <w:tl2br w:val="nil"/>
                    <w:tr2bl w:val="nil"/>
                  </w:tcBorders>
                  <w:vAlign w:val="center"/>
                </w:tcPr>
                <w:p w14:paraId="69B4CF67">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p>
              </w:tc>
              <w:tc>
                <w:tcPr>
                  <w:tcW w:w="421" w:type="pct"/>
                  <w:tcBorders>
                    <w:top w:val="single" w:color="000000" w:sz="4" w:space="0"/>
                    <w:right w:val="single" w:color="000000" w:sz="4" w:space="0"/>
                    <w:tl2br w:val="nil"/>
                    <w:tr2bl w:val="nil"/>
                  </w:tcBorders>
                  <w:vAlign w:val="center"/>
                </w:tcPr>
                <w:p w14:paraId="6147890E">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技术改造</w:t>
                  </w:r>
                  <w:r>
                    <w:rPr>
                      <w:rFonts w:hint="default" w:ascii="Times New Roman" w:hAnsi="Times New Roman" w:eastAsia="宋体" w:cs="Times New Roman"/>
                      <w:b/>
                      <w:bCs/>
                      <w:color w:val="auto"/>
                      <w:sz w:val="21"/>
                      <w:szCs w:val="21"/>
                      <w:highlight w:val="none"/>
                      <w:lang w:val="en-US" w:eastAsia="zh-CN"/>
                    </w:rPr>
                    <w:t>前</w:t>
                  </w:r>
                </w:p>
              </w:tc>
              <w:tc>
                <w:tcPr>
                  <w:tcW w:w="404" w:type="pct"/>
                  <w:tcBorders>
                    <w:top w:val="single" w:color="000000" w:sz="4" w:space="0"/>
                    <w:left w:val="single" w:color="000000" w:sz="4" w:space="0"/>
                    <w:right w:val="single" w:color="000000" w:sz="4" w:space="0"/>
                    <w:tl2br w:val="nil"/>
                    <w:tr2bl w:val="nil"/>
                  </w:tcBorders>
                  <w:vAlign w:val="center"/>
                </w:tcPr>
                <w:p w14:paraId="6915AA18">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技术改造</w:t>
                  </w:r>
                  <w:r>
                    <w:rPr>
                      <w:rFonts w:hint="default" w:ascii="Times New Roman" w:hAnsi="Times New Roman" w:eastAsia="宋体" w:cs="Times New Roman"/>
                      <w:b/>
                      <w:bCs/>
                      <w:color w:val="auto"/>
                      <w:sz w:val="21"/>
                      <w:szCs w:val="21"/>
                      <w:highlight w:val="none"/>
                      <w:lang w:val="en-US" w:eastAsia="zh-CN"/>
                    </w:rPr>
                    <w:t>后</w:t>
                  </w:r>
                </w:p>
              </w:tc>
              <w:tc>
                <w:tcPr>
                  <w:tcW w:w="414" w:type="pct"/>
                  <w:tcBorders>
                    <w:top w:val="single" w:color="000000" w:sz="4" w:space="0"/>
                    <w:left w:val="single" w:color="000000" w:sz="4" w:space="0"/>
                    <w:tl2br w:val="nil"/>
                    <w:tr2bl w:val="nil"/>
                  </w:tcBorders>
                  <w:vAlign w:val="center"/>
                </w:tcPr>
                <w:p w14:paraId="416902B6">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变化量</w:t>
                  </w:r>
                </w:p>
              </w:tc>
              <w:tc>
                <w:tcPr>
                  <w:tcW w:w="456" w:type="pct"/>
                  <w:vMerge w:val="continue"/>
                  <w:tcBorders>
                    <w:tl2br w:val="nil"/>
                    <w:tr2bl w:val="nil"/>
                  </w:tcBorders>
                  <w:vAlign w:val="center"/>
                </w:tcPr>
                <w:p w14:paraId="700F7FD1">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p>
              </w:tc>
              <w:tc>
                <w:tcPr>
                  <w:tcW w:w="664" w:type="pct"/>
                  <w:vMerge w:val="continue"/>
                  <w:tcBorders>
                    <w:tl2br w:val="nil"/>
                    <w:tr2bl w:val="nil"/>
                  </w:tcBorders>
                  <w:vAlign w:val="center"/>
                </w:tcPr>
                <w:p w14:paraId="71E409C8">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p>
              </w:tc>
              <w:tc>
                <w:tcPr>
                  <w:tcW w:w="464" w:type="pct"/>
                  <w:vMerge w:val="continue"/>
                  <w:tcBorders>
                    <w:tl2br w:val="nil"/>
                    <w:tr2bl w:val="nil"/>
                  </w:tcBorders>
                  <w:vAlign w:val="center"/>
                </w:tcPr>
                <w:p w14:paraId="34B7A391">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p>
              </w:tc>
              <w:tc>
                <w:tcPr>
                  <w:tcW w:w="345" w:type="pct"/>
                  <w:vMerge w:val="continue"/>
                  <w:tcBorders>
                    <w:tl2br w:val="nil"/>
                    <w:tr2bl w:val="nil"/>
                  </w:tcBorders>
                  <w:vAlign w:val="center"/>
                </w:tcPr>
                <w:p w14:paraId="4E5AE8C3">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auto"/>
                      <w:sz w:val="21"/>
                      <w:szCs w:val="20"/>
                      <w:highlight w:val="none"/>
                    </w:rPr>
                  </w:pPr>
                </w:p>
              </w:tc>
              <w:tc>
                <w:tcPr>
                  <w:tcW w:w="669" w:type="pct"/>
                  <w:vMerge w:val="continue"/>
                  <w:tcBorders>
                    <w:tl2br w:val="nil"/>
                    <w:tr2bl w:val="nil"/>
                  </w:tcBorders>
                  <w:vAlign w:val="center"/>
                </w:tcPr>
                <w:p w14:paraId="22FD622C">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bCs/>
                      <w:color w:val="auto"/>
                      <w:sz w:val="21"/>
                      <w:szCs w:val="20"/>
                      <w:highlight w:val="none"/>
                    </w:rPr>
                  </w:pPr>
                </w:p>
              </w:tc>
            </w:tr>
            <w:tr w14:paraId="63F0A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08" w:type="pct"/>
                  <w:tcBorders>
                    <w:tl2br w:val="nil"/>
                    <w:tr2bl w:val="nil"/>
                  </w:tcBorders>
                  <w:vAlign w:val="center"/>
                </w:tcPr>
                <w:p w14:paraId="1B86E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850" w:type="pct"/>
                  <w:tcBorders>
                    <w:tl2br w:val="nil"/>
                    <w:tr2bl w:val="nil"/>
                  </w:tcBorders>
                  <w:vAlign w:val="center"/>
                </w:tcPr>
                <w:p w14:paraId="564F8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有机硅光固化树脂</w:t>
                  </w:r>
                </w:p>
              </w:tc>
              <w:tc>
                <w:tcPr>
                  <w:tcW w:w="421" w:type="pct"/>
                  <w:tcBorders>
                    <w:right w:val="single" w:color="000000" w:sz="4" w:space="0"/>
                    <w:tl2br w:val="nil"/>
                    <w:tr2bl w:val="nil"/>
                  </w:tcBorders>
                  <w:vAlign w:val="center"/>
                </w:tcPr>
                <w:p w14:paraId="3A95F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5"/>
                      <w:sz w:val="21"/>
                      <w:szCs w:val="21"/>
                      <w:highlight w:val="none"/>
                    </w:rPr>
                    <w:t>150</w:t>
                  </w:r>
                </w:p>
              </w:tc>
              <w:tc>
                <w:tcPr>
                  <w:tcW w:w="404" w:type="pct"/>
                  <w:tcBorders>
                    <w:left w:val="single" w:color="000000" w:sz="4" w:space="0"/>
                    <w:right w:val="single" w:color="000000" w:sz="4" w:space="0"/>
                    <w:tl2br w:val="nil"/>
                    <w:tr2bl w:val="nil"/>
                  </w:tcBorders>
                  <w:vAlign w:val="center"/>
                </w:tcPr>
                <w:p w14:paraId="67F778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150</w:t>
                  </w:r>
                </w:p>
              </w:tc>
              <w:tc>
                <w:tcPr>
                  <w:tcW w:w="414" w:type="pct"/>
                  <w:tcBorders>
                    <w:left w:val="single" w:color="000000" w:sz="4" w:space="0"/>
                    <w:tl2br w:val="nil"/>
                    <w:tr2bl w:val="nil"/>
                  </w:tcBorders>
                  <w:vAlign w:val="center"/>
                </w:tcPr>
                <w:p w14:paraId="20583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456" w:type="pct"/>
                  <w:tcBorders>
                    <w:tl2br w:val="nil"/>
                    <w:tr2bl w:val="nil"/>
                  </w:tcBorders>
                  <w:vAlign w:val="center"/>
                </w:tcPr>
                <w:p w14:paraId="5C52A598">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液态</w:t>
                  </w:r>
                </w:p>
              </w:tc>
              <w:tc>
                <w:tcPr>
                  <w:tcW w:w="664" w:type="pct"/>
                  <w:tcBorders>
                    <w:tl2br w:val="nil"/>
                    <w:tr2bl w:val="nil"/>
                  </w:tcBorders>
                  <w:vAlign w:val="center"/>
                </w:tcPr>
                <w:p w14:paraId="04E063E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pacing w:val="-1"/>
                      <w:sz w:val="21"/>
                      <w:szCs w:val="21"/>
                      <w:highlight w:val="none"/>
                      <w:lang w:val="en-US" w:eastAsia="zh-CN"/>
                    </w:rPr>
                    <w:t>200</w:t>
                  </w:r>
                  <w:r>
                    <w:rPr>
                      <w:rFonts w:hint="default" w:ascii="Times New Roman" w:hAnsi="Times New Roman" w:eastAsia="宋体" w:cs="Times New Roman"/>
                      <w:b w:val="0"/>
                      <w:bCs w:val="0"/>
                      <w:color w:val="auto"/>
                      <w:spacing w:val="-1"/>
                      <w:sz w:val="21"/>
                      <w:szCs w:val="21"/>
                      <w:highlight w:val="none"/>
                    </w:rPr>
                    <w:t>kg/桶</w:t>
                  </w:r>
                </w:p>
              </w:tc>
              <w:tc>
                <w:tcPr>
                  <w:tcW w:w="464" w:type="pct"/>
                  <w:tcBorders>
                    <w:tl2br w:val="nil"/>
                    <w:tr2bl w:val="nil"/>
                  </w:tcBorders>
                  <w:vAlign w:val="center"/>
                </w:tcPr>
                <w:p w14:paraId="7C132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7"/>
                      <w:sz w:val="21"/>
                      <w:szCs w:val="21"/>
                      <w:highlight w:val="none"/>
                    </w:rPr>
                    <w:t>10</w:t>
                  </w:r>
                </w:p>
              </w:tc>
              <w:tc>
                <w:tcPr>
                  <w:tcW w:w="345" w:type="pct"/>
                  <w:vMerge w:val="restart"/>
                  <w:tcBorders>
                    <w:tl2br w:val="nil"/>
                    <w:tr2bl w:val="nil"/>
                  </w:tcBorders>
                  <w:vAlign w:val="center"/>
                </w:tcPr>
                <w:p w14:paraId="479714DF">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lang w:eastAsia="zh-CN"/>
                    </w:rPr>
                  </w:pPr>
                  <w:r>
                    <w:rPr>
                      <w:rFonts w:hint="default" w:ascii="Times New Roman" w:hAnsi="Times New Roman" w:eastAsia="宋体" w:cs="Times New Roman"/>
                      <w:b w:val="0"/>
                      <w:bCs w:val="0"/>
                      <w:color w:val="auto"/>
                      <w:sz w:val="21"/>
                      <w:szCs w:val="20"/>
                      <w:highlight w:val="none"/>
                      <w:lang w:eastAsia="zh-CN"/>
                    </w:rPr>
                    <w:t>原料仓库</w:t>
                  </w:r>
                </w:p>
              </w:tc>
              <w:tc>
                <w:tcPr>
                  <w:tcW w:w="669" w:type="pct"/>
                  <w:vMerge w:val="restart"/>
                  <w:tcBorders>
                    <w:tl2br w:val="nil"/>
                    <w:tr2bl w:val="nil"/>
                  </w:tcBorders>
                  <w:vAlign w:val="center"/>
                </w:tcPr>
                <w:p w14:paraId="00E3E796">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r>
                    <w:rPr>
                      <w:rFonts w:hint="default" w:ascii="Times New Roman" w:hAnsi="Times New Roman" w:eastAsia="宋体" w:cs="Times New Roman"/>
                      <w:b w:val="0"/>
                      <w:bCs w:val="0"/>
                      <w:color w:val="auto"/>
                      <w:sz w:val="21"/>
                      <w:szCs w:val="20"/>
                      <w:highlight w:val="none"/>
                    </w:rPr>
                    <w:t>医用高分子材料生产线</w:t>
                  </w:r>
                </w:p>
              </w:tc>
            </w:tr>
            <w:tr w14:paraId="54E4A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50039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850" w:type="pct"/>
                  <w:tcBorders>
                    <w:tl2br w:val="nil"/>
                    <w:tr2bl w:val="nil"/>
                  </w:tcBorders>
                  <w:vAlign w:val="center"/>
                </w:tcPr>
                <w:p w14:paraId="221BA7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环氧丙烯酸酯</w:t>
                  </w:r>
                </w:p>
              </w:tc>
              <w:tc>
                <w:tcPr>
                  <w:tcW w:w="421" w:type="pct"/>
                  <w:tcBorders>
                    <w:right w:val="single" w:color="000000" w:sz="4" w:space="0"/>
                    <w:tl2br w:val="nil"/>
                    <w:tr2bl w:val="nil"/>
                  </w:tcBorders>
                  <w:vAlign w:val="center"/>
                </w:tcPr>
                <w:p w14:paraId="2C13B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1"/>
                      <w:sz w:val="21"/>
                      <w:szCs w:val="21"/>
                      <w:highlight w:val="none"/>
                    </w:rPr>
                    <w:t>200</w:t>
                  </w:r>
                </w:p>
              </w:tc>
              <w:tc>
                <w:tcPr>
                  <w:tcW w:w="404" w:type="pct"/>
                  <w:tcBorders>
                    <w:left w:val="single" w:color="000000" w:sz="4" w:space="0"/>
                    <w:right w:val="single" w:color="000000" w:sz="4" w:space="0"/>
                    <w:tl2br w:val="nil"/>
                    <w:tr2bl w:val="nil"/>
                  </w:tcBorders>
                  <w:vAlign w:val="center"/>
                </w:tcPr>
                <w:p w14:paraId="5E6BF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w:t>
                  </w:r>
                </w:p>
              </w:tc>
              <w:tc>
                <w:tcPr>
                  <w:tcW w:w="414" w:type="pct"/>
                  <w:tcBorders>
                    <w:left w:val="single" w:color="000000" w:sz="4" w:space="0"/>
                    <w:tl2br w:val="nil"/>
                    <w:tr2bl w:val="nil"/>
                  </w:tcBorders>
                  <w:vAlign w:val="center"/>
                </w:tcPr>
                <w:p w14:paraId="24110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456" w:type="pct"/>
                  <w:tcBorders>
                    <w:tl2br w:val="nil"/>
                    <w:tr2bl w:val="nil"/>
                  </w:tcBorders>
                  <w:vAlign w:val="center"/>
                </w:tcPr>
                <w:p w14:paraId="21A68715">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液态</w:t>
                  </w:r>
                </w:p>
              </w:tc>
              <w:tc>
                <w:tcPr>
                  <w:tcW w:w="664" w:type="pct"/>
                  <w:tcBorders>
                    <w:tl2br w:val="nil"/>
                    <w:tr2bl w:val="nil"/>
                  </w:tcBorders>
                  <w:vAlign w:val="center"/>
                </w:tcPr>
                <w:p w14:paraId="1AD0635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pacing w:val="-1"/>
                      <w:sz w:val="21"/>
                      <w:szCs w:val="21"/>
                      <w:highlight w:val="none"/>
                      <w:lang w:val="en-US" w:eastAsia="zh-CN"/>
                    </w:rPr>
                    <w:t>200</w:t>
                  </w:r>
                  <w:r>
                    <w:rPr>
                      <w:rFonts w:hint="default" w:ascii="Times New Roman" w:hAnsi="Times New Roman" w:eastAsia="宋体" w:cs="Times New Roman"/>
                      <w:b w:val="0"/>
                      <w:bCs w:val="0"/>
                      <w:color w:val="auto"/>
                      <w:spacing w:val="-1"/>
                      <w:sz w:val="21"/>
                      <w:szCs w:val="21"/>
                      <w:highlight w:val="none"/>
                    </w:rPr>
                    <w:t>kg/桶</w:t>
                  </w:r>
                </w:p>
              </w:tc>
              <w:tc>
                <w:tcPr>
                  <w:tcW w:w="464" w:type="pct"/>
                  <w:tcBorders>
                    <w:tl2br w:val="nil"/>
                    <w:tr2bl w:val="nil"/>
                  </w:tcBorders>
                  <w:vAlign w:val="center"/>
                </w:tcPr>
                <w:p w14:paraId="17E10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20</w:t>
                  </w:r>
                </w:p>
              </w:tc>
              <w:tc>
                <w:tcPr>
                  <w:tcW w:w="345" w:type="pct"/>
                  <w:vMerge w:val="continue"/>
                  <w:tcBorders>
                    <w:tl2br w:val="nil"/>
                    <w:tr2bl w:val="nil"/>
                  </w:tcBorders>
                  <w:vAlign w:val="center"/>
                </w:tcPr>
                <w:p w14:paraId="4A4E170C">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c>
                <w:tcPr>
                  <w:tcW w:w="669" w:type="pct"/>
                  <w:vMerge w:val="continue"/>
                  <w:tcBorders>
                    <w:tl2br w:val="nil"/>
                    <w:tr2bl w:val="nil"/>
                  </w:tcBorders>
                  <w:vAlign w:val="center"/>
                </w:tcPr>
                <w:p w14:paraId="66354E35">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r>
            <w:tr w14:paraId="559FE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3A2C34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3</w:t>
                  </w:r>
                </w:p>
              </w:tc>
              <w:tc>
                <w:tcPr>
                  <w:tcW w:w="850" w:type="pct"/>
                  <w:tcBorders>
                    <w:tl2br w:val="nil"/>
                    <w:tr2bl w:val="nil"/>
                  </w:tcBorders>
                  <w:vAlign w:val="center"/>
                </w:tcPr>
                <w:p w14:paraId="097E2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聚氨酯丙烯酸</w:t>
                  </w:r>
                </w:p>
              </w:tc>
              <w:tc>
                <w:tcPr>
                  <w:tcW w:w="421" w:type="pct"/>
                  <w:tcBorders>
                    <w:right w:val="single" w:color="000000" w:sz="4" w:space="0"/>
                    <w:tl2br w:val="nil"/>
                    <w:tr2bl w:val="nil"/>
                  </w:tcBorders>
                  <w:vAlign w:val="center"/>
                </w:tcPr>
                <w:p w14:paraId="45131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15</w:t>
                  </w:r>
                </w:p>
              </w:tc>
              <w:tc>
                <w:tcPr>
                  <w:tcW w:w="404" w:type="pct"/>
                  <w:tcBorders>
                    <w:left w:val="single" w:color="000000" w:sz="4" w:space="0"/>
                    <w:right w:val="single" w:color="000000" w:sz="4" w:space="0"/>
                    <w:tl2br w:val="nil"/>
                    <w:tr2bl w:val="nil"/>
                  </w:tcBorders>
                  <w:vAlign w:val="center"/>
                </w:tcPr>
                <w:p w14:paraId="05582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c>
                <w:tcPr>
                  <w:tcW w:w="414" w:type="pct"/>
                  <w:tcBorders>
                    <w:left w:val="single" w:color="000000" w:sz="4" w:space="0"/>
                    <w:tl2br w:val="nil"/>
                    <w:tr2bl w:val="nil"/>
                  </w:tcBorders>
                  <w:vAlign w:val="center"/>
                </w:tcPr>
                <w:p w14:paraId="1E54C0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456" w:type="pct"/>
                  <w:tcBorders>
                    <w:tl2br w:val="nil"/>
                    <w:tr2bl w:val="nil"/>
                  </w:tcBorders>
                  <w:vAlign w:val="center"/>
                </w:tcPr>
                <w:p w14:paraId="2E420C9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液态</w:t>
                  </w:r>
                </w:p>
              </w:tc>
              <w:tc>
                <w:tcPr>
                  <w:tcW w:w="664" w:type="pct"/>
                  <w:tcBorders>
                    <w:tl2br w:val="nil"/>
                    <w:tr2bl w:val="nil"/>
                  </w:tcBorders>
                  <w:vAlign w:val="center"/>
                </w:tcPr>
                <w:p w14:paraId="0F6AE98B">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
                      <w:sz w:val="21"/>
                      <w:szCs w:val="21"/>
                      <w:highlight w:val="none"/>
                    </w:rPr>
                    <w:t>25kg/桶</w:t>
                  </w:r>
                </w:p>
              </w:tc>
              <w:tc>
                <w:tcPr>
                  <w:tcW w:w="464" w:type="pct"/>
                  <w:tcBorders>
                    <w:tl2br w:val="nil"/>
                    <w:tr2bl w:val="nil"/>
                  </w:tcBorders>
                  <w:vAlign w:val="center"/>
                </w:tcPr>
                <w:p w14:paraId="5896B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345" w:type="pct"/>
                  <w:vMerge w:val="continue"/>
                  <w:tcBorders>
                    <w:tl2br w:val="nil"/>
                    <w:tr2bl w:val="nil"/>
                  </w:tcBorders>
                  <w:vAlign w:val="center"/>
                </w:tcPr>
                <w:p w14:paraId="2E036BDF">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c>
                <w:tcPr>
                  <w:tcW w:w="669" w:type="pct"/>
                  <w:vMerge w:val="continue"/>
                  <w:tcBorders>
                    <w:tl2br w:val="nil"/>
                    <w:tr2bl w:val="nil"/>
                  </w:tcBorders>
                  <w:vAlign w:val="center"/>
                </w:tcPr>
                <w:p w14:paraId="7A5E4E0B">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r>
            <w:tr w14:paraId="27172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08" w:type="pct"/>
                  <w:tcBorders>
                    <w:tl2br w:val="nil"/>
                    <w:tr2bl w:val="nil"/>
                  </w:tcBorders>
                  <w:vAlign w:val="center"/>
                </w:tcPr>
                <w:p w14:paraId="341F0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4</w:t>
                  </w:r>
                </w:p>
              </w:tc>
              <w:tc>
                <w:tcPr>
                  <w:tcW w:w="850" w:type="pct"/>
                  <w:tcBorders>
                    <w:tl2br w:val="nil"/>
                    <w:tr2bl w:val="nil"/>
                  </w:tcBorders>
                  <w:vAlign w:val="center"/>
                </w:tcPr>
                <w:p w14:paraId="5DF46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氨基甲酸酯丙烯酸酯</w:t>
                  </w:r>
                </w:p>
              </w:tc>
              <w:tc>
                <w:tcPr>
                  <w:tcW w:w="421" w:type="pct"/>
                  <w:tcBorders>
                    <w:right w:val="single" w:color="000000" w:sz="4" w:space="0"/>
                    <w:tl2br w:val="nil"/>
                    <w:tr2bl w:val="nil"/>
                  </w:tcBorders>
                  <w:vAlign w:val="center"/>
                </w:tcPr>
                <w:p w14:paraId="340A2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15</w:t>
                  </w:r>
                </w:p>
              </w:tc>
              <w:tc>
                <w:tcPr>
                  <w:tcW w:w="404" w:type="pct"/>
                  <w:tcBorders>
                    <w:left w:val="single" w:color="000000" w:sz="4" w:space="0"/>
                    <w:right w:val="single" w:color="000000" w:sz="4" w:space="0"/>
                    <w:tl2br w:val="nil"/>
                    <w:tr2bl w:val="nil"/>
                  </w:tcBorders>
                  <w:vAlign w:val="center"/>
                </w:tcPr>
                <w:p w14:paraId="26B15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c>
                <w:tcPr>
                  <w:tcW w:w="414" w:type="pct"/>
                  <w:tcBorders>
                    <w:left w:val="single" w:color="000000" w:sz="4" w:space="0"/>
                    <w:tl2br w:val="nil"/>
                    <w:tr2bl w:val="nil"/>
                  </w:tcBorders>
                  <w:vAlign w:val="center"/>
                </w:tcPr>
                <w:p w14:paraId="50B90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w:t>
                  </w:r>
                </w:p>
              </w:tc>
              <w:tc>
                <w:tcPr>
                  <w:tcW w:w="456" w:type="pct"/>
                  <w:tcBorders>
                    <w:tl2br w:val="nil"/>
                    <w:tr2bl w:val="nil"/>
                  </w:tcBorders>
                  <w:vAlign w:val="center"/>
                </w:tcPr>
                <w:p w14:paraId="63508892">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液态</w:t>
                  </w:r>
                </w:p>
              </w:tc>
              <w:tc>
                <w:tcPr>
                  <w:tcW w:w="664" w:type="pct"/>
                  <w:tcBorders>
                    <w:tl2br w:val="nil"/>
                    <w:tr2bl w:val="nil"/>
                  </w:tcBorders>
                  <w:vAlign w:val="center"/>
                </w:tcPr>
                <w:p w14:paraId="6958F22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
                      <w:sz w:val="21"/>
                      <w:szCs w:val="21"/>
                      <w:highlight w:val="none"/>
                    </w:rPr>
                    <w:t>25kg/桶</w:t>
                  </w:r>
                </w:p>
              </w:tc>
              <w:tc>
                <w:tcPr>
                  <w:tcW w:w="464" w:type="pct"/>
                  <w:tcBorders>
                    <w:tl2br w:val="nil"/>
                    <w:tr2bl w:val="nil"/>
                  </w:tcBorders>
                  <w:vAlign w:val="center"/>
                </w:tcPr>
                <w:p w14:paraId="148650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345" w:type="pct"/>
                  <w:vMerge w:val="continue"/>
                  <w:tcBorders>
                    <w:tl2br w:val="nil"/>
                    <w:tr2bl w:val="nil"/>
                  </w:tcBorders>
                  <w:vAlign w:val="center"/>
                </w:tcPr>
                <w:p w14:paraId="095B2A92">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c>
                <w:tcPr>
                  <w:tcW w:w="669" w:type="pct"/>
                  <w:vMerge w:val="continue"/>
                  <w:tcBorders>
                    <w:tl2br w:val="nil"/>
                    <w:tr2bl w:val="nil"/>
                  </w:tcBorders>
                  <w:vAlign w:val="center"/>
                </w:tcPr>
                <w:p w14:paraId="330C0018">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r>
            <w:tr w14:paraId="73129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5579C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5</w:t>
                  </w:r>
                </w:p>
              </w:tc>
              <w:tc>
                <w:tcPr>
                  <w:tcW w:w="850" w:type="pct"/>
                  <w:tcBorders>
                    <w:tl2br w:val="nil"/>
                    <w:tr2bl w:val="nil"/>
                  </w:tcBorders>
                  <w:vAlign w:val="center"/>
                </w:tcPr>
                <w:p w14:paraId="2AD9B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丙烯酸酯单体</w:t>
                  </w:r>
                </w:p>
              </w:tc>
              <w:tc>
                <w:tcPr>
                  <w:tcW w:w="421" w:type="pct"/>
                  <w:tcBorders>
                    <w:right w:val="single" w:color="000000" w:sz="4" w:space="0"/>
                    <w:tl2br w:val="nil"/>
                    <w:tr2bl w:val="nil"/>
                  </w:tcBorders>
                  <w:vAlign w:val="center"/>
                </w:tcPr>
                <w:p w14:paraId="1C41A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5"/>
                      <w:sz w:val="21"/>
                      <w:szCs w:val="21"/>
                      <w:highlight w:val="none"/>
                    </w:rPr>
                    <w:t>130</w:t>
                  </w:r>
                </w:p>
              </w:tc>
              <w:tc>
                <w:tcPr>
                  <w:tcW w:w="404" w:type="pct"/>
                  <w:tcBorders>
                    <w:left w:val="single" w:color="000000" w:sz="4" w:space="0"/>
                    <w:right w:val="single" w:color="000000" w:sz="4" w:space="0"/>
                    <w:tl2br w:val="nil"/>
                    <w:tr2bl w:val="nil"/>
                  </w:tcBorders>
                  <w:vAlign w:val="center"/>
                </w:tcPr>
                <w:p w14:paraId="4B6F3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pacing w:val="-5"/>
                      <w:sz w:val="21"/>
                      <w:szCs w:val="21"/>
                      <w:highlight w:val="none"/>
                      <w:lang w:val="en-US" w:eastAsia="zh-CN"/>
                    </w:rPr>
                    <w:t>132</w:t>
                  </w:r>
                </w:p>
              </w:tc>
              <w:tc>
                <w:tcPr>
                  <w:tcW w:w="414" w:type="pct"/>
                  <w:tcBorders>
                    <w:left w:val="single" w:color="000000" w:sz="4" w:space="0"/>
                    <w:tl2br w:val="nil"/>
                    <w:tr2bl w:val="nil"/>
                  </w:tcBorders>
                  <w:vAlign w:val="center"/>
                </w:tcPr>
                <w:p w14:paraId="57E9B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w:t>
                  </w:r>
                </w:p>
              </w:tc>
              <w:tc>
                <w:tcPr>
                  <w:tcW w:w="456" w:type="pct"/>
                  <w:tcBorders>
                    <w:tl2br w:val="nil"/>
                    <w:tr2bl w:val="nil"/>
                  </w:tcBorders>
                  <w:vAlign w:val="center"/>
                </w:tcPr>
                <w:p w14:paraId="2657FF6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液态</w:t>
                  </w:r>
                </w:p>
              </w:tc>
              <w:tc>
                <w:tcPr>
                  <w:tcW w:w="664" w:type="pct"/>
                  <w:tcBorders>
                    <w:tl2br w:val="nil"/>
                    <w:tr2bl w:val="nil"/>
                  </w:tcBorders>
                  <w:vAlign w:val="center"/>
                </w:tcPr>
                <w:p w14:paraId="48BD09D0">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1"/>
                      <w:sz w:val="21"/>
                      <w:szCs w:val="21"/>
                      <w:highlight w:val="none"/>
                    </w:rPr>
                    <w:t>25kg/桶</w:t>
                  </w:r>
                </w:p>
              </w:tc>
              <w:tc>
                <w:tcPr>
                  <w:tcW w:w="464" w:type="pct"/>
                  <w:tcBorders>
                    <w:tl2br w:val="nil"/>
                    <w:tr2bl w:val="nil"/>
                  </w:tcBorders>
                  <w:vAlign w:val="center"/>
                </w:tcPr>
                <w:p w14:paraId="1AFD1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8"/>
                      <w:sz w:val="21"/>
                      <w:szCs w:val="21"/>
                      <w:highlight w:val="none"/>
                    </w:rPr>
                    <w:t>1.5</w:t>
                  </w:r>
                </w:p>
              </w:tc>
              <w:tc>
                <w:tcPr>
                  <w:tcW w:w="345" w:type="pct"/>
                  <w:vMerge w:val="continue"/>
                  <w:tcBorders>
                    <w:tl2br w:val="nil"/>
                    <w:tr2bl w:val="nil"/>
                  </w:tcBorders>
                  <w:vAlign w:val="center"/>
                </w:tcPr>
                <w:p w14:paraId="2324064B">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c>
                <w:tcPr>
                  <w:tcW w:w="669" w:type="pct"/>
                  <w:vMerge w:val="continue"/>
                  <w:tcBorders>
                    <w:tl2br w:val="nil"/>
                    <w:tr2bl w:val="nil"/>
                  </w:tcBorders>
                  <w:vAlign w:val="center"/>
                </w:tcPr>
                <w:p w14:paraId="7303DF60">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r>
            <w:tr w14:paraId="1095D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78473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6</w:t>
                  </w:r>
                </w:p>
              </w:tc>
              <w:tc>
                <w:tcPr>
                  <w:tcW w:w="850" w:type="pct"/>
                  <w:tcBorders>
                    <w:tl2br w:val="nil"/>
                    <w:tr2bl w:val="nil"/>
                  </w:tcBorders>
                  <w:vAlign w:val="center"/>
                </w:tcPr>
                <w:p w14:paraId="2F69A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光敏剂</w:t>
                  </w:r>
                </w:p>
              </w:tc>
              <w:tc>
                <w:tcPr>
                  <w:tcW w:w="421" w:type="pct"/>
                  <w:tcBorders>
                    <w:right w:val="single" w:color="000000" w:sz="4" w:space="0"/>
                    <w:tl2br w:val="nil"/>
                    <w:tr2bl w:val="nil"/>
                  </w:tcBorders>
                  <w:vAlign w:val="center"/>
                </w:tcPr>
                <w:p w14:paraId="433F8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3.5</w:t>
                  </w:r>
                </w:p>
              </w:tc>
              <w:tc>
                <w:tcPr>
                  <w:tcW w:w="404" w:type="pct"/>
                  <w:tcBorders>
                    <w:left w:val="single" w:color="000000" w:sz="4" w:space="0"/>
                    <w:right w:val="single" w:color="000000" w:sz="4" w:space="0"/>
                    <w:tl2br w:val="nil"/>
                    <w:tr2bl w:val="nil"/>
                  </w:tcBorders>
                  <w:vAlign w:val="center"/>
                </w:tcPr>
                <w:p w14:paraId="17AA6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3.5</w:t>
                  </w:r>
                </w:p>
              </w:tc>
              <w:tc>
                <w:tcPr>
                  <w:tcW w:w="414" w:type="pct"/>
                  <w:tcBorders>
                    <w:left w:val="single" w:color="000000" w:sz="4" w:space="0"/>
                    <w:tl2br w:val="nil"/>
                    <w:tr2bl w:val="nil"/>
                  </w:tcBorders>
                  <w:vAlign w:val="center"/>
                </w:tcPr>
                <w:p w14:paraId="0F708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456" w:type="pct"/>
                  <w:tcBorders>
                    <w:tl2br w:val="nil"/>
                    <w:tr2bl w:val="nil"/>
                  </w:tcBorders>
                  <w:vAlign w:val="center"/>
                </w:tcPr>
                <w:p w14:paraId="18FF211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固态</w:t>
                  </w:r>
                </w:p>
              </w:tc>
              <w:tc>
                <w:tcPr>
                  <w:tcW w:w="664" w:type="pct"/>
                  <w:tcBorders>
                    <w:tl2br w:val="nil"/>
                    <w:tr2bl w:val="nil"/>
                  </w:tcBorders>
                  <w:vAlign w:val="center"/>
                </w:tcPr>
                <w:p w14:paraId="2F69C2D5">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5kg/袋</w:t>
                  </w:r>
                </w:p>
              </w:tc>
              <w:tc>
                <w:tcPr>
                  <w:tcW w:w="464" w:type="pct"/>
                  <w:tcBorders>
                    <w:tl2br w:val="nil"/>
                    <w:tr2bl w:val="nil"/>
                  </w:tcBorders>
                  <w:vAlign w:val="center"/>
                </w:tcPr>
                <w:p w14:paraId="2921D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0.05</w:t>
                  </w:r>
                </w:p>
              </w:tc>
              <w:tc>
                <w:tcPr>
                  <w:tcW w:w="345" w:type="pct"/>
                  <w:vMerge w:val="continue"/>
                  <w:tcBorders>
                    <w:tl2br w:val="nil"/>
                    <w:tr2bl w:val="nil"/>
                  </w:tcBorders>
                  <w:vAlign w:val="center"/>
                </w:tcPr>
                <w:p w14:paraId="6B1A4160">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c>
                <w:tcPr>
                  <w:tcW w:w="669" w:type="pct"/>
                  <w:vMerge w:val="continue"/>
                  <w:tcBorders>
                    <w:tl2br w:val="nil"/>
                    <w:tr2bl w:val="nil"/>
                  </w:tcBorders>
                  <w:vAlign w:val="center"/>
                </w:tcPr>
                <w:p w14:paraId="167C197F">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r>
            <w:tr w14:paraId="4FFFB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442BF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7</w:t>
                  </w:r>
                </w:p>
              </w:tc>
              <w:tc>
                <w:tcPr>
                  <w:tcW w:w="850" w:type="pct"/>
                  <w:tcBorders>
                    <w:tl2br w:val="nil"/>
                    <w:tr2bl w:val="nil"/>
                  </w:tcBorders>
                  <w:vAlign w:val="center"/>
                </w:tcPr>
                <w:p w14:paraId="2744F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无机填料</w:t>
                  </w:r>
                </w:p>
              </w:tc>
              <w:tc>
                <w:tcPr>
                  <w:tcW w:w="421" w:type="pct"/>
                  <w:tcBorders>
                    <w:right w:val="single" w:color="000000" w:sz="4" w:space="0"/>
                    <w:tl2br w:val="nil"/>
                    <w:tr2bl w:val="nil"/>
                  </w:tcBorders>
                  <w:vAlign w:val="center"/>
                </w:tcPr>
                <w:p w14:paraId="21431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04" w:type="pct"/>
                  <w:tcBorders>
                    <w:left w:val="single" w:color="000000" w:sz="4" w:space="0"/>
                    <w:right w:val="single" w:color="000000" w:sz="4" w:space="0"/>
                    <w:tl2br w:val="nil"/>
                    <w:tr2bl w:val="nil"/>
                  </w:tcBorders>
                  <w:vAlign w:val="center"/>
                </w:tcPr>
                <w:p w14:paraId="32262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414" w:type="pct"/>
                  <w:tcBorders>
                    <w:left w:val="single" w:color="000000" w:sz="4" w:space="0"/>
                    <w:tl2br w:val="nil"/>
                    <w:tr2bl w:val="nil"/>
                  </w:tcBorders>
                  <w:vAlign w:val="center"/>
                </w:tcPr>
                <w:p w14:paraId="6C2DC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456" w:type="pct"/>
                  <w:tcBorders>
                    <w:tl2br w:val="nil"/>
                    <w:tr2bl w:val="nil"/>
                  </w:tcBorders>
                  <w:vAlign w:val="center"/>
                </w:tcPr>
                <w:p w14:paraId="37570B62">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固态</w:t>
                  </w:r>
                </w:p>
              </w:tc>
              <w:tc>
                <w:tcPr>
                  <w:tcW w:w="664" w:type="pct"/>
                  <w:tcBorders>
                    <w:tl2br w:val="nil"/>
                    <w:tr2bl w:val="nil"/>
                  </w:tcBorders>
                  <w:vAlign w:val="center"/>
                </w:tcPr>
                <w:p w14:paraId="7973A8F8">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5kg/袋</w:t>
                  </w:r>
                </w:p>
              </w:tc>
              <w:tc>
                <w:tcPr>
                  <w:tcW w:w="464" w:type="pct"/>
                  <w:tcBorders>
                    <w:tl2br w:val="nil"/>
                    <w:tr2bl w:val="nil"/>
                  </w:tcBorders>
                  <w:vAlign w:val="center"/>
                </w:tcPr>
                <w:p w14:paraId="7EA2B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0.05</w:t>
                  </w:r>
                </w:p>
              </w:tc>
              <w:tc>
                <w:tcPr>
                  <w:tcW w:w="345" w:type="pct"/>
                  <w:vMerge w:val="continue"/>
                  <w:tcBorders>
                    <w:tl2br w:val="nil"/>
                    <w:tr2bl w:val="nil"/>
                  </w:tcBorders>
                  <w:vAlign w:val="center"/>
                </w:tcPr>
                <w:p w14:paraId="2DEA593A">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c>
                <w:tcPr>
                  <w:tcW w:w="669" w:type="pct"/>
                  <w:vMerge w:val="continue"/>
                  <w:tcBorders>
                    <w:tl2br w:val="nil"/>
                    <w:tr2bl w:val="nil"/>
                  </w:tcBorders>
                  <w:vAlign w:val="center"/>
                </w:tcPr>
                <w:p w14:paraId="75D93A9C">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r>
            <w:tr w14:paraId="65D5B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0DB5E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8</w:t>
                  </w:r>
                </w:p>
              </w:tc>
              <w:tc>
                <w:tcPr>
                  <w:tcW w:w="850" w:type="pct"/>
                  <w:tcBorders>
                    <w:tl2br w:val="nil"/>
                    <w:tr2bl w:val="nil"/>
                  </w:tcBorders>
                  <w:vAlign w:val="center"/>
                </w:tcPr>
                <w:p w14:paraId="07617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颜料</w:t>
                  </w:r>
                </w:p>
              </w:tc>
              <w:tc>
                <w:tcPr>
                  <w:tcW w:w="421" w:type="pct"/>
                  <w:tcBorders>
                    <w:right w:val="single" w:color="000000" w:sz="4" w:space="0"/>
                    <w:tl2br w:val="nil"/>
                    <w:tr2bl w:val="nil"/>
                  </w:tcBorders>
                  <w:vAlign w:val="center"/>
                </w:tcPr>
                <w:p w14:paraId="513B2F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1.5</w:t>
                  </w:r>
                </w:p>
              </w:tc>
              <w:tc>
                <w:tcPr>
                  <w:tcW w:w="404" w:type="pct"/>
                  <w:tcBorders>
                    <w:left w:val="single" w:color="000000" w:sz="4" w:space="0"/>
                    <w:right w:val="single" w:color="000000" w:sz="4" w:space="0"/>
                    <w:tl2br w:val="nil"/>
                    <w:tr2bl w:val="nil"/>
                  </w:tcBorders>
                  <w:vAlign w:val="center"/>
                </w:tcPr>
                <w:p w14:paraId="55BA1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pacing w:val="-7"/>
                      <w:sz w:val="21"/>
                      <w:szCs w:val="21"/>
                      <w:highlight w:val="none"/>
                    </w:rPr>
                    <w:t>1.5</w:t>
                  </w:r>
                </w:p>
              </w:tc>
              <w:tc>
                <w:tcPr>
                  <w:tcW w:w="414" w:type="pct"/>
                  <w:tcBorders>
                    <w:left w:val="single" w:color="000000" w:sz="4" w:space="0"/>
                    <w:tl2br w:val="nil"/>
                    <w:tr2bl w:val="nil"/>
                  </w:tcBorders>
                  <w:vAlign w:val="center"/>
                </w:tcPr>
                <w:p w14:paraId="7A596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456" w:type="pct"/>
                  <w:tcBorders>
                    <w:tl2br w:val="nil"/>
                    <w:tr2bl w:val="nil"/>
                  </w:tcBorders>
                  <w:vAlign w:val="center"/>
                </w:tcPr>
                <w:p w14:paraId="0301ED4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固态</w:t>
                  </w:r>
                </w:p>
              </w:tc>
              <w:tc>
                <w:tcPr>
                  <w:tcW w:w="664" w:type="pct"/>
                  <w:tcBorders>
                    <w:tl2br w:val="nil"/>
                    <w:tr2bl w:val="nil"/>
                  </w:tcBorders>
                  <w:vAlign w:val="center"/>
                </w:tcPr>
                <w:p w14:paraId="3B620E7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10kg/袋</w:t>
                  </w:r>
                </w:p>
              </w:tc>
              <w:tc>
                <w:tcPr>
                  <w:tcW w:w="464" w:type="pct"/>
                  <w:tcBorders>
                    <w:tl2br w:val="nil"/>
                    <w:tr2bl w:val="nil"/>
                  </w:tcBorders>
                  <w:vAlign w:val="center"/>
                </w:tcPr>
                <w:p w14:paraId="39421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0.02</w:t>
                  </w:r>
                </w:p>
              </w:tc>
              <w:tc>
                <w:tcPr>
                  <w:tcW w:w="345" w:type="pct"/>
                  <w:vMerge w:val="continue"/>
                  <w:tcBorders>
                    <w:tl2br w:val="nil"/>
                    <w:tr2bl w:val="nil"/>
                  </w:tcBorders>
                  <w:vAlign w:val="center"/>
                </w:tcPr>
                <w:p w14:paraId="171EC0DE">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c>
                <w:tcPr>
                  <w:tcW w:w="669" w:type="pct"/>
                  <w:vMerge w:val="continue"/>
                  <w:tcBorders>
                    <w:tl2br w:val="nil"/>
                    <w:tr2bl w:val="nil"/>
                  </w:tcBorders>
                  <w:vAlign w:val="center"/>
                </w:tcPr>
                <w:p w14:paraId="2F3E2CC0">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r>
            <w:tr w14:paraId="7B23B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2CE97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850" w:type="pct"/>
                  <w:tcBorders>
                    <w:tl2br w:val="nil"/>
                    <w:tr2bl w:val="nil"/>
                  </w:tcBorders>
                  <w:vAlign w:val="center"/>
                </w:tcPr>
                <w:p w14:paraId="0196A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流平助剂</w:t>
                  </w:r>
                </w:p>
              </w:tc>
              <w:tc>
                <w:tcPr>
                  <w:tcW w:w="421" w:type="pct"/>
                  <w:tcBorders>
                    <w:right w:val="single" w:color="000000" w:sz="4" w:space="0"/>
                    <w:tl2br w:val="nil"/>
                    <w:tr2bl w:val="nil"/>
                  </w:tcBorders>
                  <w:vAlign w:val="center"/>
                </w:tcPr>
                <w:p w14:paraId="215B3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2.5</w:t>
                  </w:r>
                </w:p>
              </w:tc>
              <w:tc>
                <w:tcPr>
                  <w:tcW w:w="404" w:type="pct"/>
                  <w:tcBorders>
                    <w:left w:val="single" w:color="000000" w:sz="4" w:space="0"/>
                    <w:right w:val="single" w:color="000000" w:sz="4" w:space="0"/>
                    <w:tl2br w:val="nil"/>
                    <w:tr2bl w:val="nil"/>
                  </w:tcBorders>
                  <w:vAlign w:val="center"/>
                </w:tcPr>
                <w:p w14:paraId="33AA92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2"/>
                      <w:sz w:val="21"/>
                      <w:szCs w:val="21"/>
                      <w:highlight w:val="none"/>
                    </w:rPr>
                    <w:t>2.5</w:t>
                  </w:r>
                </w:p>
              </w:tc>
              <w:tc>
                <w:tcPr>
                  <w:tcW w:w="414" w:type="pct"/>
                  <w:tcBorders>
                    <w:left w:val="single" w:color="000000" w:sz="4" w:space="0"/>
                    <w:tl2br w:val="nil"/>
                    <w:tr2bl w:val="nil"/>
                  </w:tcBorders>
                  <w:vAlign w:val="center"/>
                </w:tcPr>
                <w:p w14:paraId="79290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456" w:type="pct"/>
                  <w:tcBorders>
                    <w:tl2br w:val="nil"/>
                    <w:tr2bl w:val="nil"/>
                  </w:tcBorders>
                  <w:vAlign w:val="center"/>
                </w:tcPr>
                <w:p w14:paraId="258B4565">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液态</w:t>
                  </w:r>
                </w:p>
              </w:tc>
              <w:tc>
                <w:tcPr>
                  <w:tcW w:w="664" w:type="pct"/>
                  <w:tcBorders>
                    <w:tl2br w:val="nil"/>
                    <w:tr2bl w:val="nil"/>
                  </w:tcBorders>
                  <w:vAlign w:val="center"/>
                </w:tcPr>
                <w:p w14:paraId="06207C0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10kg/桶</w:t>
                  </w:r>
                </w:p>
              </w:tc>
              <w:tc>
                <w:tcPr>
                  <w:tcW w:w="464" w:type="pct"/>
                  <w:tcBorders>
                    <w:tl2br w:val="nil"/>
                    <w:tr2bl w:val="nil"/>
                  </w:tcBorders>
                  <w:vAlign w:val="center"/>
                </w:tcPr>
                <w:p w14:paraId="6771B1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0.05</w:t>
                  </w:r>
                </w:p>
              </w:tc>
              <w:tc>
                <w:tcPr>
                  <w:tcW w:w="345" w:type="pct"/>
                  <w:vMerge w:val="continue"/>
                  <w:tcBorders>
                    <w:tl2br w:val="nil"/>
                    <w:tr2bl w:val="nil"/>
                  </w:tcBorders>
                  <w:vAlign w:val="center"/>
                </w:tcPr>
                <w:p w14:paraId="4BCA8C86">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c>
                <w:tcPr>
                  <w:tcW w:w="669" w:type="pct"/>
                  <w:vMerge w:val="continue"/>
                  <w:tcBorders>
                    <w:tl2br w:val="nil"/>
                    <w:tr2bl w:val="nil"/>
                  </w:tcBorders>
                  <w:vAlign w:val="center"/>
                </w:tcPr>
                <w:p w14:paraId="54F186A0">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b w:val="0"/>
                      <w:bCs w:val="0"/>
                      <w:color w:val="auto"/>
                      <w:sz w:val="21"/>
                      <w:szCs w:val="20"/>
                      <w:highlight w:val="none"/>
                    </w:rPr>
                  </w:pPr>
                </w:p>
              </w:tc>
            </w:tr>
            <w:tr w14:paraId="5EC32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45EC37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850" w:type="pct"/>
                  <w:tcBorders>
                    <w:tl2br w:val="nil"/>
                    <w:tr2bl w:val="nil"/>
                  </w:tcBorders>
                  <w:vAlign w:val="center"/>
                </w:tcPr>
                <w:p w14:paraId="233D3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分散助剂</w:t>
                  </w:r>
                </w:p>
              </w:tc>
              <w:tc>
                <w:tcPr>
                  <w:tcW w:w="421" w:type="pct"/>
                  <w:tcBorders>
                    <w:right w:val="single" w:color="000000" w:sz="4" w:space="0"/>
                    <w:tl2br w:val="nil"/>
                    <w:tr2bl w:val="nil"/>
                  </w:tcBorders>
                  <w:vAlign w:val="center"/>
                </w:tcPr>
                <w:p w14:paraId="6D71AC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04" w:type="pct"/>
                  <w:tcBorders>
                    <w:left w:val="single" w:color="000000" w:sz="4" w:space="0"/>
                    <w:right w:val="single" w:color="000000" w:sz="4" w:space="0"/>
                    <w:tl2br w:val="nil"/>
                    <w:tr2bl w:val="nil"/>
                  </w:tcBorders>
                  <w:vAlign w:val="center"/>
                </w:tcPr>
                <w:p w14:paraId="04D72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1</w:t>
                  </w:r>
                </w:p>
              </w:tc>
              <w:tc>
                <w:tcPr>
                  <w:tcW w:w="414" w:type="pct"/>
                  <w:tcBorders>
                    <w:left w:val="single" w:color="000000" w:sz="4" w:space="0"/>
                    <w:tl2br w:val="nil"/>
                    <w:tr2bl w:val="nil"/>
                  </w:tcBorders>
                  <w:vAlign w:val="center"/>
                </w:tcPr>
                <w:p w14:paraId="6AC3F8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456" w:type="pct"/>
                  <w:tcBorders>
                    <w:tl2br w:val="nil"/>
                    <w:tr2bl w:val="nil"/>
                  </w:tcBorders>
                  <w:vAlign w:val="center"/>
                </w:tcPr>
                <w:p w14:paraId="59DDA7FE">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液态</w:t>
                  </w:r>
                </w:p>
              </w:tc>
              <w:tc>
                <w:tcPr>
                  <w:tcW w:w="664" w:type="pct"/>
                  <w:tcBorders>
                    <w:tl2br w:val="nil"/>
                    <w:tr2bl w:val="nil"/>
                  </w:tcBorders>
                  <w:vAlign w:val="center"/>
                </w:tcPr>
                <w:p w14:paraId="12C3F73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10kg/桶</w:t>
                  </w:r>
                </w:p>
              </w:tc>
              <w:tc>
                <w:tcPr>
                  <w:tcW w:w="464" w:type="pct"/>
                  <w:tcBorders>
                    <w:tl2br w:val="nil"/>
                    <w:tr2bl w:val="nil"/>
                  </w:tcBorders>
                  <w:vAlign w:val="center"/>
                </w:tcPr>
                <w:p w14:paraId="3A8B0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0.05</w:t>
                  </w:r>
                </w:p>
              </w:tc>
              <w:tc>
                <w:tcPr>
                  <w:tcW w:w="345" w:type="pct"/>
                  <w:vMerge w:val="continue"/>
                  <w:tcBorders>
                    <w:tl2br w:val="nil"/>
                    <w:tr2bl w:val="nil"/>
                  </w:tcBorders>
                  <w:vAlign w:val="center"/>
                </w:tcPr>
                <w:p w14:paraId="092E918E">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continue"/>
                  <w:tcBorders>
                    <w:tl2br w:val="nil"/>
                    <w:tr2bl w:val="nil"/>
                  </w:tcBorders>
                  <w:vAlign w:val="center"/>
                </w:tcPr>
                <w:p w14:paraId="5FFB4626">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r>
            <w:tr w14:paraId="7F1E3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5C389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w:t>
                  </w:r>
                </w:p>
              </w:tc>
              <w:tc>
                <w:tcPr>
                  <w:tcW w:w="850" w:type="pct"/>
                  <w:tcBorders>
                    <w:tl2br w:val="nil"/>
                    <w:tr2bl w:val="nil"/>
                  </w:tcBorders>
                  <w:vAlign w:val="center"/>
                </w:tcPr>
                <w:p w14:paraId="54270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润湿助剂</w:t>
                  </w:r>
                </w:p>
              </w:tc>
              <w:tc>
                <w:tcPr>
                  <w:tcW w:w="421" w:type="pct"/>
                  <w:tcBorders>
                    <w:right w:val="single" w:color="000000" w:sz="4" w:space="0"/>
                    <w:tl2br w:val="nil"/>
                    <w:tr2bl w:val="nil"/>
                  </w:tcBorders>
                  <w:vAlign w:val="center"/>
                </w:tcPr>
                <w:p w14:paraId="52067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404" w:type="pct"/>
                  <w:tcBorders>
                    <w:left w:val="single" w:color="000000" w:sz="4" w:space="0"/>
                    <w:right w:val="single" w:color="000000" w:sz="4" w:space="0"/>
                    <w:tl2br w:val="nil"/>
                    <w:tr2bl w:val="nil"/>
                  </w:tcBorders>
                  <w:vAlign w:val="center"/>
                </w:tcPr>
                <w:p w14:paraId="5F87F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1</w:t>
                  </w:r>
                </w:p>
              </w:tc>
              <w:tc>
                <w:tcPr>
                  <w:tcW w:w="414" w:type="pct"/>
                  <w:tcBorders>
                    <w:left w:val="single" w:color="000000" w:sz="4" w:space="0"/>
                    <w:tl2br w:val="nil"/>
                    <w:tr2bl w:val="nil"/>
                  </w:tcBorders>
                  <w:vAlign w:val="center"/>
                </w:tcPr>
                <w:p w14:paraId="55D113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456" w:type="pct"/>
                  <w:tcBorders>
                    <w:tl2br w:val="nil"/>
                    <w:tr2bl w:val="nil"/>
                  </w:tcBorders>
                  <w:vAlign w:val="center"/>
                </w:tcPr>
                <w:p w14:paraId="19BC972E">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液态</w:t>
                  </w:r>
                </w:p>
              </w:tc>
              <w:tc>
                <w:tcPr>
                  <w:tcW w:w="664" w:type="pct"/>
                  <w:tcBorders>
                    <w:tl2br w:val="nil"/>
                    <w:tr2bl w:val="nil"/>
                  </w:tcBorders>
                  <w:vAlign w:val="center"/>
                </w:tcPr>
                <w:p w14:paraId="5360ECC0">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10kg/桶</w:t>
                  </w:r>
                </w:p>
              </w:tc>
              <w:tc>
                <w:tcPr>
                  <w:tcW w:w="464" w:type="pct"/>
                  <w:tcBorders>
                    <w:tl2br w:val="nil"/>
                    <w:tr2bl w:val="nil"/>
                  </w:tcBorders>
                  <w:vAlign w:val="center"/>
                </w:tcPr>
                <w:p w14:paraId="7F292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0.05</w:t>
                  </w:r>
                </w:p>
              </w:tc>
              <w:tc>
                <w:tcPr>
                  <w:tcW w:w="345" w:type="pct"/>
                  <w:vMerge w:val="continue"/>
                  <w:tcBorders>
                    <w:tl2br w:val="nil"/>
                    <w:tr2bl w:val="nil"/>
                  </w:tcBorders>
                  <w:vAlign w:val="center"/>
                </w:tcPr>
                <w:p w14:paraId="179B41B0">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continue"/>
                  <w:tcBorders>
                    <w:tl2br w:val="nil"/>
                    <w:tr2bl w:val="nil"/>
                  </w:tcBorders>
                  <w:vAlign w:val="center"/>
                </w:tcPr>
                <w:p w14:paraId="4A2A485D">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r>
            <w:tr w14:paraId="2F9BA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08" w:type="pct"/>
                  <w:tcBorders>
                    <w:tl2br w:val="nil"/>
                    <w:tr2bl w:val="nil"/>
                  </w:tcBorders>
                  <w:vAlign w:val="center"/>
                </w:tcPr>
                <w:p w14:paraId="1FF1F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2</w:t>
                  </w:r>
                </w:p>
              </w:tc>
              <w:tc>
                <w:tcPr>
                  <w:tcW w:w="850" w:type="pct"/>
                  <w:tcBorders>
                    <w:tl2br w:val="nil"/>
                    <w:tr2bl w:val="nil"/>
                  </w:tcBorders>
                  <w:vAlign w:val="center"/>
                </w:tcPr>
                <w:p w14:paraId="1BF78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氟保护漆</w:t>
                  </w:r>
                </w:p>
              </w:tc>
              <w:tc>
                <w:tcPr>
                  <w:tcW w:w="421" w:type="pct"/>
                  <w:tcBorders>
                    <w:right w:val="single" w:color="000000" w:sz="4" w:space="0"/>
                    <w:tl2br w:val="nil"/>
                    <w:tr2bl w:val="nil"/>
                  </w:tcBorders>
                  <w:vAlign w:val="center"/>
                </w:tcPr>
                <w:p w14:paraId="567F1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0.75</w:t>
                  </w:r>
                </w:p>
              </w:tc>
              <w:tc>
                <w:tcPr>
                  <w:tcW w:w="404" w:type="pct"/>
                  <w:tcBorders>
                    <w:left w:val="single" w:color="000000" w:sz="4" w:space="0"/>
                    <w:right w:val="single" w:color="000000" w:sz="4" w:space="0"/>
                    <w:tl2br w:val="nil"/>
                    <w:tr2bl w:val="nil"/>
                  </w:tcBorders>
                  <w:vAlign w:val="center"/>
                </w:tcPr>
                <w:p w14:paraId="08387C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0.75</w:t>
                  </w:r>
                </w:p>
              </w:tc>
              <w:tc>
                <w:tcPr>
                  <w:tcW w:w="414" w:type="pct"/>
                  <w:tcBorders>
                    <w:left w:val="single" w:color="000000" w:sz="4" w:space="0"/>
                    <w:tl2br w:val="nil"/>
                    <w:tr2bl w:val="nil"/>
                  </w:tcBorders>
                  <w:vAlign w:val="center"/>
                </w:tcPr>
                <w:p w14:paraId="5ABE4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35B1020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1FEF669C">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25kg/桶</w:t>
                  </w:r>
                </w:p>
              </w:tc>
              <w:tc>
                <w:tcPr>
                  <w:tcW w:w="464" w:type="pct"/>
                  <w:tcBorders>
                    <w:tl2br w:val="nil"/>
                    <w:tr2bl w:val="nil"/>
                  </w:tcBorders>
                  <w:vAlign w:val="center"/>
                </w:tcPr>
                <w:p w14:paraId="1DF0F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0.5</w:t>
                  </w:r>
                </w:p>
              </w:tc>
              <w:tc>
                <w:tcPr>
                  <w:tcW w:w="345" w:type="pct"/>
                  <w:vMerge w:val="continue"/>
                  <w:tcBorders>
                    <w:tl2br w:val="nil"/>
                    <w:tr2bl w:val="nil"/>
                  </w:tcBorders>
                  <w:vAlign w:val="center"/>
                </w:tcPr>
                <w:p w14:paraId="548117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tcBorders>
                    <w:tl2br w:val="nil"/>
                    <w:tr2bl w:val="nil"/>
                  </w:tcBorders>
                  <w:vAlign w:val="center"/>
                </w:tcPr>
                <w:p w14:paraId="53664F3F">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防龋齿功能涂层产线</w:t>
                  </w:r>
                </w:p>
              </w:tc>
            </w:tr>
            <w:tr w14:paraId="0DAFC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3B067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3</w:t>
                  </w:r>
                </w:p>
              </w:tc>
              <w:tc>
                <w:tcPr>
                  <w:tcW w:w="850" w:type="pct"/>
                  <w:tcBorders>
                    <w:tl2br w:val="nil"/>
                    <w:tr2bl w:val="nil"/>
                  </w:tcBorders>
                  <w:vAlign w:val="center"/>
                </w:tcPr>
                <w:p w14:paraId="4F56D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聚碳酸酯</w:t>
                  </w:r>
                </w:p>
              </w:tc>
              <w:tc>
                <w:tcPr>
                  <w:tcW w:w="421" w:type="pct"/>
                  <w:tcBorders>
                    <w:right w:val="single" w:color="000000" w:sz="4" w:space="0"/>
                    <w:tl2br w:val="nil"/>
                    <w:tr2bl w:val="nil"/>
                  </w:tcBorders>
                  <w:vAlign w:val="center"/>
                </w:tcPr>
                <w:p w14:paraId="7DF55A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200</w:t>
                  </w:r>
                </w:p>
              </w:tc>
              <w:tc>
                <w:tcPr>
                  <w:tcW w:w="404" w:type="pct"/>
                  <w:tcBorders>
                    <w:left w:val="single" w:color="000000" w:sz="4" w:space="0"/>
                    <w:right w:val="single" w:color="000000" w:sz="4" w:space="0"/>
                    <w:tl2br w:val="nil"/>
                    <w:tr2bl w:val="nil"/>
                  </w:tcBorders>
                  <w:vAlign w:val="center"/>
                </w:tcPr>
                <w:p w14:paraId="1BC47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200</w:t>
                  </w:r>
                </w:p>
              </w:tc>
              <w:tc>
                <w:tcPr>
                  <w:tcW w:w="414" w:type="pct"/>
                  <w:tcBorders>
                    <w:left w:val="single" w:color="000000" w:sz="4" w:space="0"/>
                    <w:tl2br w:val="nil"/>
                    <w:tr2bl w:val="nil"/>
                  </w:tcBorders>
                  <w:vAlign w:val="center"/>
                </w:tcPr>
                <w:p w14:paraId="1E179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0C54348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6442686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50kg/袋</w:t>
                  </w:r>
                </w:p>
              </w:tc>
              <w:tc>
                <w:tcPr>
                  <w:tcW w:w="464" w:type="pct"/>
                  <w:tcBorders>
                    <w:tl2br w:val="nil"/>
                    <w:tr2bl w:val="nil"/>
                  </w:tcBorders>
                  <w:vAlign w:val="center"/>
                </w:tcPr>
                <w:p w14:paraId="53D31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20</w:t>
                  </w:r>
                </w:p>
              </w:tc>
              <w:tc>
                <w:tcPr>
                  <w:tcW w:w="345" w:type="pct"/>
                  <w:vMerge w:val="continue"/>
                  <w:tcBorders>
                    <w:tl2br w:val="nil"/>
                    <w:tr2bl w:val="nil"/>
                  </w:tcBorders>
                  <w:vAlign w:val="center"/>
                </w:tcPr>
                <w:p w14:paraId="42A2BC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tcBorders>
                    <w:tl2br w:val="nil"/>
                    <w:tr2bl w:val="nil"/>
                  </w:tcBorders>
                  <w:vAlign w:val="center"/>
                </w:tcPr>
                <w:p w14:paraId="54747D91">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注塑成型线</w:t>
                  </w:r>
                </w:p>
              </w:tc>
            </w:tr>
            <w:tr w14:paraId="53188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77D398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1</w:t>
                  </w:r>
                  <w:r>
                    <w:rPr>
                      <w:rFonts w:hint="default" w:ascii="Times New Roman" w:hAnsi="Times New Roman" w:eastAsia="宋体" w:cs="Times New Roman"/>
                      <w:b/>
                      <w:bCs/>
                      <w:color w:val="auto"/>
                      <w:sz w:val="21"/>
                      <w:szCs w:val="21"/>
                      <w:highlight w:val="none"/>
                      <w:lang w:val="en-US" w:eastAsia="zh-CN"/>
                    </w:rPr>
                    <w:t>4</w:t>
                  </w:r>
                </w:p>
              </w:tc>
              <w:tc>
                <w:tcPr>
                  <w:tcW w:w="850" w:type="pct"/>
                  <w:tcBorders>
                    <w:tl2br w:val="nil"/>
                    <w:tr2bl w:val="nil"/>
                  </w:tcBorders>
                  <w:vAlign w:val="center"/>
                </w:tcPr>
                <w:p w14:paraId="172E26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碳酸丙烯酯</w:t>
                  </w:r>
                </w:p>
              </w:tc>
              <w:tc>
                <w:tcPr>
                  <w:tcW w:w="421" w:type="pct"/>
                  <w:tcBorders>
                    <w:right w:val="single" w:color="000000" w:sz="4" w:space="0"/>
                    <w:tl2br w:val="nil"/>
                    <w:tr2bl w:val="nil"/>
                  </w:tcBorders>
                  <w:vAlign w:val="center"/>
                </w:tcPr>
                <w:p w14:paraId="09DDF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200</w:t>
                  </w:r>
                </w:p>
              </w:tc>
              <w:tc>
                <w:tcPr>
                  <w:tcW w:w="404" w:type="pct"/>
                  <w:tcBorders>
                    <w:left w:val="single" w:color="000000" w:sz="4" w:space="0"/>
                    <w:right w:val="single" w:color="000000" w:sz="4" w:space="0"/>
                    <w:tl2br w:val="nil"/>
                    <w:tr2bl w:val="nil"/>
                  </w:tcBorders>
                  <w:vAlign w:val="center"/>
                </w:tcPr>
                <w:p w14:paraId="2D867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0</w:t>
                  </w:r>
                </w:p>
              </w:tc>
              <w:tc>
                <w:tcPr>
                  <w:tcW w:w="414" w:type="pct"/>
                  <w:tcBorders>
                    <w:left w:val="single" w:color="000000" w:sz="4" w:space="0"/>
                    <w:tl2br w:val="nil"/>
                    <w:tr2bl w:val="nil"/>
                  </w:tcBorders>
                  <w:vAlign w:val="center"/>
                </w:tcPr>
                <w:p w14:paraId="49A02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-200</w:t>
                  </w:r>
                </w:p>
              </w:tc>
              <w:tc>
                <w:tcPr>
                  <w:tcW w:w="456" w:type="pct"/>
                  <w:tcBorders>
                    <w:tl2br w:val="nil"/>
                    <w:tr2bl w:val="nil"/>
                  </w:tcBorders>
                  <w:vAlign w:val="center"/>
                </w:tcPr>
                <w:p w14:paraId="705AF17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液态</w:t>
                  </w:r>
                </w:p>
              </w:tc>
              <w:tc>
                <w:tcPr>
                  <w:tcW w:w="664" w:type="pct"/>
                  <w:tcBorders>
                    <w:tl2br w:val="nil"/>
                    <w:tr2bl w:val="nil"/>
                  </w:tcBorders>
                  <w:vAlign w:val="center"/>
                </w:tcPr>
                <w:p w14:paraId="76FA45C6">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25kg/桶</w:t>
                  </w:r>
                </w:p>
              </w:tc>
              <w:tc>
                <w:tcPr>
                  <w:tcW w:w="464" w:type="pct"/>
                  <w:tcBorders>
                    <w:tl2br w:val="nil"/>
                    <w:tr2bl w:val="nil"/>
                  </w:tcBorders>
                  <w:vAlign w:val="center"/>
                </w:tcPr>
                <w:p w14:paraId="23431E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3</w:t>
                  </w:r>
                </w:p>
              </w:tc>
              <w:tc>
                <w:tcPr>
                  <w:tcW w:w="345" w:type="pct"/>
                  <w:vMerge w:val="continue"/>
                  <w:tcBorders>
                    <w:tl2br w:val="nil"/>
                    <w:tr2bl w:val="nil"/>
                  </w:tcBorders>
                  <w:vAlign w:val="center"/>
                </w:tcPr>
                <w:p w14:paraId="132C31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restart"/>
                  <w:tcBorders>
                    <w:tl2br w:val="nil"/>
                    <w:tr2bl w:val="nil"/>
                  </w:tcBorders>
                  <w:vAlign w:val="center"/>
                </w:tcPr>
                <w:p w14:paraId="55B8959A">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隐形矫治器生产线</w:t>
                  </w:r>
                </w:p>
              </w:tc>
            </w:tr>
            <w:tr w14:paraId="64102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57F213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1</w:t>
                  </w:r>
                  <w:r>
                    <w:rPr>
                      <w:rFonts w:hint="default" w:ascii="Times New Roman" w:hAnsi="Times New Roman" w:eastAsia="宋体" w:cs="Times New Roman"/>
                      <w:b w:val="0"/>
                      <w:bCs w:val="0"/>
                      <w:color w:val="auto"/>
                      <w:sz w:val="21"/>
                      <w:szCs w:val="21"/>
                      <w:highlight w:val="none"/>
                      <w:lang w:val="en-US" w:eastAsia="zh-CN"/>
                    </w:rPr>
                    <w:t>5</w:t>
                  </w:r>
                </w:p>
              </w:tc>
              <w:tc>
                <w:tcPr>
                  <w:tcW w:w="850" w:type="pct"/>
                  <w:tcBorders>
                    <w:tl2br w:val="nil"/>
                    <w:tr2bl w:val="nil"/>
                  </w:tcBorders>
                  <w:vAlign w:val="center"/>
                </w:tcPr>
                <w:p w14:paraId="6AEBF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光敏树脂</w:t>
                  </w:r>
                </w:p>
              </w:tc>
              <w:tc>
                <w:tcPr>
                  <w:tcW w:w="421" w:type="pct"/>
                  <w:tcBorders>
                    <w:right w:val="single" w:color="000000" w:sz="4" w:space="0"/>
                    <w:tl2br w:val="nil"/>
                    <w:tr2bl w:val="nil"/>
                  </w:tcBorders>
                  <w:vAlign w:val="center"/>
                </w:tcPr>
                <w:p w14:paraId="0A1448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510</w:t>
                  </w:r>
                </w:p>
              </w:tc>
              <w:tc>
                <w:tcPr>
                  <w:tcW w:w="404" w:type="pct"/>
                  <w:tcBorders>
                    <w:left w:val="single" w:color="000000" w:sz="4" w:space="0"/>
                    <w:right w:val="single" w:color="000000" w:sz="4" w:space="0"/>
                    <w:tl2br w:val="nil"/>
                    <w:tr2bl w:val="nil"/>
                  </w:tcBorders>
                  <w:vAlign w:val="center"/>
                </w:tcPr>
                <w:p w14:paraId="55859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510</w:t>
                  </w:r>
                </w:p>
              </w:tc>
              <w:tc>
                <w:tcPr>
                  <w:tcW w:w="414" w:type="pct"/>
                  <w:tcBorders>
                    <w:left w:val="single" w:color="000000" w:sz="4" w:space="0"/>
                    <w:tl2br w:val="nil"/>
                    <w:tr2bl w:val="nil"/>
                  </w:tcBorders>
                  <w:vAlign w:val="center"/>
                </w:tcPr>
                <w:p w14:paraId="213D2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w:t>
                  </w:r>
                </w:p>
              </w:tc>
              <w:tc>
                <w:tcPr>
                  <w:tcW w:w="456" w:type="pct"/>
                  <w:tcBorders>
                    <w:tl2br w:val="nil"/>
                    <w:tr2bl w:val="nil"/>
                  </w:tcBorders>
                  <w:vAlign w:val="center"/>
                </w:tcPr>
                <w:p w14:paraId="0D28469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液态</w:t>
                  </w:r>
                </w:p>
              </w:tc>
              <w:tc>
                <w:tcPr>
                  <w:tcW w:w="664" w:type="pct"/>
                  <w:tcBorders>
                    <w:tl2br w:val="nil"/>
                    <w:tr2bl w:val="nil"/>
                  </w:tcBorders>
                  <w:vAlign w:val="center"/>
                </w:tcPr>
                <w:p w14:paraId="18C63032">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3"/>
                      <w:sz w:val="21"/>
                      <w:szCs w:val="21"/>
                      <w:highlight w:val="none"/>
                    </w:rPr>
                    <w:t>5g/桶</w:t>
                  </w:r>
                </w:p>
              </w:tc>
              <w:tc>
                <w:tcPr>
                  <w:tcW w:w="464" w:type="pct"/>
                  <w:tcBorders>
                    <w:tl2br w:val="nil"/>
                    <w:tr2bl w:val="nil"/>
                  </w:tcBorders>
                  <w:vAlign w:val="center"/>
                </w:tcPr>
                <w:p w14:paraId="4BF8C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2"/>
                      <w:sz w:val="21"/>
                      <w:szCs w:val="21"/>
                      <w:highlight w:val="none"/>
                    </w:rPr>
                    <w:t>40</w:t>
                  </w:r>
                </w:p>
              </w:tc>
              <w:tc>
                <w:tcPr>
                  <w:tcW w:w="345" w:type="pct"/>
                  <w:vMerge w:val="continue"/>
                  <w:tcBorders>
                    <w:tl2br w:val="nil"/>
                    <w:tr2bl w:val="nil"/>
                  </w:tcBorders>
                  <w:vAlign w:val="center"/>
                </w:tcPr>
                <w:p w14:paraId="53181BC4">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continue"/>
                  <w:tcBorders>
                    <w:tl2br w:val="nil"/>
                    <w:tr2bl w:val="nil"/>
                  </w:tcBorders>
                  <w:vAlign w:val="center"/>
                </w:tcPr>
                <w:p w14:paraId="2EA3E372">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r>
            <w:tr w14:paraId="7E4AD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1DDE4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6</w:t>
                  </w:r>
                </w:p>
              </w:tc>
              <w:tc>
                <w:tcPr>
                  <w:tcW w:w="850" w:type="pct"/>
                  <w:tcBorders>
                    <w:tl2br w:val="nil"/>
                    <w:tr2bl w:val="nil"/>
                  </w:tcBorders>
                  <w:vAlign w:val="center"/>
                </w:tcPr>
                <w:p w14:paraId="113140FE">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聚氨酯膜片</w:t>
                  </w:r>
                </w:p>
              </w:tc>
              <w:tc>
                <w:tcPr>
                  <w:tcW w:w="421" w:type="pct"/>
                  <w:tcBorders>
                    <w:right w:val="single" w:color="000000" w:sz="4" w:space="0"/>
                    <w:tl2br w:val="nil"/>
                    <w:tr2bl w:val="nil"/>
                  </w:tcBorders>
                  <w:vAlign w:val="center"/>
                </w:tcPr>
                <w:p w14:paraId="7D287F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1250</w:t>
                  </w:r>
                </w:p>
              </w:tc>
              <w:tc>
                <w:tcPr>
                  <w:tcW w:w="404" w:type="pct"/>
                  <w:tcBorders>
                    <w:left w:val="single" w:color="000000" w:sz="4" w:space="0"/>
                    <w:right w:val="single" w:color="000000" w:sz="4" w:space="0"/>
                    <w:tl2br w:val="nil"/>
                    <w:tr2bl w:val="nil"/>
                  </w:tcBorders>
                  <w:vAlign w:val="center"/>
                </w:tcPr>
                <w:p w14:paraId="415F1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1250</w:t>
                  </w:r>
                </w:p>
              </w:tc>
              <w:tc>
                <w:tcPr>
                  <w:tcW w:w="414" w:type="pct"/>
                  <w:tcBorders>
                    <w:left w:val="single" w:color="000000" w:sz="4" w:space="0"/>
                    <w:tl2br w:val="nil"/>
                    <w:tr2bl w:val="nil"/>
                  </w:tcBorders>
                  <w:vAlign w:val="center"/>
                </w:tcPr>
                <w:p w14:paraId="12713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75AF6BDC">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577CDAC0">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18kg/卷</w:t>
                  </w:r>
                </w:p>
              </w:tc>
              <w:tc>
                <w:tcPr>
                  <w:tcW w:w="464" w:type="pct"/>
                  <w:tcBorders>
                    <w:tl2br w:val="nil"/>
                    <w:tr2bl w:val="nil"/>
                  </w:tcBorders>
                  <w:vAlign w:val="center"/>
                </w:tcPr>
                <w:p w14:paraId="631E75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104</w:t>
                  </w:r>
                </w:p>
              </w:tc>
              <w:tc>
                <w:tcPr>
                  <w:tcW w:w="345" w:type="pct"/>
                  <w:vMerge w:val="continue"/>
                  <w:tcBorders>
                    <w:tl2br w:val="nil"/>
                    <w:tr2bl w:val="nil"/>
                  </w:tcBorders>
                  <w:vAlign w:val="center"/>
                </w:tcPr>
                <w:p w14:paraId="44DA0934">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continue"/>
                  <w:tcBorders>
                    <w:tl2br w:val="nil"/>
                    <w:tr2bl w:val="nil"/>
                  </w:tcBorders>
                  <w:vAlign w:val="center"/>
                </w:tcPr>
                <w:p w14:paraId="6C26266A">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r>
            <w:tr w14:paraId="7996D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1E687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850" w:type="pct"/>
                  <w:tcBorders>
                    <w:tl2br w:val="nil"/>
                    <w:tr2bl w:val="nil"/>
                  </w:tcBorders>
                  <w:vAlign w:val="center"/>
                </w:tcPr>
                <w:p w14:paraId="1901351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牙模</w:t>
                  </w:r>
                </w:p>
              </w:tc>
              <w:tc>
                <w:tcPr>
                  <w:tcW w:w="421" w:type="pct"/>
                  <w:tcBorders>
                    <w:right w:val="single" w:color="000000" w:sz="4" w:space="0"/>
                    <w:tl2br w:val="nil"/>
                    <w:tr2bl w:val="nil"/>
                  </w:tcBorders>
                  <w:vAlign w:val="center"/>
                </w:tcPr>
                <w:p w14:paraId="1BBC7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100</w:t>
                  </w:r>
                </w:p>
              </w:tc>
              <w:tc>
                <w:tcPr>
                  <w:tcW w:w="404" w:type="pct"/>
                  <w:tcBorders>
                    <w:left w:val="single" w:color="000000" w:sz="4" w:space="0"/>
                    <w:right w:val="single" w:color="000000" w:sz="4" w:space="0"/>
                    <w:tl2br w:val="nil"/>
                    <w:tr2bl w:val="nil"/>
                  </w:tcBorders>
                  <w:vAlign w:val="center"/>
                </w:tcPr>
                <w:p w14:paraId="208C6D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100</w:t>
                  </w:r>
                </w:p>
              </w:tc>
              <w:tc>
                <w:tcPr>
                  <w:tcW w:w="414" w:type="pct"/>
                  <w:tcBorders>
                    <w:left w:val="single" w:color="000000" w:sz="4" w:space="0"/>
                    <w:tl2br w:val="nil"/>
                    <w:tr2bl w:val="nil"/>
                  </w:tcBorders>
                  <w:vAlign w:val="center"/>
                </w:tcPr>
                <w:p w14:paraId="1CC0F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475066A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6D6795E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2kg/箱</w:t>
                  </w:r>
                </w:p>
              </w:tc>
              <w:tc>
                <w:tcPr>
                  <w:tcW w:w="464" w:type="pct"/>
                  <w:tcBorders>
                    <w:tl2br w:val="nil"/>
                    <w:tr2bl w:val="nil"/>
                  </w:tcBorders>
                  <w:vAlign w:val="center"/>
                </w:tcPr>
                <w:p w14:paraId="07E264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20</w:t>
                  </w:r>
                </w:p>
              </w:tc>
              <w:tc>
                <w:tcPr>
                  <w:tcW w:w="345" w:type="pct"/>
                  <w:vMerge w:val="continue"/>
                  <w:tcBorders>
                    <w:tl2br w:val="nil"/>
                    <w:tr2bl w:val="nil"/>
                  </w:tcBorders>
                  <w:vAlign w:val="center"/>
                </w:tcPr>
                <w:p w14:paraId="210FC1E6">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continue"/>
                  <w:tcBorders>
                    <w:tl2br w:val="nil"/>
                    <w:tr2bl w:val="nil"/>
                  </w:tcBorders>
                  <w:vAlign w:val="center"/>
                </w:tcPr>
                <w:p w14:paraId="2B1DA44A">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r>
            <w:tr w14:paraId="330BC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4109F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850" w:type="pct"/>
                  <w:tcBorders>
                    <w:tl2br w:val="nil"/>
                    <w:tr2bl w:val="nil"/>
                  </w:tcBorders>
                  <w:vAlign w:val="center"/>
                </w:tcPr>
                <w:p w14:paraId="4A06820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陶瓷颗粒</w:t>
                  </w:r>
                </w:p>
              </w:tc>
              <w:tc>
                <w:tcPr>
                  <w:tcW w:w="421" w:type="pct"/>
                  <w:tcBorders>
                    <w:right w:val="single" w:color="000000" w:sz="4" w:space="0"/>
                    <w:tl2br w:val="nil"/>
                    <w:tr2bl w:val="nil"/>
                  </w:tcBorders>
                  <w:vAlign w:val="center"/>
                </w:tcPr>
                <w:p w14:paraId="2C66E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3"/>
                      <w:sz w:val="21"/>
                      <w:szCs w:val="21"/>
                      <w:highlight w:val="none"/>
                    </w:rPr>
                    <w:t>3.6</w:t>
                  </w:r>
                </w:p>
              </w:tc>
              <w:tc>
                <w:tcPr>
                  <w:tcW w:w="404" w:type="pct"/>
                  <w:tcBorders>
                    <w:left w:val="single" w:color="000000" w:sz="4" w:space="0"/>
                    <w:right w:val="single" w:color="000000" w:sz="4" w:space="0"/>
                    <w:tl2br w:val="nil"/>
                    <w:tr2bl w:val="nil"/>
                  </w:tcBorders>
                  <w:vAlign w:val="center"/>
                </w:tcPr>
                <w:p w14:paraId="03AFA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3.6</w:t>
                  </w:r>
                </w:p>
              </w:tc>
              <w:tc>
                <w:tcPr>
                  <w:tcW w:w="414" w:type="pct"/>
                  <w:tcBorders>
                    <w:left w:val="single" w:color="000000" w:sz="4" w:space="0"/>
                    <w:tl2br w:val="nil"/>
                    <w:tr2bl w:val="nil"/>
                  </w:tcBorders>
                  <w:vAlign w:val="center"/>
                </w:tcPr>
                <w:p w14:paraId="72D67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7EF8D6D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32EB531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50kg/袋</w:t>
                  </w:r>
                </w:p>
              </w:tc>
              <w:tc>
                <w:tcPr>
                  <w:tcW w:w="464" w:type="pct"/>
                  <w:tcBorders>
                    <w:tl2br w:val="nil"/>
                    <w:tr2bl w:val="nil"/>
                  </w:tcBorders>
                  <w:vAlign w:val="center"/>
                </w:tcPr>
                <w:p w14:paraId="1BDA2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45" w:type="pct"/>
                  <w:vMerge w:val="continue"/>
                  <w:tcBorders>
                    <w:tl2br w:val="nil"/>
                    <w:tr2bl w:val="nil"/>
                  </w:tcBorders>
                  <w:vAlign w:val="center"/>
                </w:tcPr>
                <w:p w14:paraId="7F70DC06">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continue"/>
                  <w:tcBorders>
                    <w:tl2br w:val="nil"/>
                    <w:tr2bl w:val="nil"/>
                  </w:tcBorders>
                  <w:vAlign w:val="center"/>
                </w:tcPr>
                <w:p w14:paraId="3811BF67">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r>
            <w:tr w14:paraId="2D59D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08" w:type="pct"/>
                  <w:tcBorders>
                    <w:tl2br w:val="nil"/>
                    <w:tr2bl w:val="nil"/>
                  </w:tcBorders>
                  <w:vAlign w:val="center"/>
                </w:tcPr>
                <w:p w14:paraId="1813C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19</w:t>
                  </w:r>
                </w:p>
              </w:tc>
              <w:tc>
                <w:tcPr>
                  <w:tcW w:w="850" w:type="pct"/>
                  <w:tcBorders>
                    <w:tl2br w:val="nil"/>
                    <w:tr2bl w:val="nil"/>
                  </w:tcBorders>
                  <w:vAlign w:val="center"/>
                </w:tcPr>
                <w:p w14:paraId="2EC05C4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eastAsia" w:ascii="Times New Roman" w:hAnsi="Times New Roman" w:eastAsia="宋体" w:cs="Times New Roman"/>
                      <w:b/>
                      <w:bCs/>
                      <w:color w:val="auto"/>
                      <w:spacing w:val="-4"/>
                      <w:sz w:val="21"/>
                      <w:szCs w:val="21"/>
                      <w:highlight w:val="none"/>
                      <w:lang w:val="en-US" w:eastAsia="zh-CN"/>
                    </w:rPr>
                  </w:pPr>
                  <w:r>
                    <w:rPr>
                      <w:rFonts w:hint="eastAsia" w:ascii="Times New Roman" w:hAnsi="Times New Roman" w:eastAsia="宋体" w:cs="Times New Roman"/>
                      <w:b/>
                      <w:bCs/>
                      <w:color w:val="auto"/>
                      <w:spacing w:val="-4"/>
                      <w:sz w:val="21"/>
                      <w:szCs w:val="21"/>
                      <w:highlight w:val="none"/>
                      <w:lang w:val="en-US" w:eastAsia="zh-CN"/>
                    </w:rPr>
                    <w:t>硅油-脱模剂</w:t>
                  </w:r>
                </w:p>
              </w:tc>
              <w:tc>
                <w:tcPr>
                  <w:tcW w:w="421" w:type="pct"/>
                  <w:tcBorders>
                    <w:right w:val="single" w:color="000000" w:sz="4" w:space="0"/>
                    <w:tl2br w:val="nil"/>
                    <w:tr2bl w:val="nil"/>
                  </w:tcBorders>
                  <w:vAlign w:val="center"/>
                </w:tcPr>
                <w:p w14:paraId="5FC1E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eastAsia" w:ascii="Times New Roman" w:hAnsi="Times New Roman" w:eastAsia="宋体" w:cs="Times New Roman"/>
                      <w:b/>
                      <w:bCs/>
                      <w:color w:val="auto"/>
                      <w:spacing w:val="-3"/>
                      <w:sz w:val="21"/>
                      <w:szCs w:val="21"/>
                      <w:highlight w:val="none"/>
                      <w:lang w:val="en-US" w:eastAsia="zh-CN"/>
                    </w:rPr>
                  </w:pPr>
                  <w:r>
                    <w:rPr>
                      <w:rFonts w:hint="eastAsia" w:ascii="Times New Roman" w:hAnsi="Times New Roman" w:eastAsia="宋体" w:cs="Times New Roman"/>
                      <w:b/>
                      <w:bCs/>
                      <w:color w:val="auto"/>
                      <w:spacing w:val="-3"/>
                      <w:sz w:val="21"/>
                      <w:szCs w:val="21"/>
                      <w:highlight w:val="none"/>
                      <w:lang w:val="en-US" w:eastAsia="zh-CN"/>
                    </w:rPr>
                    <w:t>0</w:t>
                  </w:r>
                </w:p>
              </w:tc>
              <w:tc>
                <w:tcPr>
                  <w:tcW w:w="404" w:type="pct"/>
                  <w:tcBorders>
                    <w:left w:val="single" w:color="000000" w:sz="4" w:space="0"/>
                    <w:right w:val="single" w:color="000000" w:sz="4" w:space="0"/>
                    <w:tl2br w:val="nil"/>
                    <w:tr2bl w:val="nil"/>
                  </w:tcBorders>
                  <w:vAlign w:val="center"/>
                </w:tcPr>
                <w:p w14:paraId="55894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bCs/>
                      <w:color w:val="auto"/>
                      <w:spacing w:val="-3"/>
                      <w:sz w:val="21"/>
                      <w:szCs w:val="21"/>
                      <w:highlight w:val="none"/>
                      <w:lang w:val="en-US" w:eastAsia="zh-CN"/>
                    </w:rPr>
                  </w:pPr>
                  <w:r>
                    <w:rPr>
                      <w:rFonts w:hint="eastAsia" w:cs="Times New Roman"/>
                      <w:b/>
                      <w:bCs/>
                      <w:color w:val="auto"/>
                      <w:spacing w:val="-3"/>
                      <w:sz w:val="21"/>
                      <w:szCs w:val="21"/>
                      <w:highlight w:val="none"/>
                      <w:lang w:val="en-US" w:eastAsia="zh-CN"/>
                    </w:rPr>
                    <w:t>1.45</w:t>
                  </w:r>
                </w:p>
              </w:tc>
              <w:tc>
                <w:tcPr>
                  <w:tcW w:w="414" w:type="pct"/>
                  <w:tcBorders>
                    <w:left w:val="single" w:color="000000" w:sz="4" w:space="0"/>
                    <w:tl2br w:val="nil"/>
                    <w:tr2bl w:val="nil"/>
                  </w:tcBorders>
                  <w:vAlign w:val="center"/>
                </w:tcPr>
                <w:p w14:paraId="613DB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w:t>
                  </w:r>
                  <w:r>
                    <w:rPr>
                      <w:rFonts w:hint="eastAsia" w:cs="Times New Roman"/>
                      <w:b/>
                      <w:bCs/>
                      <w:color w:val="auto"/>
                      <w:sz w:val="21"/>
                      <w:szCs w:val="21"/>
                      <w:highlight w:val="none"/>
                      <w:lang w:val="en-US" w:eastAsia="zh-CN"/>
                    </w:rPr>
                    <w:t>1.45</w:t>
                  </w:r>
                </w:p>
              </w:tc>
              <w:tc>
                <w:tcPr>
                  <w:tcW w:w="456" w:type="pct"/>
                  <w:tcBorders>
                    <w:tl2br w:val="nil"/>
                    <w:tr2bl w:val="nil"/>
                  </w:tcBorders>
                  <w:vAlign w:val="center"/>
                </w:tcPr>
                <w:p w14:paraId="13B2B35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eastAsia" w:ascii="Times New Roman" w:hAnsi="Times New Roman" w:eastAsia="宋体" w:cs="Times New Roman"/>
                      <w:b/>
                      <w:bCs/>
                      <w:color w:val="auto"/>
                      <w:spacing w:val="-6"/>
                      <w:sz w:val="21"/>
                      <w:szCs w:val="21"/>
                      <w:highlight w:val="none"/>
                      <w:lang w:val="en-US" w:eastAsia="zh-CN"/>
                    </w:rPr>
                    <w:t>液态</w:t>
                  </w:r>
                </w:p>
              </w:tc>
              <w:tc>
                <w:tcPr>
                  <w:tcW w:w="664" w:type="pct"/>
                  <w:tcBorders>
                    <w:tl2br w:val="nil"/>
                    <w:tr2bl w:val="nil"/>
                  </w:tcBorders>
                  <w:vAlign w:val="center"/>
                </w:tcPr>
                <w:p w14:paraId="30426DEC">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pacing w:val="-2"/>
                      <w:sz w:val="21"/>
                      <w:szCs w:val="21"/>
                      <w:highlight w:val="none"/>
                    </w:rPr>
                  </w:pPr>
                  <w:r>
                    <w:rPr>
                      <w:rFonts w:hint="eastAsia" w:ascii="Times New Roman" w:hAnsi="Times New Roman" w:cs="Times New Roman"/>
                      <w:b/>
                      <w:bCs/>
                      <w:color w:val="auto"/>
                      <w:spacing w:val="-1"/>
                      <w:sz w:val="21"/>
                      <w:szCs w:val="21"/>
                      <w:highlight w:val="none"/>
                      <w:lang w:val="en-US" w:eastAsia="zh-CN"/>
                    </w:rPr>
                    <w:t>13.5</w:t>
                  </w:r>
                  <w:r>
                    <w:rPr>
                      <w:rFonts w:hint="default" w:ascii="Times New Roman" w:hAnsi="Times New Roman" w:eastAsia="宋体" w:cs="Times New Roman"/>
                      <w:b/>
                      <w:bCs/>
                      <w:color w:val="auto"/>
                      <w:spacing w:val="-1"/>
                      <w:sz w:val="21"/>
                      <w:szCs w:val="21"/>
                      <w:highlight w:val="none"/>
                    </w:rPr>
                    <w:t>kg/桶</w:t>
                  </w:r>
                </w:p>
              </w:tc>
              <w:tc>
                <w:tcPr>
                  <w:tcW w:w="464" w:type="pct"/>
                  <w:tcBorders>
                    <w:tl2br w:val="nil"/>
                    <w:tr2bl w:val="nil"/>
                  </w:tcBorders>
                  <w:vAlign w:val="center"/>
                </w:tcPr>
                <w:p w14:paraId="15BEB1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0.3</w:t>
                  </w:r>
                </w:p>
              </w:tc>
              <w:tc>
                <w:tcPr>
                  <w:tcW w:w="345" w:type="pct"/>
                  <w:vMerge w:val="continue"/>
                  <w:tcBorders>
                    <w:tl2br w:val="nil"/>
                    <w:tr2bl w:val="nil"/>
                  </w:tcBorders>
                  <w:vAlign w:val="center"/>
                </w:tcPr>
                <w:p w14:paraId="07747B2E">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continue"/>
                  <w:tcBorders>
                    <w:tl2br w:val="nil"/>
                    <w:tr2bl w:val="nil"/>
                  </w:tcBorders>
                  <w:vAlign w:val="center"/>
                </w:tcPr>
                <w:p w14:paraId="35EFA903">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r>
            <w:tr w14:paraId="66084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6EEF7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850" w:type="pct"/>
                  <w:tcBorders>
                    <w:tl2br w:val="nil"/>
                    <w:tr2bl w:val="nil"/>
                  </w:tcBorders>
                  <w:vAlign w:val="center"/>
                </w:tcPr>
                <w:p w14:paraId="0DC00D4E">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pacing w:val="-4"/>
                      <w:sz w:val="21"/>
                      <w:szCs w:val="21"/>
                      <w:highlight w:val="none"/>
                      <w:lang w:val="en-US" w:eastAsia="zh-CN"/>
                    </w:rPr>
                  </w:pPr>
                  <w:r>
                    <w:rPr>
                      <w:rFonts w:hint="eastAsia" w:ascii="Times New Roman" w:hAnsi="Times New Roman" w:cs="Times New Roman"/>
                      <w:b/>
                      <w:bCs/>
                      <w:color w:val="auto"/>
                      <w:spacing w:val="-4"/>
                      <w:sz w:val="21"/>
                      <w:szCs w:val="21"/>
                      <w:highlight w:val="none"/>
                      <w:lang w:val="en-US" w:eastAsia="zh-CN"/>
                    </w:rPr>
                    <w:t>润滑油</w:t>
                  </w:r>
                </w:p>
              </w:tc>
              <w:tc>
                <w:tcPr>
                  <w:tcW w:w="421" w:type="pct"/>
                  <w:tcBorders>
                    <w:right w:val="single" w:color="000000" w:sz="4" w:space="0"/>
                    <w:tl2br w:val="nil"/>
                    <w:tr2bl w:val="nil"/>
                  </w:tcBorders>
                  <w:vAlign w:val="center"/>
                </w:tcPr>
                <w:p w14:paraId="69363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pacing w:val="-3"/>
                      <w:sz w:val="21"/>
                      <w:szCs w:val="21"/>
                      <w:highlight w:val="none"/>
                      <w:lang w:val="en-US" w:eastAsia="zh-CN"/>
                    </w:rPr>
                  </w:pPr>
                  <w:r>
                    <w:rPr>
                      <w:rFonts w:hint="eastAsia" w:cs="Times New Roman"/>
                      <w:b/>
                      <w:bCs/>
                      <w:color w:val="auto"/>
                      <w:spacing w:val="-3"/>
                      <w:sz w:val="21"/>
                      <w:szCs w:val="21"/>
                      <w:highlight w:val="none"/>
                      <w:lang w:val="en-US" w:eastAsia="zh-CN"/>
                    </w:rPr>
                    <w:t>0</w:t>
                  </w:r>
                </w:p>
              </w:tc>
              <w:tc>
                <w:tcPr>
                  <w:tcW w:w="404" w:type="pct"/>
                  <w:tcBorders>
                    <w:left w:val="single" w:color="000000" w:sz="4" w:space="0"/>
                    <w:right w:val="single" w:color="000000" w:sz="4" w:space="0"/>
                    <w:tl2br w:val="nil"/>
                    <w:tr2bl w:val="nil"/>
                  </w:tcBorders>
                  <w:vAlign w:val="center"/>
                </w:tcPr>
                <w:p w14:paraId="5FE4E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cs="Times New Roman"/>
                      <w:b/>
                      <w:bCs/>
                      <w:color w:val="auto"/>
                      <w:spacing w:val="-3"/>
                      <w:sz w:val="21"/>
                      <w:szCs w:val="21"/>
                      <w:highlight w:val="none"/>
                      <w:lang w:val="en-US" w:eastAsia="zh-CN"/>
                    </w:rPr>
                  </w:pPr>
                  <w:r>
                    <w:rPr>
                      <w:rFonts w:hint="eastAsia" w:cs="Times New Roman"/>
                      <w:b/>
                      <w:bCs/>
                      <w:color w:val="auto"/>
                      <w:spacing w:val="-3"/>
                      <w:sz w:val="21"/>
                      <w:szCs w:val="21"/>
                      <w:highlight w:val="none"/>
                      <w:lang w:val="en-US" w:eastAsia="zh-CN"/>
                    </w:rPr>
                    <w:t>2.5</w:t>
                  </w:r>
                </w:p>
              </w:tc>
              <w:tc>
                <w:tcPr>
                  <w:tcW w:w="414" w:type="pct"/>
                  <w:tcBorders>
                    <w:left w:val="single" w:color="000000" w:sz="4" w:space="0"/>
                    <w:tl2br w:val="nil"/>
                    <w:tr2bl w:val="nil"/>
                  </w:tcBorders>
                  <w:vAlign w:val="center"/>
                </w:tcPr>
                <w:p w14:paraId="30F0AF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+2.5</w:t>
                  </w:r>
                </w:p>
              </w:tc>
              <w:tc>
                <w:tcPr>
                  <w:tcW w:w="456" w:type="pct"/>
                  <w:tcBorders>
                    <w:tl2br w:val="nil"/>
                    <w:tr2bl w:val="nil"/>
                  </w:tcBorders>
                  <w:vAlign w:val="center"/>
                </w:tcPr>
                <w:p w14:paraId="376964A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pacing w:val="-6"/>
                      <w:sz w:val="21"/>
                      <w:szCs w:val="21"/>
                      <w:highlight w:val="none"/>
                      <w:lang w:val="en-US" w:eastAsia="zh-CN"/>
                    </w:rPr>
                  </w:pPr>
                  <w:r>
                    <w:rPr>
                      <w:rFonts w:hint="eastAsia" w:ascii="Times New Roman" w:hAnsi="Times New Roman" w:cs="Times New Roman"/>
                      <w:b/>
                      <w:bCs/>
                      <w:color w:val="auto"/>
                      <w:spacing w:val="-6"/>
                      <w:sz w:val="21"/>
                      <w:szCs w:val="21"/>
                      <w:highlight w:val="none"/>
                      <w:lang w:val="en-US" w:eastAsia="zh-CN"/>
                    </w:rPr>
                    <w:t>液态</w:t>
                  </w:r>
                </w:p>
              </w:tc>
              <w:tc>
                <w:tcPr>
                  <w:tcW w:w="664" w:type="pct"/>
                  <w:tcBorders>
                    <w:tl2br w:val="nil"/>
                    <w:tr2bl w:val="nil"/>
                  </w:tcBorders>
                  <w:vAlign w:val="center"/>
                </w:tcPr>
                <w:p w14:paraId="136FF5F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cs="Times New Roman"/>
                      <w:b/>
                      <w:bCs/>
                      <w:color w:val="auto"/>
                      <w:spacing w:val="-1"/>
                      <w:sz w:val="21"/>
                      <w:szCs w:val="21"/>
                      <w:highlight w:val="none"/>
                      <w:lang w:val="en-US" w:eastAsia="zh-CN"/>
                    </w:rPr>
                  </w:pPr>
                  <w:r>
                    <w:rPr>
                      <w:rFonts w:hint="eastAsia" w:ascii="Times New Roman" w:hAnsi="Times New Roman" w:cs="Times New Roman"/>
                      <w:b/>
                      <w:bCs/>
                      <w:color w:val="auto"/>
                      <w:spacing w:val="-1"/>
                      <w:sz w:val="21"/>
                      <w:szCs w:val="21"/>
                      <w:highlight w:val="none"/>
                      <w:lang w:val="en-US" w:eastAsia="zh-CN"/>
                    </w:rPr>
                    <w:t>20kg/桶</w:t>
                  </w:r>
                </w:p>
              </w:tc>
              <w:tc>
                <w:tcPr>
                  <w:tcW w:w="464" w:type="pct"/>
                  <w:tcBorders>
                    <w:tl2br w:val="nil"/>
                    <w:tr2bl w:val="nil"/>
                  </w:tcBorders>
                  <w:vAlign w:val="center"/>
                </w:tcPr>
                <w:p w14:paraId="18D97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即用即买</w:t>
                  </w:r>
                </w:p>
              </w:tc>
              <w:tc>
                <w:tcPr>
                  <w:tcW w:w="345" w:type="pct"/>
                  <w:vMerge w:val="continue"/>
                  <w:tcBorders>
                    <w:tl2br w:val="nil"/>
                    <w:tr2bl w:val="nil"/>
                  </w:tcBorders>
                  <w:vAlign w:val="center"/>
                </w:tcPr>
                <w:p w14:paraId="0C3FDFC1">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continue"/>
                  <w:tcBorders>
                    <w:tl2br w:val="nil"/>
                    <w:tr2bl w:val="nil"/>
                  </w:tcBorders>
                  <w:vAlign w:val="center"/>
                </w:tcPr>
                <w:p w14:paraId="58DAC60D">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r>
            <w:tr w14:paraId="17ADD6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448550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21</w:t>
                  </w:r>
                </w:p>
              </w:tc>
              <w:tc>
                <w:tcPr>
                  <w:tcW w:w="850" w:type="pct"/>
                  <w:tcBorders>
                    <w:tl2br w:val="nil"/>
                    <w:tr2bl w:val="nil"/>
                  </w:tcBorders>
                  <w:vAlign w:val="center"/>
                </w:tcPr>
                <w:p w14:paraId="6CD1809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医用级聚氨酯</w:t>
                  </w:r>
                </w:p>
              </w:tc>
              <w:tc>
                <w:tcPr>
                  <w:tcW w:w="421" w:type="pct"/>
                  <w:tcBorders>
                    <w:right w:val="single" w:color="000000" w:sz="4" w:space="0"/>
                    <w:tl2br w:val="nil"/>
                    <w:tr2bl w:val="nil"/>
                  </w:tcBorders>
                  <w:vAlign w:val="center"/>
                </w:tcPr>
                <w:p w14:paraId="45080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0.2</w:t>
                  </w:r>
                </w:p>
              </w:tc>
              <w:tc>
                <w:tcPr>
                  <w:tcW w:w="404" w:type="pct"/>
                  <w:tcBorders>
                    <w:left w:val="single" w:color="000000" w:sz="4" w:space="0"/>
                    <w:right w:val="single" w:color="000000" w:sz="4" w:space="0"/>
                    <w:tl2br w:val="nil"/>
                    <w:tr2bl w:val="nil"/>
                  </w:tcBorders>
                  <w:vAlign w:val="center"/>
                </w:tcPr>
                <w:p w14:paraId="5A3E8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0.2</w:t>
                  </w:r>
                </w:p>
              </w:tc>
              <w:tc>
                <w:tcPr>
                  <w:tcW w:w="414" w:type="pct"/>
                  <w:tcBorders>
                    <w:left w:val="single" w:color="000000" w:sz="4" w:space="0"/>
                    <w:tl2br w:val="nil"/>
                    <w:tr2bl w:val="nil"/>
                  </w:tcBorders>
                  <w:vAlign w:val="center"/>
                </w:tcPr>
                <w:p w14:paraId="54EB09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7F25F43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6F38D582">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25kg/包</w:t>
                  </w:r>
                </w:p>
              </w:tc>
              <w:tc>
                <w:tcPr>
                  <w:tcW w:w="464" w:type="pct"/>
                  <w:tcBorders>
                    <w:tl2br w:val="nil"/>
                    <w:tr2bl w:val="nil"/>
                  </w:tcBorders>
                  <w:vAlign w:val="center"/>
                </w:tcPr>
                <w:p w14:paraId="657792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0.02</w:t>
                  </w:r>
                </w:p>
              </w:tc>
              <w:tc>
                <w:tcPr>
                  <w:tcW w:w="345" w:type="pct"/>
                  <w:vMerge w:val="continue"/>
                  <w:tcBorders>
                    <w:tl2br w:val="nil"/>
                    <w:tr2bl w:val="nil"/>
                  </w:tcBorders>
                  <w:vAlign w:val="center"/>
                </w:tcPr>
                <w:p w14:paraId="597A63E7">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p>
              </w:tc>
              <w:tc>
                <w:tcPr>
                  <w:tcW w:w="669" w:type="pct"/>
                  <w:vMerge w:val="restart"/>
                  <w:tcBorders>
                    <w:tl2br w:val="nil"/>
                    <w:tr2bl w:val="nil"/>
                  </w:tcBorders>
                  <w:vAlign w:val="center"/>
                </w:tcPr>
                <w:p w14:paraId="404C36FB">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研发实验</w:t>
                  </w:r>
                </w:p>
              </w:tc>
            </w:tr>
            <w:tr w14:paraId="58B34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308" w:type="pct"/>
                  <w:tcBorders>
                    <w:tl2br w:val="nil"/>
                    <w:tr2bl w:val="nil"/>
                  </w:tcBorders>
                  <w:vAlign w:val="center"/>
                </w:tcPr>
                <w:p w14:paraId="3E60A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22</w:t>
                  </w:r>
                </w:p>
              </w:tc>
              <w:tc>
                <w:tcPr>
                  <w:tcW w:w="850" w:type="pct"/>
                  <w:tcBorders>
                    <w:tl2br w:val="nil"/>
                    <w:tr2bl w:val="nil"/>
                  </w:tcBorders>
                  <w:vAlign w:val="center"/>
                </w:tcPr>
                <w:p w14:paraId="6E1824C6">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医用级聚对苯二甲酸</w:t>
                  </w:r>
                  <w:r>
                    <w:rPr>
                      <w:rFonts w:hint="default" w:ascii="Times New Roman" w:hAnsi="Times New Roman" w:eastAsia="宋体" w:cs="Times New Roman"/>
                      <w:color w:val="auto"/>
                      <w:spacing w:val="-5"/>
                      <w:sz w:val="21"/>
                      <w:szCs w:val="21"/>
                      <w:highlight w:val="none"/>
                    </w:rPr>
                    <w:t>乙二醇酯</w:t>
                  </w:r>
                </w:p>
              </w:tc>
              <w:tc>
                <w:tcPr>
                  <w:tcW w:w="421" w:type="pct"/>
                  <w:tcBorders>
                    <w:right w:val="single" w:color="000000" w:sz="4" w:space="0"/>
                    <w:tl2br w:val="nil"/>
                    <w:tr2bl w:val="nil"/>
                  </w:tcBorders>
                  <w:vAlign w:val="center"/>
                </w:tcPr>
                <w:p w14:paraId="5B144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404" w:type="pct"/>
                  <w:tcBorders>
                    <w:left w:val="single" w:color="000000" w:sz="4" w:space="0"/>
                    <w:right w:val="single" w:color="000000" w:sz="4" w:space="0"/>
                    <w:tl2br w:val="nil"/>
                    <w:tr2bl w:val="nil"/>
                  </w:tcBorders>
                  <w:vAlign w:val="center"/>
                </w:tcPr>
                <w:p w14:paraId="7BE01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14" w:type="pct"/>
                  <w:tcBorders>
                    <w:left w:val="single" w:color="000000" w:sz="4" w:space="0"/>
                    <w:tl2br w:val="nil"/>
                    <w:tr2bl w:val="nil"/>
                  </w:tcBorders>
                  <w:vAlign w:val="center"/>
                </w:tcPr>
                <w:p w14:paraId="1BE663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0EA4A55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5FAD981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25kg/包</w:t>
                  </w:r>
                </w:p>
              </w:tc>
              <w:tc>
                <w:tcPr>
                  <w:tcW w:w="464" w:type="pct"/>
                  <w:tcBorders>
                    <w:tl2br w:val="nil"/>
                    <w:tr2bl w:val="nil"/>
                  </w:tcBorders>
                  <w:vAlign w:val="center"/>
                </w:tcPr>
                <w:p w14:paraId="6641C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0.1</w:t>
                  </w:r>
                </w:p>
              </w:tc>
              <w:tc>
                <w:tcPr>
                  <w:tcW w:w="345" w:type="pct"/>
                  <w:vMerge w:val="continue"/>
                  <w:tcBorders>
                    <w:tl2br w:val="nil"/>
                    <w:tr2bl w:val="nil"/>
                  </w:tcBorders>
                  <w:vAlign w:val="center"/>
                </w:tcPr>
                <w:p w14:paraId="7CD7829C">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3671D743">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264D8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14418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23</w:t>
                  </w:r>
                </w:p>
              </w:tc>
              <w:tc>
                <w:tcPr>
                  <w:tcW w:w="850" w:type="pct"/>
                  <w:tcBorders>
                    <w:tl2br w:val="nil"/>
                    <w:tr2bl w:val="nil"/>
                  </w:tcBorders>
                  <w:vAlign w:val="center"/>
                </w:tcPr>
                <w:p w14:paraId="46F53986">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聚苯乙烯</w:t>
                  </w:r>
                </w:p>
              </w:tc>
              <w:tc>
                <w:tcPr>
                  <w:tcW w:w="421" w:type="pct"/>
                  <w:tcBorders>
                    <w:right w:val="single" w:color="000000" w:sz="4" w:space="0"/>
                    <w:tl2br w:val="nil"/>
                    <w:tr2bl w:val="nil"/>
                  </w:tcBorders>
                  <w:vAlign w:val="center"/>
                </w:tcPr>
                <w:p w14:paraId="51BFE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0.1</w:t>
                  </w:r>
                </w:p>
              </w:tc>
              <w:tc>
                <w:tcPr>
                  <w:tcW w:w="404" w:type="pct"/>
                  <w:tcBorders>
                    <w:left w:val="single" w:color="000000" w:sz="4" w:space="0"/>
                    <w:right w:val="single" w:color="000000" w:sz="4" w:space="0"/>
                    <w:tl2br w:val="nil"/>
                    <w:tr2bl w:val="nil"/>
                  </w:tcBorders>
                  <w:vAlign w:val="center"/>
                </w:tcPr>
                <w:p w14:paraId="0601A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w:t>
                  </w:r>
                </w:p>
              </w:tc>
              <w:tc>
                <w:tcPr>
                  <w:tcW w:w="414" w:type="pct"/>
                  <w:tcBorders>
                    <w:left w:val="single" w:color="000000" w:sz="4" w:space="0"/>
                    <w:tl2br w:val="nil"/>
                    <w:tr2bl w:val="nil"/>
                  </w:tcBorders>
                  <w:vAlign w:val="center"/>
                </w:tcPr>
                <w:p w14:paraId="79F714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566053E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37070FA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25kg/包</w:t>
                  </w:r>
                </w:p>
              </w:tc>
              <w:tc>
                <w:tcPr>
                  <w:tcW w:w="464" w:type="pct"/>
                  <w:tcBorders>
                    <w:tl2br w:val="nil"/>
                    <w:tr2bl w:val="nil"/>
                  </w:tcBorders>
                  <w:vAlign w:val="center"/>
                </w:tcPr>
                <w:p w14:paraId="24C33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0.01</w:t>
                  </w:r>
                </w:p>
              </w:tc>
              <w:tc>
                <w:tcPr>
                  <w:tcW w:w="345" w:type="pct"/>
                  <w:vMerge w:val="continue"/>
                  <w:tcBorders>
                    <w:tl2br w:val="nil"/>
                    <w:tr2bl w:val="nil"/>
                  </w:tcBorders>
                  <w:vAlign w:val="center"/>
                </w:tcPr>
                <w:p w14:paraId="2D1861F5">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59C30A29">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05C09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5876F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w:t>
                  </w:r>
                </w:p>
              </w:tc>
              <w:tc>
                <w:tcPr>
                  <w:tcW w:w="850" w:type="pct"/>
                  <w:tcBorders>
                    <w:tl2br w:val="nil"/>
                    <w:tr2bl w:val="nil"/>
                  </w:tcBorders>
                  <w:vAlign w:val="center"/>
                </w:tcPr>
                <w:p w14:paraId="098D1EB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聚碳酸酯</w:t>
                  </w:r>
                </w:p>
              </w:tc>
              <w:tc>
                <w:tcPr>
                  <w:tcW w:w="421" w:type="pct"/>
                  <w:tcBorders>
                    <w:right w:val="single" w:color="000000" w:sz="4" w:space="0"/>
                    <w:tl2br w:val="nil"/>
                    <w:tr2bl w:val="nil"/>
                  </w:tcBorders>
                  <w:vAlign w:val="center"/>
                </w:tcPr>
                <w:p w14:paraId="6F8CFD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0.1</w:t>
                  </w:r>
                </w:p>
              </w:tc>
              <w:tc>
                <w:tcPr>
                  <w:tcW w:w="404" w:type="pct"/>
                  <w:tcBorders>
                    <w:left w:val="single" w:color="000000" w:sz="4" w:space="0"/>
                    <w:right w:val="single" w:color="000000" w:sz="4" w:space="0"/>
                    <w:tl2br w:val="nil"/>
                    <w:tr2bl w:val="nil"/>
                  </w:tcBorders>
                  <w:vAlign w:val="center"/>
                </w:tcPr>
                <w:p w14:paraId="5FE1D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w:t>
                  </w:r>
                </w:p>
              </w:tc>
              <w:tc>
                <w:tcPr>
                  <w:tcW w:w="414" w:type="pct"/>
                  <w:tcBorders>
                    <w:left w:val="single" w:color="000000" w:sz="4" w:space="0"/>
                    <w:tl2br w:val="nil"/>
                    <w:tr2bl w:val="nil"/>
                  </w:tcBorders>
                  <w:vAlign w:val="center"/>
                </w:tcPr>
                <w:p w14:paraId="1E156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6742B18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2AD9C70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25kg/包</w:t>
                  </w:r>
                </w:p>
              </w:tc>
              <w:tc>
                <w:tcPr>
                  <w:tcW w:w="464" w:type="pct"/>
                  <w:tcBorders>
                    <w:tl2br w:val="nil"/>
                    <w:tr2bl w:val="nil"/>
                  </w:tcBorders>
                  <w:vAlign w:val="center"/>
                </w:tcPr>
                <w:p w14:paraId="0CC55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0.01</w:t>
                  </w:r>
                </w:p>
              </w:tc>
              <w:tc>
                <w:tcPr>
                  <w:tcW w:w="345" w:type="pct"/>
                  <w:vMerge w:val="continue"/>
                  <w:tcBorders>
                    <w:tl2br w:val="nil"/>
                    <w:tr2bl w:val="nil"/>
                  </w:tcBorders>
                  <w:vAlign w:val="center"/>
                </w:tcPr>
                <w:p w14:paraId="3CDA6E19">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504B83B8">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6FEF2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74F7FC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w:t>
                  </w:r>
                </w:p>
              </w:tc>
              <w:tc>
                <w:tcPr>
                  <w:tcW w:w="850" w:type="pct"/>
                  <w:tcBorders>
                    <w:tl2br w:val="nil"/>
                    <w:tr2bl w:val="nil"/>
                  </w:tcBorders>
                  <w:vAlign w:val="center"/>
                </w:tcPr>
                <w:p w14:paraId="6AF7B9B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环氧树脂</w:t>
                  </w:r>
                </w:p>
              </w:tc>
              <w:tc>
                <w:tcPr>
                  <w:tcW w:w="421" w:type="pct"/>
                  <w:tcBorders>
                    <w:right w:val="single" w:color="000000" w:sz="4" w:space="0"/>
                    <w:tl2br w:val="nil"/>
                    <w:tr2bl w:val="nil"/>
                  </w:tcBorders>
                  <w:vAlign w:val="center"/>
                </w:tcPr>
                <w:p w14:paraId="5DF721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0.15</w:t>
                  </w:r>
                </w:p>
              </w:tc>
              <w:tc>
                <w:tcPr>
                  <w:tcW w:w="404" w:type="pct"/>
                  <w:tcBorders>
                    <w:left w:val="single" w:color="000000" w:sz="4" w:space="0"/>
                    <w:right w:val="single" w:color="000000" w:sz="4" w:space="0"/>
                    <w:tl2br w:val="nil"/>
                    <w:tr2bl w:val="nil"/>
                  </w:tcBorders>
                  <w:vAlign w:val="center"/>
                </w:tcPr>
                <w:p w14:paraId="0C4F11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0.15</w:t>
                  </w:r>
                </w:p>
              </w:tc>
              <w:tc>
                <w:tcPr>
                  <w:tcW w:w="414" w:type="pct"/>
                  <w:tcBorders>
                    <w:left w:val="single" w:color="000000" w:sz="4" w:space="0"/>
                    <w:tl2br w:val="nil"/>
                    <w:tr2bl w:val="nil"/>
                  </w:tcBorders>
                  <w:vAlign w:val="center"/>
                </w:tcPr>
                <w:p w14:paraId="2D001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092EF6AC">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0E9CF17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20kg/桶</w:t>
                  </w:r>
                </w:p>
              </w:tc>
              <w:tc>
                <w:tcPr>
                  <w:tcW w:w="464" w:type="pct"/>
                  <w:tcBorders>
                    <w:tl2br w:val="nil"/>
                    <w:tr2bl w:val="nil"/>
                  </w:tcBorders>
                  <w:vAlign w:val="center"/>
                </w:tcPr>
                <w:p w14:paraId="72F19E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0.015</w:t>
                  </w:r>
                </w:p>
              </w:tc>
              <w:tc>
                <w:tcPr>
                  <w:tcW w:w="345" w:type="pct"/>
                  <w:vMerge w:val="continue"/>
                  <w:tcBorders>
                    <w:tl2br w:val="nil"/>
                    <w:tr2bl w:val="nil"/>
                  </w:tcBorders>
                  <w:vAlign w:val="center"/>
                </w:tcPr>
                <w:p w14:paraId="40458DFC">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6980C292">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46816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08" w:type="pct"/>
                  <w:tcBorders>
                    <w:tl2br w:val="nil"/>
                    <w:tr2bl w:val="nil"/>
                  </w:tcBorders>
                  <w:vAlign w:val="center"/>
                </w:tcPr>
                <w:p w14:paraId="5A441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w:t>
                  </w:r>
                </w:p>
              </w:tc>
              <w:tc>
                <w:tcPr>
                  <w:tcW w:w="850" w:type="pct"/>
                  <w:tcBorders>
                    <w:tl2br w:val="nil"/>
                    <w:tr2bl w:val="nil"/>
                  </w:tcBorders>
                  <w:vAlign w:val="center"/>
                </w:tcPr>
                <w:p w14:paraId="6485600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丙烯酸酯低聚物</w:t>
                  </w:r>
                </w:p>
              </w:tc>
              <w:tc>
                <w:tcPr>
                  <w:tcW w:w="421" w:type="pct"/>
                  <w:tcBorders>
                    <w:right w:val="single" w:color="000000" w:sz="4" w:space="0"/>
                    <w:tl2br w:val="nil"/>
                    <w:tr2bl w:val="nil"/>
                  </w:tcBorders>
                  <w:vAlign w:val="center"/>
                </w:tcPr>
                <w:p w14:paraId="685AE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0.15</w:t>
                  </w:r>
                </w:p>
              </w:tc>
              <w:tc>
                <w:tcPr>
                  <w:tcW w:w="404" w:type="pct"/>
                  <w:tcBorders>
                    <w:left w:val="single" w:color="000000" w:sz="4" w:space="0"/>
                    <w:right w:val="single" w:color="000000" w:sz="4" w:space="0"/>
                    <w:tl2br w:val="nil"/>
                    <w:tr2bl w:val="nil"/>
                  </w:tcBorders>
                  <w:vAlign w:val="center"/>
                </w:tcPr>
                <w:p w14:paraId="52ADB5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0.15</w:t>
                  </w:r>
                </w:p>
              </w:tc>
              <w:tc>
                <w:tcPr>
                  <w:tcW w:w="414" w:type="pct"/>
                  <w:tcBorders>
                    <w:left w:val="single" w:color="000000" w:sz="4" w:space="0"/>
                    <w:tl2br w:val="nil"/>
                    <w:tr2bl w:val="nil"/>
                  </w:tcBorders>
                  <w:vAlign w:val="center"/>
                </w:tcPr>
                <w:p w14:paraId="6D10D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35BA64C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28CE5468">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25kg/桶</w:t>
                  </w:r>
                </w:p>
              </w:tc>
              <w:tc>
                <w:tcPr>
                  <w:tcW w:w="464" w:type="pct"/>
                  <w:tcBorders>
                    <w:tl2br w:val="nil"/>
                    <w:tr2bl w:val="nil"/>
                  </w:tcBorders>
                  <w:vAlign w:val="center"/>
                </w:tcPr>
                <w:p w14:paraId="1E2C0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0.015</w:t>
                  </w:r>
                </w:p>
              </w:tc>
              <w:tc>
                <w:tcPr>
                  <w:tcW w:w="345" w:type="pct"/>
                  <w:vMerge w:val="continue"/>
                  <w:tcBorders>
                    <w:tl2br w:val="nil"/>
                    <w:tr2bl w:val="nil"/>
                  </w:tcBorders>
                  <w:vAlign w:val="center"/>
                </w:tcPr>
                <w:p w14:paraId="77904AF7">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189E99A5">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3902B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0527D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w:t>
                  </w:r>
                </w:p>
              </w:tc>
              <w:tc>
                <w:tcPr>
                  <w:tcW w:w="850" w:type="pct"/>
                  <w:tcBorders>
                    <w:tl2br w:val="nil"/>
                    <w:tr2bl w:val="nil"/>
                  </w:tcBorders>
                  <w:vAlign w:val="center"/>
                </w:tcPr>
                <w:p w14:paraId="14C215F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丙烯酸酯单体</w:t>
                  </w:r>
                </w:p>
              </w:tc>
              <w:tc>
                <w:tcPr>
                  <w:tcW w:w="421" w:type="pct"/>
                  <w:tcBorders>
                    <w:right w:val="single" w:color="000000" w:sz="4" w:space="0"/>
                    <w:tl2br w:val="nil"/>
                    <w:tr2bl w:val="nil"/>
                  </w:tcBorders>
                  <w:vAlign w:val="center"/>
                </w:tcPr>
                <w:p w14:paraId="4B8AE5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0.15</w:t>
                  </w:r>
                </w:p>
              </w:tc>
              <w:tc>
                <w:tcPr>
                  <w:tcW w:w="404" w:type="pct"/>
                  <w:tcBorders>
                    <w:left w:val="single" w:color="000000" w:sz="4" w:space="0"/>
                    <w:right w:val="single" w:color="000000" w:sz="4" w:space="0"/>
                    <w:tl2br w:val="nil"/>
                    <w:tr2bl w:val="nil"/>
                  </w:tcBorders>
                  <w:vAlign w:val="center"/>
                </w:tcPr>
                <w:p w14:paraId="76742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0.15</w:t>
                  </w:r>
                </w:p>
              </w:tc>
              <w:tc>
                <w:tcPr>
                  <w:tcW w:w="414" w:type="pct"/>
                  <w:tcBorders>
                    <w:left w:val="single" w:color="000000" w:sz="4" w:space="0"/>
                    <w:tl2br w:val="nil"/>
                    <w:tr2bl w:val="nil"/>
                  </w:tcBorders>
                  <w:vAlign w:val="center"/>
                </w:tcPr>
                <w:p w14:paraId="29078C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4519E54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31987BE2">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18kg/桶</w:t>
                  </w:r>
                </w:p>
              </w:tc>
              <w:tc>
                <w:tcPr>
                  <w:tcW w:w="464" w:type="pct"/>
                  <w:tcBorders>
                    <w:tl2br w:val="nil"/>
                    <w:tr2bl w:val="nil"/>
                  </w:tcBorders>
                  <w:vAlign w:val="center"/>
                </w:tcPr>
                <w:p w14:paraId="49A64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0.015</w:t>
                  </w:r>
                </w:p>
              </w:tc>
              <w:tc>
                <w:tcPr>
                  <w:tcW w:w="345" w:type="pct"/>
                  <w:vMerge w:val="continue"/>
                  <w:tcBorders>
                    <w:tl2br w:val="nil"/>
                    <w:tr2bl w:val="nil"/>
                  </w:tcBorders>
                  <w:vAlign w:val="center"/>
                </w:tcPr>
                <w:p w14:paraId="39154DC1">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7B0B5396">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78EFA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783CD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28</w:t>
                  </w:r>
                </w:p>
              </w:tc>
              <w:tc>
                <w:tcPr>
                  <w:tcW w:w="850" w:type="pct"/>
                  <w:tcBorders>
                    <w:tl2br w:val="nil"/>
                    <w:tr2bl w:val="nil"/>
                  </w:tcBorders>
                  <w:vAlign w:val="center"/>
                </w:tcPr>
                <w:p w14:paraId="7A575192">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引发剂-819</w:t>
                  </w:r>
                </w:p>
              </w:tc>
              <w:tc>
                <w:tcPr>
                  <w:tcW w:w="421" w:type="pct"/>
                  <w:tcBorders>
                    <w:right w:val="single" w:color="000000" w:sz="4" w:space="0"/>
                    <w:tl2br w:val="nil"/>
                    <w:tr2bl w:val="nil"/>
                  </w:tcBorders>
                  <w:vAlign w:val="center"/>
                </w:tcPr>
                <w:p w14:paraId="10B68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0.005</w:t>
                  </w:r>
                </w:p>
              </w:tc>
              <w:tc>
                <w:tcPr>
                  <w:tcW w:w="404" w:type="pct"/>
                  <w:tcBorders>
                    <w:left w:val="single" w:color="000000" w:sz="4" w:space="0"/>
                    <w:right w:val="single" w:color="000000" w:sz="4" w:space="0"/>
                    <w:tl2br w:val="nil"/>
                    <w:tr2bl w:val="nil"/>
                  </w:tcBorders>
                  <w:vAlign w:val="center"/>
                </w:tcPr>
                <w:p w14:paraId="69CF17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0.005</w:t>
                  </w:r>
                </w:p>
              </w:tc>
              <w:tc>
                <w:tcPr>
                  <w:tcW w:w="414" w:type="pct"/>
                  <w:tcBorders>
                    <w:left w:val="single" w:color="000000" w:sz="4" w:space="0"/>
                    <w:tl2br w:val="nil"/>
                    <w:tr2bl w:val="nil"/>
                  </w:tcBorders>
                  <w:vAlign w:val="center"/>
                </w:tcPr>
                <w:p w14:paraId="2A6388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60C6D52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03F75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1"/>
                      <w:sz w:val="21"/>
                      <w:szCs w:val="21"/>
                      <w:highlight w:val="none"/>
                    </w:rPr>
                    <w:t>/</w:t>
                  </w:r>
                </w:p>
              </w:tc>
              <w:tc>
                <w:tcPr>
                  <w:tcW w:w="464" w:type="pct"/>
                  <w:tcBorders>
                    <w:tl2br w:val="nil"/>
                    <w:tr2bl w:val="nil"/>
                  </w:tcBorders>
                  <w:vAlign w:val="center"/>
                </w:tcPr>
                <w:p w14:paraId="3FCFB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0.005</w:t>
                  </w:r>
                </w:p>
              </w:tc>
              <w:tc>
                <w:tcPr>
                  <w:tcW w:w="345" w:type="pct"/>
                  <w:vMerge w:val="continue"/>
                  <w:tcBorders>
                    <w:tl2br w:val="nil"/>
                    <w:tr2bl w:val="nil"/>
                  </w:tcBorders>
                  <w:vAlign w:val="center"/>
                </w:tcPr>
                <w:p w14:paraId="4A39616F">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1E9BF515">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2C9AE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4145D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29</w:t>
                  </w:r>
                </w:p>
              </w:tc>
              <w:tc>
                <w:tcPr>
                  <w:tcW w:w="850" w:type="pct"/>
                  <w:tcBorders>
                    <w:tl2br w:val="nil"/>
                    <w:tr2bl w:val="nil"/>
                  </w:tcBorders>
                  <w:vAlign w:val="center"/>
                </w:tcPr>
                <w:p w14:paraId="03AD4CC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助剂-A5281</w:t>
                  </w:r>
                </w:p>
              </w:tc>
              <w:tc>
                <w:tcPr>
                  <w:tcW w:w="421" w:type="pct"/>
                  <w:tcBorders>
                    <w:right w:val="single" w:color="000000" w:sz="4" w:space="0"/>
                    <w:tl2br w:val="nil"/>
                    <w:tr2bl w:val="nil"/>
                  </w:tcBorders>
                  <w:vAlign w:val="center"/>
                </w:tcPr>
                <w:p w14:paraId="44A87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0.005</w:t>
                  </w:r>
                </w:p>
              </w:tc>
              <w:tc>
                <w:tcPr>
                  <w:tcW w:w="404" w:type="pct"/>
                  <w:tcBorders>
                    <w:left w:val="single" w:color="000000" w:sz="4" w:space="0"/>
                    <w:right w:val="single" w:color="000000" w:sz="4" w:space="0"/>
                    <w:tl2br w:val="nil"/>
                    <w:tr2bl w:val="nil"/>
                  </w:tcBorders>
                  <w:vAlign w:val="center"/>
                </w:tcPr>
                <w:p w14:paraId="24FB5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0.005</w:t>
                  </w:r>
                </w:p>
              </w:tc>
              <w:tc>
                <w:tcPr>
                  <w:tcW w:w="414" w:type="pct"/>
                  <w:tcBorders>
                    <w:left w:val="single" w:color="000000" w:sz="4" w:space="0"/>
                    <w:tl2br w:val="nil"/>
                    <w:tr2bl w:val="nil"/>
                  </w:tcBorders>
                  <w:vAlign w:val="center"/>
                </w:tcPr>
                <w:p w14:paraId="37E47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4CB1FD6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7463818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25kg/桶</w:t>
                  </w:r>
                </w:p>
              </w:tc>
              <w:tc>
                <w:tcPr>
                  <w:tcW w:w="464" w:type="pct"/>
                  <w:tcBorders>
                    <w:tl2br w:val="nil"/>
                    <w:tr2bl w:val="nil"/>
                  </w:tcBorders>
                  <w:vAlign w:val="center"/>
                </w:tcPr>
                <w:p w14:paraId="70EE8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0.005</w:t>
                  </w:r>
                </w:p>
              </w:tc>
              <w:tc>
                <w:tcPr>
                  <w:tcW w:w="345" w:type="pct"/>
                  <w:vMerge w:val="continue"/>
                  <w:tcBorders>
                    <w:tl2br w:val="nil"/>
                    <w:tr2bl w:val="nil"/>
                  </w:tcBorders>
                  <w:vAlign w:val="center"/>
                </w:tcPr>
                <w:p w14:paraId="6A34C07C">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00ABF186">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53A85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669FE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850" w:type="pct"/>
                  <w:tcBorders>
                    <w:tl2br w:val="nil"/>
                    <w:tr2bl w:val="nil"/>
                  </w:tcBorders>
                  <w:vAlign w:val="center"/>
                </w:tcPr>
                <w:p w14:paraId="5D3C633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无水乙醇</w:t>
                  </w:r>
                </w:p>
              </w:tc>
              <w:tc>
                <w:tcPr>
                  <w:tcW w:w="421" w:type="pct"/>
                  <w:tcBorders>
                    <w:right w:val="single" w:color="000000" w:sz="4" w:space="0"/>
                    <w:tl2br w:val="nil"/>
                    <w:tr2bl w:val="nil"/>
                  </w:tcBorders>
                  <w:vAlign w:val="center"/>
                </w:tcPr>
                <w:p w14:paraId="3AF419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0.014</w:t>
                  </w:r>
                </w:p>
              </w:tc>
              <w:tc>
                <w:tcPr>
                  <w:tcW w:w="404" w:type="pct"/>
                  <w:tcBorders>
                    <w:left w:val="single" w:color="000000" w:sz="4" w:space="0"/>
                    <w:right w:val="single" w:color="000000" w:sz="4" w:space="0"/>
                    <w:tl2br w:val="nil"/>
                    <w:tr2bl w:val="nil"/>
                  </w:tcBorders>
                  <w:vAlign w:val="center"/>
                </w:tcPr>
                <w:p w14:paraId="46DCCF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0.014</w:t>
                  </w:r>
                </w:p>
              </w:tc>
              <w:tc>
                <w:tcPr>
                  <w:tcW w:w="414" w:type="pct"/>
                  <w:tcBorders>
                    <w:left w:val="single" w:color="000000" w:sz="4" w:space="0"/>
                    <w:tl2br w:val="nil"/>
                    <w:tr2bl w:val="nil"/>
                  </w:tcBorders>
                  <w:vAlign w:val="center"/>
                </w:tcPr>
                <w:p w14:paraId="21374E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3EC7407F">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23FF1DB5">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20kg/桶</w:t>
                  </w:r>
                </w:p>
              </w:tc>
              <w:tc>
                <w:tcPr>
                  <w:tcW w:w="464" w:type="pct"/>
                  <w:tcBorders>
                    <w:tl2br w:val="nil"/>
                    <w:tr2bl w:val="nil"/>
                  </w:tcBorders>
                  <w:vAlign w:val="center"/>
                </w:tcPr>
                <w:p w14:paraId="6C5EB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0.014</w:t>
                  </w:r>
                </w:p>
              </w:tc>
              <w:tc>
                <w:tcPr>
                  <w:tcW w:w="345" w:type="pct"/>
                  <w:vMerge w:val="continue"/>
                  <w:tcBorders>
                    <w:tl2br w:val="nil"/>
                    <w:tr2bl w:val="nil"/>
                  </w:tcBorders>
                  <w:vAlign w:val="center"/>
                </w:tcPr>
                <w:p w14:paraId="7A6046B0">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10A985AF">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5CFB8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08" w:type="pct"/>
                  <w:tcBorders>
                    <w:tl2br w:val="nil"/>
                    <w:tr2bl w:val="nil"/>
                  </w:tcBorders>
                  <w:vAlign w:val="center"/>
                </w:tcPr>
                <w:p w14:paraId="15F48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31</w:t>
                  </w:r>
                </w:p>
              </w:tc>
              <w:tc>
                <w:tcPr>
                  <w:tcW w:w="850" w:type="pct"/>
                  <w:tcBorders>
                    <w:tl2br w:val="nil"/>
                    <w:tr2bl w:val="nil"/>
                  </w:tcBorders>
                  <w:vAlign w:val="center"/>
                </w:tcPr>
                <w:p w14:paraId="6D299FE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乙酸乙酯溶剂</w:t>
                  </w:r>
                </w:p>
              </w:tc>
              <w:tc>
                <w:tcPr>
                  <w:tcW w:w="421" w:type="pct"/>
                  <w:tcBorders>
                    <w:right w:val="single" w:color="000000" w:sz="4" w:space="0"/>
                    <w:tl2br w:val="nil"/>
                    <w:tr2bl w:val="nil"/>
                  </w:tcBorders>
                  <w:vAlign w:val="center"/>
                </w:tcPr>
                <w:p w14:paraId="2A013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0.004</w:t>
                  </w:r>
                </w:p>
              </w:tc>
              <w:tc>
                <w:tcPr>
                  <w:tcW w:w="404" w:type="pct"/>
                  <w:tcBorders>
                    <w:left w:val="single" w:color="000000" w:sz="4" w:space="0"/>
                    <w:right w:val="single" w:color="000000" w:sz="4" w:space="0"/>
                    <w:tl2br w:val="nil"/>
                    <w:tr2bl w:val="nil"/>
                  </w:tcBorders>
                  <w:vAlign w:val="center"/>
                </w:tcPr>
                <w:p w14:paraId="71CB6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0.004</w:t>
                  </w:r>
                </w:p>
              </w:tc>
              <w:tc>
                <w:tcPr>
                  <w:tcW w:w="414" w:type="pct"/>
                  <w:tcBorders>
                    <w:left w:val="single" w:color="000000" w:sz="4" w:space="0"/>
                    <w:tl2br w:val="nil"/>
                    <w:tr2bl w:val="nil"/>
                  </w:tcBorders>
                  <w:vAlign w:val="center"/>
                </w:tcPr>
                <w:p w14:paraId="036FF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1689D30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340A19B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1kg/瓶</w:t>
                  </w:r>
                </w:p>
              </w:tc>
              <w:tc>
                <w:tcPr>
                  <w:tcW w:w="464" w:type="pct"/>
                  <w:tcBorders>
                    <w:tl2br w:val="nil"/>
                    <w:tr2bl w:val="nil"/>
                  </w:tcBorders>
                  <w:vAlign w:val="center"/>
                </w:tcPr>
                <w:p w14:paraId="6D458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0.001</w:t>
                  </w:r>
                </w:p>
              </w:tc>
              <w:tc>
                <w:tcPr>
                  <w:tcW w:w="345" w:type="pct"/>
                  <w:vMerge w:val="continue"/>
                  <w:tcBorders>
                    <w:tl2br w:val="nil"/>
                    <w:tr2bl w:val="nil"/>
                  </w:tcBorders>
                  <w:vAlign w:val="center"/>
                </w:tcPr>
                <w:p w14:paraId="5F97304F">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60FE3863">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4CC1B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3C41C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32</w:t>
                  </w:r>
                </w:p>
              </w:tc>
              <w:tc>
                <w:tcPr>
                  <w:tcW w:w="850" w:type="pct"/>
                  <w:tcBorders>
                    <w:tl2br w:val="nil"/>
                    <w:tr2bl w:val="nil"/>
                  </w:tcBorders>
                  <w:vAlign w:val="center"/>
                </w:tcPr>
                <w:p w14:paraId="6F7C4666">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聚氨酯成膜剂</w:t>
                  </w:r>
                </w:p>
              </w:tc>
              <w:tc>
                <w:tcPr>
                  <w:tcW w:w="421" w:type="pct"/>
                  <w:tcBorders>
                    <w:right w:val="single" w:color="000000" w:sz="4" w:space="0"/>
                    <w:tl2br w:val="nil"/>
                    <w:tr2bl w:val="nil"/>
                  </w:tcBorders>
                  <w:vAlign w:val="center"/>
                </w:tcPr>
                <w:p w14:paraId="01749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0.004</w:t>
                  </w:r>
                </w:p>
              </w:tc>
              <w:tc>
                <w:tcPr>
                  <w:tcW w:w="404" w:type="pct"/>
                  <w:tcBorders>
                    <w:left w:val="single" w:color="000000" w:sz="4" w:space="0"/>
                    <w:right w:val="single" w:color="000000" w:sz="4" w:space="0"/>
                    <w:tl2br w:val="nil"/>
                    <w:tr2bl w:val="nil"/>
                  </w:tcBorders>
                  <w:vAlign w:val="center"/>
                </w:tcPr>
                <w:p w14:paraId="160EF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0.004</w:t>
                  </w:r>
                </w:p>
              </w:tc>
              <w:tc>
                <w:tcPr>
                  <w:tcW w:w="414" w:type="pct"/>
                  <w:tcBorders>
                    <w:left w:val="single" w:color="000000" w:sz="4" w:space="0"/>
                    <w:tl2br w:val="nil"/>
                    <w:tr2bl w:val="nil"/>
                  </w:tcBorders>
                  <w:vAlign w:val="center"/>
                </w:tcPr>
                <w:p w14:paraId="41AC3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403F4C70">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622FE14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1kg/瓶</w:t>
                  </w:r>
                </w:p>
              </w:tc>
              <w:tc>
                <w:tcPr>
                  <w:tcW w:w="464" w:type="pct"/>
                  <w:tcBorders>
                    <w:tl2br w:val="nil"/>
                    <w:tr2bl w:val="nil"/>
                  </w:tcBorders>
                  <w:vAlign w:val="center"/>
                </w:tcPr>
                <w:p w14:paraId="139E9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0.001</w:t>
                  </w:r>
                </w:p>
              </w:tc>
              <w:tc>
                <w:tcPr>
                  <w:tcW w:w="345" w:type="pct"/>
                  <w:vMerge w:val="continue"/>
                  <w:tcBorders>
                    <w:tl2br w:val="nil"/>
                    <w:tr2bl w:val="nil"/>
                  </w:tcBorders>
                  <w:vAlign w:val="center"/>
                </w:tcPr>
                <w:p w14:paraId="476D1C76">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365F6E3A">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5AD99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08" w:type="pct"/>
                  <w:tcBorders>
                    <w:tl2br w:val="nil"/>
                    <w:tr2bl w:val="nil"/>
                  </w:tcBorders>
                  <w:vAlign w:val="center"/>
                </w:tcPr>
                <w:p w14:paraId="329FD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w:t>
                  </w:r>
                </w:p>
              </w:tc>
              <w:tc>
                <w:tcPr>
                  <w:tcW w:w="850" w:type="pct"/>
                  <w:tcBorders>
                    <w:tl2br w:val="nil"/>
                    <w:tr2bl w:val="nil"/>
                  </w:tcBorders>
                  <w:vAlign w:val="center"/>
                </w:tcPr>
                <w:p w14:paraId="049E4093">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1"/>
                      <w:sz w:val="21"/>
                      <w:szCs w:val="21"/>
                      <w:highlight w:val="none"/>
                    </w:rPr>
                    <w:t>添加剂</w:t>
                  </w:r>
                </w:p>
              </w:tc>
              <w:tc>
                <w:tcPr>
                  <w:tcW w:w="421" w:type="pct"/>
                  <w:tcBorders>
                    <w:right w:val="single" w:color="000000" w:sz="4" w:space="0"/>
                    <w:tl2br w:val="nil"/>
                    <w:tr2bl w:val="nil"/>
                  </w:tcBorders>
                  <w:vAlign w:val="center"/>
                </w:tcPr>
                <w:p w14:paraId="7A5EE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0.002</w:t>
                  </w:r>
                </w:p>
              </w:tc>
              <w:tc>
                <w:tcPr>
                  <w:tcW w:w="404" w:type="pct"/>
                  <w:tcBorders>
                    <w:left w:val="single" w:color="000000" w:sz="4" w:space="0"/>
                    <w:right w:val="single" w:color="000000" w:sz="4" w:space="0"/>
                    <w:tl2br w:val="nil"/>
                    <w:tr2bl w:val="nil"/>
                  </w:tcBorders>
                  <w:vAlign w:val="center"/>
                </w:tcPr>
                <w:p w14:paraId="4799DE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0.002</w:t>
                  </w:r>
                </w:p>
              </w:tc>
              <w:tc>
                <w:tcPr>
                  <w:tcW w:w="414" w:type="pct"/>
                  <w:tcBorders>
                    <w:left w:val="single" w:color="000000" w:sz="4" w:space="0"/>
                    <w:tl2br w:val="nil"/>
                    <w:tr2bl w:val="nil"/>
                  </w:tcBorders>
                  <w:vAlign w:val="center"/>
                </w:tcPr>
                <w:p w14:paraId="6D173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1F4F231E">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tcBorders>
                    <w:tl2br w:val="nil"/>
                    <w:tr2bl w:val="nil"/>
                  </w:tcBorders>
                  <w:vAlign w:val="center"/>
                </w:tcPr>
                <w:p w14:paraId="55A96B7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1kg/包</w:t>
                  </w:r>
                </w:p>
              </w:tc>
              <w:tc>
                <w:tcPr>
                  <w:tcW w:w="464" w:type="pct"/>
                  <w:tcBorders>
                    <w:tl2br w:val="nil"/>
                    <w:tr2bl w:val="nil"/>
                  </w:tcBorders>
                  <w:vAlign w:val="center"/>
                </w:tcPr>
                <w:p w14:paraId="7CCA2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0.001</w:t>
                  </w:r>
                </w:p>
              </w:tc>
              <w:tc>
                <w:tcPr>
                  <w:tcW w:w="345" w:type="pct"/>
                  <w:vMerge w:val="continue"/>
                  <w:tcBorders>
                    <w:tl2br w:val="nil"/>
                    <w:tr2bl w:val="nil"/>
                  </w:tcBorders>
                  <w:vAlign w:val="center"/>
                </w:tcPr>
                <w:p w14:paraId="07D0C39B">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133DF394">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6056D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399759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34</w:t>
                  </w:r>
                </w:p>
              </w:tc>
              <w:tc>
                <w:tcPr>
                  <w:tcW w:w="850" w:type="pct"/>
                  <w:tcBorders>
                    <w:tl2br w:val="nil"/>
                    <w:tr2bl w:val="nil"/>
                  </w:tcBorders>
                  <w:vAlign w:val="center"/>
                </w:tcPr>
                <w:p w14:paraId="5C9A0095">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含氟标准液</w:t>
                  </w:r>
                </w:p>
              </w:tc>
              <w:tc>
                <w:tcPr>
                  <w:tcW w:w="421" w:type="pct"/>
                  <w:tcBorders>
                    <w:right w:val="single" w:color="000000" w:sz="4" w:space="0"/>
                    <w:tl2br w:val="nil"/>
                    <w:tr2bl w:val="nil"/>
                  </w:tcBorders>
                  <w:vAlign w:val="center"/>
                </w:tcPr>
                <w:p w14:paraId="5B285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0.002</w:t>
                  </w:r>
                </w:p>
              </w:tc>
              <w:tc>
                <w:tcPr>
                  <w:tcW w:w="404" w:type="pct"/>
                  <w:tcBorders>
                    <w:left w:val="single" w:color="000000" w:sz="4" w:space="0"/>
                    <w:right w:val="single" w:color="000000" w:sz="4" w:space="0"/>
                    <w:tl2br w:val="nil"/>
                    <w:tr2bl w:val="nil"/>
                  </w:tcBorders>
                  <w:vAlign w:val="center"/>
                </w:tcPr>
                <w:p w14:paraId="10B09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0.002</w:t>
                  </w:r>
                </w:p>
              </w:tc>
              <w:tc>
                <w:tcPr>
                  <w:tcW w:w="414" w:type="pct"/>
                  <w:tcBorders>
                    <w:left w:val="single" w:color="000000" w:sz="4" w:space="0"/>
                    <w:tl2br w:val="nil"/>
                    <w:tr2bl w:val="nil"/>
                  </w:tcBorders>
                  <w:vAlign w:val="center"/>
                </w:tcPr>
                <w:p w14:paraId="4BA4E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5FA15BFC">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0A04CACB">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10ml/瓶</w:t>
                  </w:r>
                </w:p>
              </w:tc>
              <w:tc>
                <w:tcPr>
                  <w:tcW w:w="464" w:type="pct"/>
                  <w:tcBorders>
                    <w:tl2br w:val="nil"/>
                    <w:tr2bl w:val="nil"/>
                  </w:tcBorders>
                  <w:vAlign w:val="center"/>
                </w:tcPr>
                <w:p w14:paraId="14927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0.001</w:t>
                  </w:r>
                </w:p>
              </w:tc>
              <w:tc>
                <w:tcPr>
                  <w:tcW w:w="345" w:type="pct"/>
                  <w:vMerge w:val="continue"/>
                  <w:tcBorders>
                    <w:tl2br w:val="nil"/>
                    <w:tr2bl w:val="nil"/>
                  </w:tcBorders>
                  <w:vAlign w:val="center"/>
                </w:tcPr>
                <w:p w14:paraId="1BAADFA6">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1F6A7B66">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2831B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tcBorders>
                    <w:tl2br w:val="nil"/>
                    <w:tr2bl w:val="nil"/>
                  </w:tcBorders>
                  <w:vAlign w:val="center"/>
                </w:tcPr>
                <w:p w14:paraId="2A3BE1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35</w:t>
                  </w:r>
                </w:p>
              </w:tc>
              <w:tc>
                <w:tcPr>
                  <w:tcW w:w="850" w:type="pct"/>
                  <w:tcBorders>
                    <w:tl2br w:val="nil"/>
                    <w:tr2bl w:val="nil"/>
                  </w:tcBorders>
                  <w:vAlign w:val="center"/>
                </w:tcPr>
                <w:p w14:paraId="7AF2AEAD">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2"/>
                      <w:sz w:val="21"/>
                      <w:szCs w:val="21"/>
                      <w:highlight w:val="none"/>
                    </w:rPr>
                    <w:t>碳酸丙烯酯</w:t>
                  </w:r>
                </w:p>
              </w:tc>
              <w:tc>
                <w:tcPr>
                  <w:tcW w:w="421" w:type="pct"/>
                  <w:tcBorders>
                    <w:right w:val="single" w:color="000000" w:sz="4" w:space="0"/>
                    <w:tl2br w:val="nil"/>
                    <w:tr2bl w:val="nil"/>
                  </w:tcBorders>
                  <w:vAlign w:val="center"/>
                </w:tcPr>
                <w:p w14:paraId="3A07D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0.4</w:t>
                  </w:r>
                </w:p>
              </w:tc>
              <w:tc>
                <w:tcPr>
                  <w:tcW w:w="404" w:type="pct"/>
                  <w:tcBorders>
                    <w:left w:val="single" w:color="000000" w:sz="4" w:space="0"/>
                    <w:right w:val="single" w:color="000000" w:sz="4" w:space="0"/>
                    <w:tl2br w:val="nil"/>
                    <w:tr2bl w:val="nil"/>
                  </w:tcBorders>
                  <w:vAlign w:val="center"/>
                </w:tcPr>
                <w:p w14:paraId="13306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0.4</w:t>
                  </w:r>
                </w:p>
              </w:tc>
              <w:tc>
                <w:tcPr>
                  <w:tcW w:w="414" w:type="pct"/>
                  <w:tcBorders>
                    <w:left w:val="single" w:color="000000" w:sz="4" w:space="0"/>
                    <w:tl2br w:val="nil"/>
                    <w:tr2bl w:val="nil"/>
                  </w:tcBorders>
                  <w:vAlign w:val="center"/>
                </w:tcPr>
                <w:p w14:paraId="644F8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tcBorders>
                    <w:tl2br w:val="nil"/>
                    <w:tr2bl w:val="nil"/>
                  </w:tcBorders>
                  <w:vAlign w:val="center"/>
                </w:tcPr>
                <w:p w14:paraId="30ABA862">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tcBorders>
                    <w:tl2br w:val="nil"/>
                    <w:tr2bl w:val="nil"/>
                  </w:tcBorders>
                  <w:vAlign w:val="center"/>
                </w:tcPr>
                <w:p w14:paraId="552EEE50">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25kg/桶</w:t>
                  </w:r>
                </w:p>
              </w:tc>
              <w:tc>
                <w:tcPr>
                  <w:tcW w:w="464" w:type="pct"/>
                  <w:tcBorders>
                    <w:tl2br w:val="nil"/>
                    <w:tr2bl w:val="nil"/>
                  </w:tcBorders>
                  <w:vAlign w:val="center"/>
                </w:tcPr>
                <w:p w14:paraId="7B1D7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0.04</w:t>
                  </w:r>
                </w:p>
              </w:tc>
              <w:tc>
                <w:tcPr>
                  <w:tcW w:w="345" w:type="pct"/>
                  <w:vMerge w:val="continue"/>
                  <w:tcBorders>
                    <w:tl2br w:val="nil"/>
                    <w:tr2bl w:val="nil"/>
                  </w:tcBorders>
                  <w:vAlign w:val="center"/>
                </w:tcPr>
                <w:p w14:paraId="4BCE43C4">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tcBorders>
                    <w:tl2br w:val="nil"/>
                    <w:tr2bl w:val="nil"/>
                  </w:tcBorders>
                  <w:vAlign w:val="center"/>
                </w:tcPr>
                <w:p w14:paraId="12D18360">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0846C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vAlign w:val="center"/>
                </w:tcPr>
                <w:p w14:paraId="6DB81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36</w:t>
                  </w:r>
                </w:p>
              </w:tc>
              <w:tc>
                <w:tcPr>
                  <w:tcW w:w="850" w:type="pct"/>
                  <w:vAlign w:val="center"/>
                </w:tcPr>
                <w:p w14:paraId="1290378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4"/>
                      <w:sz w:val="21"/>
                      <w:szCs w:val="21"/>
                      <w:highlight w:val="none"/>
                    </w:rPr>
                    <w:t>陶瓷颗粒</w:t>
                  </w:r>
                </w:p>
              </w:tc>
              <w:tc>
                <w:tcPr>
                  <w:tcW w:w="421" w:type="pct"/>
                  <w:vAlign w:val="center"/>
                </w:tcPr>
                <w:p w14:paraId="7F85A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0.2</w:t>
                  </w:r>
                </w:p>
              </w:tc>
              <w:tc>
                <w:tcPr>
                  <w:tcW w:w="404" w:type="pct"/>
                  <w:vAlign w:val="center"/>
                </w:tcPr>
                <w:p w14:paraId="0068F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0.2</w:t>
                  </w:r>
                </w:p>
              </w:tc>
              <w:tc>
                <w:tcPr>
                  <w:tcW w:w="414" w:type="pct"/>
                  <w:vAlign w:val="center"/>
                </w:tcPr>
                <w:p w14:paraId="20FBE8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vAlign w:val="center"/>
                </w:tcPr>
                <w:p w14:paraId="251AABE7">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固态</w:t>
                  </w:r>
                </w:p>
              </w:tc>
              <w:tc>
                <w:tcPr>
                  <w:tcW w:w="664" w:type="pct"/>
                  <w:vAlign w:val="center"/>
                </w:tcPr>
                <w:p w14:paraId="2B30E789">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50kg/袋</w:t>
                  </w:r>
                </w:p>
              </w:tc>
              <w:tc>
                <w:tcPr>
                  <w:tcW w:w="464" w:type="pct"/>
                  <w:vAlign w:val="center"/>
                </w:tcPr>
                <w:p w14:paraId="29161E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0.2</w:t>
                  </w:r>
                </w:p>
              </w:tc>
              <w:tc>
                <w:tcPr>
                  <w:tcW w:w="345" w:type="pct"/>
                  <w:vMerge w:val="continue"/>
                  <w:vAlign w:val="center"/>
                </w:tcPr>
                <w:p w14:paraId="0DB83693">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vAlign w:val="center"/>
                </w:tcPr>
                <w:p w14:paraId="7EB42BE4">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384B7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08" w:type="pct"/>
                  <w:vAlign w:val="center"/>
                </w:tcPr>
                <w:p w14:paraId="5859F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w:t>
                  </w:r>
                </w:p>
              </w:tc>
              <w:tc>
                <w:tcPr>
                  <w:tcW w:w="850" w:type="pct"/>
                  <w:vAlign w:val="center"/>
                </w:tcPr>
                <w:p w14:paraId="379DAEA4">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pacing w:val="-3"/>
                      <w:sz w:val="21"/>
                      <w:szCs w:val="21"/>
                      <w:highlight w:val="none"/>
                    </w:rPr>
                    <w:t>可乐</w:t>
                  </w:r>
                </w:p>
              </w:tc>
              <w:tc>
                <w:tcPr>
                  <w:tcW w:w="421" w:type="pct"/>
                  <w:vAlign w:val="center"/>
                </w:tcPr>
                <w:p w14:paraId="7CF98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0.01</w:t>
                  </w:r>
                </w:p>
              </w:tc>
              <w:tc>
                <w:tcPr>
                  <w:tcW w:w="404" w:type="pct"/>
                  <w:vAlign w:val="center"/>
                </w:tcPr>
                <w:p w14:paraId="2558C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0.01</w:t>
                  </w:r>
                </w:p>
              </w:tc>
              <w:tc>
                <w:tcPr>
                  <w:tcW w:w="414" w:type="pct"/>
                  <w:vAlign w:val="center"/>
                </w:tcPr>
                <w:p w14:paraId="69595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vAlign w:val="center"/>
                </w:tcPr>
                <w:p w14:paraId="3745AB9B">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vAlign w:val="center"/>
                </w:tcPr>
                <w:p w14:paraId="32F8D72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0.5kg/瓶</w:t>
                  </w:r>
                </w:p>
              </w:tc>
              <w:tc>
                <w:tcPr>
                  <w:tcW w:w="464" w:type="pct"/>
                  <w:vAlign w:val="center"/>
                </w:tcPr>
                <w:p w14:paraId="42A77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0.01</w:t>
                  </w:r>
                </w:p>
              </w:tc>
              <w:tc>
                <w:tcPr>
                  <w:tcW w:w="345" w:type="pct"/>
                  <w:vMerge w:val="continue"/>
                  <w:vAlign w:val="center"/>
                </w:tcPr>
                <w:p w14:paraId="2C157B27">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vAlign w:val="center"/>
                </w:tcPr>
                <w:p w14:paraId="1DA00D52">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r w14:paraId="4081B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08" w:type="pct"/>
                  <w:vAlign w:val="center"/>
                </w:tcPr>
                <w:p w14:paraId="07CFF4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850" w:type="pct"/>
                  <w:vAlign w:val="center"/>
                </w:tcPr>
                <w:p w14:paraId="352E1EF1">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z w:val="21"/>
                      <w:szCs w:val="21"/>
                      <w:highlight w:val="none"/>
                    </w:rPr>
                    <w:t>醋</w:t>
                  </w:r>
                </w:p>
              </w:tc>
              <w:tc>
                <w:tcPr>
                  <w:tcW w:w="421" w:type="pct"/>
                  <w:vAlign w:val="center"/>
                </w:tcPr>
                <w:p w14:paraId="68D51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0.01</w:t>
                  </w:r>
                </w:p>
              </w:tc>
              <w:tc>
                <w:tcPr>
                  <w:tcW w:w="404" w:type="pct"/>
                  <w:vAlign w:val="center"/>
                </w:tcPr>
                <w:p w14:paraId="6C5FB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0.01</w:t>
                  </w:r>
                </w:p>
              </w:tc>
              <w:tc>
                <w:tcPr>
                  <w:tcW w:w="414" w:type="pct"/>
                  <w:vAlign w:val="center"/>
                </w:tcPr>
                <w:p w14:paraId="29B75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456" w:type="pct"/>
                  <w:vAlign w:val="center"/>
                </w:tcPr>
                <w:p w14:paraId="5062ABA5">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液态</w:t>
                  </w:r>
                </w:p>
              </w:tc>
              <w:tc>
                <w:tcPr>
                  <w:tcW w:w="664" w:type="pct"/>
                  <w:vAlign w:val="center"/>
                </w:tcPr>
                <w:p w14:paraId="7230589A">
                  <w:pPr>
                    <w:pStyle w:val="3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0.5kg/瓶</w:t>
                  </w:r>
                </w:p>
              </w:tc>
              <w:tc>
                <w:tcPr>
                  <w:tcW w:w="464" w:type="pct"/>
                  <w:vAlign w:val="center"/>
                </w:tcPr>
                <w:p w14:paraId="05AF3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0.01</w:t>
                  </w:r>
                </w:p>
              </w:tc>
              <w:tc>
                <w:tcPr>
                  <w:tcW w:w="345" w:type="pct"/>
                  <w:vMerge w:val="continue"/>
                  <w:vAlign w:val="center"/>
                </w:tcPr>
                <w:p w14:paraId="3CB19804">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c>
                <w:tcPr>
                  <w:tcW w:w="669" w:type="pct"/>
                  <w:vMerge w:val="continue"/>
                  <w:vAlign w:val="center"/>
                </w:tcPr>
                <w:p w14:paraId="273C96BC">
                  <w:pPr>
                    <w:pStyle w:val="12"/>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240" w:lineRule="auto"/>
                    <w:ind w:left="-42" w:leftChars="-20" w:right="-42" w:rightChars="-20" w:firstLine="0"/>
                    <w:jc w:val="center"/>
                    <w:textAlignment w:val="auto"/>
                    <w:rPr>
                      <w:rFonts w:hint="default" w:ascii="Times New Roman" w:hAnsi="Times New Roman" w:eastAsia="宋体" w:cs="Times New Roman"/>
                      <w:color w:val="auto"/>
                      <w:sz w:val="20"/>
                      <w:szCs w:val="20"/>
                      <w:highlight w:val="none"/>
                    </w:rPr>
                  </w:pPr>
                </w:p>
              </w:tc>
            </w:tr>
          </w:tbl>
          <w:p w14:paraId="56CD1270">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kern w:val="2"/>
                <w:sz w:val="24"/>
                <w:szCs w:val="24"/>
                <w:highlight w:val="none"/>
                <w:lang w:val="zh-CN" w:eastAsia="zh-CN" w:bidi="ar-SA"/>
              </w:rPr>
              <w:t>表2-</w:t>
            </w:r>
            <w:r>
              <w:rPr>
                <w:rFonts w:hint="eastAsia" w:cs="Times New Roman"/>
                <w:b/>
                <w:bCs/>
                <w:color w:val="auto"/>
                <w:kern w:val="2"/>
                <w:sz w:val="24"/>
                <w:szCs w:val="24"/>
                <w:highlight w:val="none"/>
                <w:lang w:val="en-US" w:eastAsia="zh-CN" w:bidi="ar-SA"/>
              </w:rPr>
              <w:t xml:space="preserve">5 </w:t>
            </w:r>
            <w:r>
              <w:rPr>
                <w:rFonts w:hint="default" w:ascii="Times New Roman" w:hAnsi="Times New Roman" w:eastAsia="宋体" w:cs="Times New Roman"/>
                <w:b/>
                <w:bCs/>
                <w:color w:val="auto"/>
                <w:sz w:val="24"/>
                <w:highlight w:val="none"/>
                <w:lang w:val="zh-CN"/>
              </w:rPr>
              <w:t>主要原辅料理化性质</w:t>
            </w:r>
          </w:p>
          <w:tbl>
            <w:tblPr>
              <w:tblStyle w:val="24"/>
              <w:tblW w:w="821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3" w:type="dxa"/>
                <w:bottom w:w="0" w:type="dxa"/>
                <w:right w:w="23" w:type="dxa"/>
              </w:tblCellMar>
            </w:tblPr>
            <w:tblGrid>
              <w:gridCol w:w="561"/>
              <w:gridCol w:w="1250"/>
              <w:gridCol w:w="4341"/>
              <w:gridCol w:w="607"/>
              <w:gridCol w:w="1451"/>
            </w:tblGrid>
            <w:tr w14:paraId="3CE403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575" w:hRule="atLeast"/>
                <w:jc w:val="center"/>
              </w:trPr>
              <w:tc>
                <w:tcPr>
                  <w:tcW w:w="1811" w:type="dxa"/>
                  <w:gridSpan w:val="2"/>
                  <w:tcBorders>
                    <w:top w:val="single" w:color="auto" w:sz="12" w:space="0"/>
                    <w:bottom w:val="single" w:color="auto" w:sz="6" w:space="0"/>
                    <w:right w:val="single" w:color="auto" w:sz="6" w:space="0"/>
                  </w:tcBorders>
                  <w:noWrap w:val="0"/>
                  <w:tcMar>
                    <w:top w:w="0" w:type="dxa"/>
                    <w:left w:w="0" w:type="dxa"/>
                    <w:bottom w:w="0" w:type="dxa"/>
                    <w:right w:w="0" w:type="dxa"/>
                  </w:tcMar>
                  <w:vAlign w:val="center"/>
                </w:tcPr>
                <w:p w14:paraId="52C99A8E">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4341" w:type="dxa"/>
                  <w:tcBorders>
                    <w:top w:val="single" w:color="auto" w:sz="12"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0ED3927A">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理化特性</w:t>
                  </w:r>
                </w:p>
              </w:tc>
              <w:tc>
                <w:tcPr>
                  <w:tcW w:w="607" w:type="dxa"/>
                  <w:tcBorders>
                    <w:top w:val="single" w:color="auto" w:sz="12"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2A90E04">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燃烧爆炸性</w:t>
                  </w:r>
                </w:p>
              </w:tc>
              <w:tc>
                <w:tcPr>
                  <w:tcW w:w="1451" w:type="dxa"/>
                  <w:tcBorders>
                    <w:top w:val="single" w:color="auto" w:sz="12" w:space="0"/>
                    <w:left w:val="single" w:color="auto" w:sz="6" w:space="0"/>
                    <w:bottom w:val="single" w:color="auto" w:sz="6" w:space="0"/>
                  </w:tcBorders>
                  <w:noWrap w:val="0"/>
                  <w:tcMar>
                    <w:top w:w="0" w:type="dxa"/>
                    <w:left w:w="0" w:type="dxa"/>
                    <w:bottom w:w="0" w:type="dxa"/>
                    <w:right w:w="0" w:type="dxa"/>
                  </w:tcMar>
                  <w:vAlign w:val="center"/>
                </w:tcPr>
                <w:p w14:paraId="1F421B46">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毒性毒理</w:t>
                  </w:r>
                </w:p>
              </w:tc>
            </w:tr>
            <w:tr w14:paraId="614CEA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85" w:hRule="atLeast"/>
                <w:jc w:val="center"/>
              </w:trPr>
              <w:tc>
                <w:tcPr>
                  <w:tcW w:w="1811" w:type="dxa"/>
                  <w:gridSpan w:val="2"/>
                  <w:tcBorders>
                    <w:top w:val="single" w:color="auto" w:sz="6" w:space="0"/>
                    <w:bottom w:val="single" w:color="auto" w:sz="6" w:space="0"/>
                    <w:right w:val="single" w:color="auto" w:sz="6" w:space="0"/>
                  </w:tcBorders>
                  <w:noWrap w:val="0"/>
                  <w:tcMar>
                    <w:top w:w="0" w:type="dxa"/>
                    <w:left w:w="0" w:type="dxa"/>
                    <w:bottom w:w="0" w:type="dxa"/>
                    <w:right w:w="0" w:type="dxa"/>
                  </w:tcMar>
                  <w:vAlign w:val="center"/>
                </w:tcPr>
                <w:p w14:paraId="34A2F724">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聚氨酯膜片</w:t>
                  </w:r>
                </w:p>
              </w:tc>
              <w:tc>
                <w:tcPr>
                  <w:tcW w:w="4341"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673EE161">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rPr>
                    <w:t>无毒、无臭、无色至淡黄色透明的固体。聚氨酯中文名称为热塑性聚氨酯弹性体</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TPU</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是由二苯甲烷二异氰酸酯(MDI)、甲苯二异氰酸酯(TDI)和大分子多元醇、扩链剂共同反应聚合而成的高分子材料。相对密度0.915g/cm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；玻璃化温度：145~150℃，脆化温度：-100℃，最低使用温度：135℃，热变性温度：115~127℃，热稳定性好，冷却速度快</w:t>
                  </w:r>
                  <w:r>
                    <w:rPr>
                      <w:rFonts w:hint="default" w:ascii="Times New Roman" w:hAnsi="Times New Roman" w:eastAsia="宋体" w:cs="Times New Roman"/>
                      <w:color w:val="auto"/>
                      <w:sz w:val="21"/>
                      <w:szCs w:val="21"/>
                      <w:highlight w:val="none"/>
                      <w:shd w:val="clear" w:color="auto" w:fill="FFFFFF"/>
                    </w:rPr>
                    <w:t>。</w:t>
                  </w:r>
                </w:p>
              </w:tc>
              <w:tc>
                <w:tcPr>
                  <w:tcW w:w="607"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5E01554E">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可燃</w:t>
                  </w:r>
                </w:p>
              </w:tc>
              <w:tc>
                <w:tcPr>
                  <w:tcW w:w="1451" w:type="dxa"/>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19D189AD">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LD</w:t>
                  </w:r>
                  <w:r>
                    <w:rPr>
                      <w:rFonts w:hint="default" w:ascii="Times New Roman" w:hAnsi="Times New Roman" w:eastAsia="宋体" w:cs="Times New Roman"/>
                      <w:color w:val="auto"/>
                      <w:sz w:val="21"/>
                      <w:szCs w:val="21"/>
                      <w:highlight w:val="none"/>
                      <w:shd w:val="clear" w:color="auto" w:fill="FFFFFF"/>
                      <w:vertAlign w:val="subscript"/>
                    </w:rPr>
                    <w:t>50</w:t>
                  </w:r>
                  <w:r>
                    <w:rPr>
                      <w:rFonts w:hint="default" w:ascii="Times New Roman" w:hAnsi="Times New Roman" w:eastAsia="宋体" w:cs="Times New Roman"/>
                      <w:color w:val="auto"/>
                      <w:sz w:val="21"/>
                      <w:szCs w:val="21"/>
                      <w:highlight w:val="none"/>
                      <w:shd w:val="clear" w:color="auto" w:fill="FFFFFF"/>
                    </w:rPr>
                    <w:t>：无资料</w:t>
                  </w:r>
                </w:p>
                <w:p w14:paraId="590ACA62">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LC</w:t>
                  </w:r>
                  <w:r>
                    <w:rPr>
                      <w:rFonts w:hint="default" w:ascii="Times New Roman" w:hAnsi="Times New Roman" w:eastAsia="宋体" w:cs="Times New Roman"/>
                      <w:color w:val="auto"/>
                      <w:sz w:val="21"/>
                      <w:szCs w:val="21"/>
                      <w:highlight w:val="none"/>
                      <w:shd w:val="clear" w:color="auto" w:fill="FFFFFF"/>
                      <w:vertAlign w:val="subscript"/>
                    </w:rPr>
                    <w:t>50</w:t>
                  </w:r>
                  <w:r>
                    <w:rPr>
                      <w:rFonts w:hint="default" w:ascii="Times New Roman" w:hAnsi="Times New Roman" w:eastAsia="宋体" w:cs="Times New Roman"/>
                      <w:color w:val="auto"/>
                      <w:sz w:val="21"/>
                      <w:szCs w:val="21"/>
                      <w:highlight w:val="none"/>
                      <w:shd w:val="clear" w:color="auto" w:fill="FFFFFF"/>
                    </w:rPr>
                    <w:t>：无资料</w:t>
                  </w:r>
                </w:p>
              </w:tc>
            </w:tr>
            <w:tr w14:paraId="3B4451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307" w:hRule="atLeast"/>
                <w:jc w:val="center"/>
              </w:trPr>
              <w:tc>
                <w:tcPr>
                  <w:tcW w:w="561" w:type="dxa"/>
                  <w:vMerge w:val="restart"/>
                  <w:tcBorders>
                    <w:top w:val="single" w:color="auto" w:sz="6" w:space="0"/>
                    <w:right w:val="single" w:color="auto" w:sz="4" w:space="0"/>
                  </w:tcBorders>
                  <w:noWrap w:val="0"/>
                  <w:tcMar>
                    <w:top w:w="0" w:type="dxa"/>
                    <w:left w:w="0" w:type="dxa"/>
                    <w:bottom w:w="0" w:type="dxa"/>
                    <w:right w:w="0" w:type="dxa"/>
                  </w:tcMar>
                  <w:vAlign w:val="center"/>
                </w:tcPr>
                <w:p w14:paraId="760F2293">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硅油-脱模剂</w:t>
                  </w:r>
                </w:p>
              </w:tc>
              <w:tc>
                <w:tcPr>
                  <w:tcW w:w="1250" w:type="dxa"/>
                  <w:tcBorders>
                    <w:top w:val="single" w:color="auto" w:sz="6" w:space="0"/>
                    <w:left w:val="single" w:color="auto" w:sz="4" w:space="0"/>
                    <w:bottom w:val="single" w:color="auto" w:sz="6" w:space="0"/>
                    <w:right w:val="single" w:color="auto" w:sz="6" w:space="0"/>
                  </w:tcBorders>
                  <w:noWrap w:val="0"/>
                  <w:tcMar>
                    <w:top w:w="0" w:type="dxa"/>
                    <w:left w:w="0" w:type="dxa"/>
                    <w:bottom w:w="0" w:type="dxa"/>
                    <w:right w:w="0" w:type="dxa"/>
                  </w:tcMar>
                  <w:vAlign w:val="center"/>
                </w:tcPr>
                <w:p w14:paraId="14F124E6">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Liveo Q7-9120 硅油</w:t>
                  </w:r>
                </w:p>
              </w:tc>
              <w:tc>
                <w:tcPr>
                  <w:tcW w:w="4341"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42D07461">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lang w:val="en-US" w:eastAsia="zh-CN"/>
                    </w:rPr>
                  </w:pPr>
                  <w:r>
                    <w:rPr>
                      <w:rFonts w:hint="eastAsia" w:ascii="Times New Roman" w:hAnsi="Times New Roman" w:eastAsia="宋体" w:cs="Times New Roman"/>
                      <w:b w:val="0"/>
                      <w:bCs w:val="0"/>
                      <w:color w:val="auto"/>
                      <w:sz w:val="21"/>
                      <w:szCs w:val="21"/>
                      <w:highlight w:val="none"/>
                      <w:shd w:val="clear" w:color="auto" w:fill="FFFFFF"/>
                      <w:lang w:val="en-US" w:eastAsia="zh-CN"/>
                    </w:rPr>
                    <w:t>聚二甲基硅氧烷硅油，有时也根据其具体特性或应用场景简称为硅油。英文名简称 PDMS。CAS 登录号：63148-62-9。是一种无色、无味的透明液体。常作为中间体、润滑剂和润滑添加剂、加工调节器。沸点：＞35摄氏度，相对密度：0.970</w:t>
                  </w:r>
                  <w:r>
                    <w:rPr>
                      <w:rFonts w:hint="default" w:ascii="Times New Roman" w:hAnsi="Times New Roman" w:eastAsia="宋体" w:cs="Times New Roman"/>
                      <w:b w:val="0"/>
                      <w:bCs w:val="0"/>
                      <w:color w:val="auto"/>
                      <w:sz w:val="21"/>
                      <w:szCs w:val="21"/>
                      <w:highlight w:val="none"/>
                    </w:rPr>
                    <w:t>g/cm</w:t>
                  </w:r>
                  <w:r>
                    <w:rPr>
                      <w:rFonts w:hint="default" w:ascii="Times New Roman" w:hAnsi="Times New Roman" w:eastAsia="宋体" w:cs="Times New Roman"/>
                      <w:b w:val="0"/>
                      <w:bCs w:val="0"/>
                      <w:color w:val="auto"/>
                      <w:sz w:val="21"/>
                      <w:szCs w:val="21"/>
                      <w:highlight w:val="none"/>
                      <w:vertAlign w:val="superscript"/>
                    </w:rPr>
                    <w:t>3</w:t>
                  </w: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无爆炸性。</w:t>
                  </w:r>
                </w:p>
              </w:tc>
              <w:tc>
                <w:tcPr>
                  <w:tcW w:w="607"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3628B18B">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可燃</w:t>
                  </w:r>
                </w:p>
              </w:tc>
              <w:tc>
                <w:tcPr>
                  <w:tcW w:w="1451" w:type="dxa"/>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19B596A6">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LD</w:t>
                  </w:r>
                  <w:r>
                    <w:rPr>
                      <w:rFonts w:hint="default" w:ascii="Times New Roman" w:hAnsi="Times New Roman" w:eastAsia="宋体" w:cs="Times New Roman"/>
                      <w:b w:val="0"/>
                      <w:bCs w:val="0"/>
                      <w:color w:val="auto"/>
                      <w:sz w:val="21"/>
                      <w:szCs w:val="21"/>
                      <w:highlight w:val="none"/>
                      <w:shd w:val="clear" w:color="auto" w:fill="FFFFFF"/>
                      <w:vertAlign w:val="subscript"/>
                    </w:rPr>
                    <w:t>50</w:t>
                  </w:r>
                  <w:r>
                    <w:rPr>
                      <w:rFonts w:hint="eastAsia" w:ascii="Times New Roman" w:hAnsi="Times New Roman" w:eastAsia="宋体" w:cs="Times New Roman"/>
                      <w:b w:val="0"/>
                      <w:bCs w:val="0"/>
                      <w:color w:val="auto"/>
                      <w:sz w:val="21"/>
                      <w:szCs w:val="21"/>
                      <w:highlight w:val="none"/>
                      <w:shd w:val="clear" w:color="auto" w:fill="FFFFFF"/>
                      <w:lang w:eastAsia="zh-CN"/>
                    </w:rPr>
                    <w:t>：</w:t>
                  </w:r>
                  <w:r>
                    <w:rPr>
                      <w:rFonts w:hint="default" w:ascii="Times New Roman" w:hAnsi="Times New Roman" w:eastAsia="宋体" w:cs="Times New Roman"/>
                      <w:b w:val="0"/>
                      <w:bCs w:val="0"/>
                      <w:color w:val="auto"/>
                      <w:sz w:val="21"/>
                      <w:szCs w:val="21"/>
                      <w:highlight w:val="none"/>
                      <w:shd w:val="clear" w:color="auto" w:fill="FFFFFF"/>
                    </w:rPr>
                    <w:t>大鼠</w:t>
                  </w:r>
                  <w:r>
                    <w:rPr>
                      <w:rFonts w:hint="eastAsia" w:ascii="Times New Roman" w:hAnsi="Times New Roman" w:eastAsia="宋体" w:cs="Times New Roman"/>
                      <w:b w:val="0"/>
                      <w:bCs w:val="0"/>
                      <w:color w:val="auto"/>
                      <w:sz w:val="21"/>
                      <w:szCs w:val="21"/>
                      <w:highlight w:val="none"/>
                      <w:shd w:val="clear" w:color="auto" w:fill="FFFFFF"/>
                      <w:lang w:val="en-US" w:eastAsia="zh-CN"/>
                    </w:rPr>
                    <w:t>口</w:t>
                  </w:r>
                  <w:r>
                    <w:rPr>
                      <w:rFonts w:hint="default" w:ascii="Times New Roman" w:hAnsi="Times New Roman" w:eastAsia="宋体" w:cs="Times New Roman"/>
                      <w:b w:val="0"/>
                      <w:bCs w:val="0"/>
                      <w:color w:val="auto"/>
                      <w:sz w:val="21"/>
                      <w:szCs w:val="21"/>
                      <w:highlight w:val="none"/>
                      <w:shd w:val="clear" w:color="auto" w:fill="FFFFFF"/>
                    </w:rPr>
                    <w:t>&gt;15,400mg/kg</w:t>
                  </w:r>
                </w:p>
                <w:p w14:paraId="6A1B70C7">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LC</w:t>
                  </w:r>
                  <w:r>
                    <w:rPr>
                      <w:rFonts w:hint="default" w:ascii="Times New Roman" w:hAnsi="Times New Roman" w:eastAsia="宋体" w:cs="Times New Roman"/>
                      <w:b w:val="0"/>
                      <w:bCs w:val="0"/>
                      <w:color w:val="auto"/>
                      <w:sz w:val="21"/>
                      <w:szCs w:val="21"/>
                      <w:highlight w:val="none"/>
                      <w:shd w:val="clear" w:color="auto" w:fill="FFFFFF"/>
                      <w:vertAlign w:val="subscript"/>
                    </w:rPr>
                    <w:t>50</w:t>
                  </w:r>
                  <w:r>
                    <w:rPr>
                      <w:rFonts w:hint="default" w:ascii="Times New Roman" w:hAnsi="Times New Roman" w:eastAsia="宋体" w:cs="Times New Roman"/>
                      <w:b w:val="0"/>
                      <w:bCs w:val="0"/>
                      <w:color w:val="auto"/>
                      <w:sz w:val="21"/>
                      <w:szCs w:val="21"/>
                      <w:highlight w:val="none"/>
                      <w:shd w:val="clear" w:color="auto" w:fill="FFFFFF"/>
                    </w:rPr>
                    <w:t>：无资料</w:t>
                  </w:r>
                </w:p>
              </w:tc>
            </w:tr>
            <w:tr w14:paraId="1A4D70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3" w:type="dxa"/>
                  <w:bottom w:w="0" w:type="dxa"/>
                  <w:right w:w="23" w:type="dxa"/>
                </w:tblCellMar>
              </w:tblPrEx>
              <w:trPr>
                <w:trHeight w:val="1352" w:hRule="atLeast"/>
                <w:jc w:val="center"/>
              </w:trPr>
              <w:tc>
                <w:tcPr>
                  <w:tcW w:w="561" w:type="dxa"/>
                  <w:vMerge w:val="continue"/>
                  <w:tcBorders>
                    <w:bottom w:val="single" w:color="auto" w:sz="6" w:space="0"/>
                    <w:right w:val="single" w:color="auto" w:sz="4" w:space="0"/>
                  </w:tcBorders>
                  <w:noWrap w:val="0"/>
                  <w:tcMar>
                    <w:top w:w="0" w:type="dxa"/>
                    <w:left w:w="0" w:type="dxa"/>
                    <w:bottom w:w="0" w:type="dxa"/>
                    <w:right w:w="0" w:type="dxa"/>
                  </w:tcMar>
                  <w:vAlign w:val="center"/>
                </w:tcPr>
                <w:p w14:paraId="0AA0957C">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p>
              </w:tc>
              <w:tc>
                <w:tcPr>
                  <w:tcW w:w="1250" w:type="dxa"/>
                  <w:tcBorders>
                    <w:top w:val="single" w:color="auto" w:sz="6" w:space="0"/>
                    <w:left w:val="single" w:color="auto" w:sz="4" w:space="0"/>
                    <w:bottom w:val="single" w:color="auto" w:sz="6" w:space="0"/>
                    <w:right w:val="single" w:color="auto" w:sz="6" w:space="0"/>
                  </w:tcBorders>
                  <w:noWrap w:val="0"/>
                  <w:tcMar>
                    <w:top w:w="0" w:type="dxa"/>
                    <w:left w:w="0" w:type="dxa"/>
                    <w:bottom w:w="0" w:type="dxa"/>
                    <w:right w:w="0" w:type="dxa"/>
                  </w:tcMar>
                  <w:vAlign w:val="center"/>
                </w:tcPr>
                <w:p w14:paraId="65B5E105">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LiveoQ7-9180 硅油</w:t>
                  </w:r>
                </w:p>
              </w:tc>
              <w:tc>
                <w:tcPr>
                  <w:tcW w:w="4341"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1C0EFD17">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六甲基二硅氧烷</w:t>
                  </w:r>
                  <w:r>
                    <w:rPr>
                      <w:rFonts w:hint="eastAsia" w:ascii="Times New Roman" w:hAnsi="Times New Roman" w:eastAsia="宋体" w:cs="Times New Roman"/>
                      <w:b w:val="0"/>
                      <w:bCs w:val="0"/>
                      <w:color w:val="auto"/>
                      <w:sz w:val="21"/>
                      <w:szCs w:val="21"/>
                      <w:highlight w:val="none"/>
                      <w:shd w:val="clear" w:color="auto" w:fill="FFFFFF"/>
                      <w:lang w:val="en-US" w:eastAsia="zh-CN"/>
                    </w:rPr>
                    <w:t>硅油</w:t>
                  </w:r>
                  <w:r>
                    <w:rPr>
                      <w:rFonts w:hint="default" w:ascii="Times New Roman" w:hAnsi="Times New Roman" w:eastAsia="宋体" w:cs="Times New Roman"/>
                      <w:b w:val="0"/>
                      <w:bCs w:val="0"/>
                      <w:color w:val="auto"/>
                      <w:sz w:val="21"/>
                      <w:szCs w:val="21"/>
                      <w:highlight w:val="none"/>
                      <w:shd w:val="clear" w:color="auto" w:fill="FFFFFF"/>
                    </w:rPr>
                    <w:t>，又名六甲基氧二硅烷，常被称为 MM 硅油。英文名简称HMDSO。分子式：C₆H₁₈OSi₂</w:t>
                  </w:r>
                  <w:r>
                    <w:rPr>
                      <w:rFonts w:hint="eastAsia" w:ascii="Times New Roman" w:hAnsi="Times New Roman" w:eastAsia="宋体" w:cs="Times New Roman"/>
                      <w:b w:val="0"/>
                      <w:bCs w:val="0"/>
                      <w:color w:val="auto"/>
                      <w:sz w:val="21"/>
                      <w:szCs w:val="21"/>
                      <w:highlight w:val="none"/>
                      <w:shd w:val="clear" w:color="auto" w:fill="FFFFFF"/>
                      <w:lang w:eastAsia="zh-CN"/>
                    </w:rPr>
                    <w:t>，</w:t>
                  </w:r>
                  <w:r>
                    <w:rPr>
                      <w:rFonts w:hint="default" w:ascii="Times New Roman" w:hAnsi="Times New Roman" w:eastAsia="宋体" w:cs="Times New Roman"/>
                      <w:b w:val="0"/>
                      <w:bCs w:val="0"/>
                      <w:color w:val="auto"/>
                      <w:sz w:val="21"/>
                      <w:szCs w:val="21"/>
                      <w:highlight w:val="none"/>
                      <w:shd w:val="clear" w:color="auto" w:fill="FFFFFF"/>
                    </w:rPr>
                    <w:t>分子量：162.38</w:t>
                  </w:r>
                  <w:r>
                    <w:rPr>
                      <w:rFonts w:hint="eastAsia" w:ascii="Times New Roman" w:hAnsi="Times New Roman" w:eastAsia="宋体" w:cs="Times New Roman"/>
                      <w:b w:val="0"/>
                      <w:bCs w:val="0"/>
                      <w:color w:val="auto"/>
                      <w:sz w:val="21"/>
                      <w:szCs w:val="21"/>
                      <w:highlight w:val="none"/>
                      <w:shd w:val="clear" w:color="auto" w:fill="FFFFFF"/>
                      <w:lang w:eastAsia="zh-CN"/>
                    </w:rPr>
                    <w:t>。</w:t>
                  </w:r>
                  <w:r>
                    <w:rPr>
                      <w:rFonts w:hint="eastAsia" w:ascii="Times New Roman" w:hAnsi="Times New Roman" w:eastAsia="宋体" w:cs="Times New Roman"/>
                      <w:b w:val="0"/>
                      <w:bCs w:val="0"/>
                      <w:color w:val="auto"/>
                      <w:sz w:val="21"/>
                      <w:szCs w:val="21"/>
                      <w:highlight w:val="none"/>
                      <w:shd w:val="clear" w:color="auto" w:fill="FFFFFF"/>
                      <w:lang w:val="en-US" w:eastAsia="zh-CN"/>
                    </w:rPr>
                    <w:t>是一种无色、无味的液体。常作为加工调节器。沸点：＞35摄氏度，相对密度0.76</w:t>
                  </w:r>
                  <w:r>
                    <w:rPr>
                      <w:rFonts w:hint="default" w:ascii="Times New Roman" w:hAnsi="Times New Roman" w:eastAsia="宋体" w:cs="Times New Roman"/>
                      <w:b w:val="0"/>
                      <w:bCs w:val="0"/>
                      <w:color w:val="auto"/>
                      <w:sz w:val="21"/>
                      <w:szCs w:val="21"/>
                      <w:highlight w:val="none"/>
                    </w:rPr>
                    <w:t>g/cm</w:t>
                  </w:r>
                  <w:r>
                    <w:rPr>
                      <w:rFonts w:hint="default" w:ascii="Times New Roman" w:hAnsi="Times New Roman" w:eastAsia="宋体" w:cs="Times New Roman"/>
                      <w:b w:val="0"/>
                      <w:bCs w:val="0"/>
                      <w:color w:val="auto"/>
                      <w:sz w:val="21"/>
                      <w:szCs w:val="21"/>
                      <w:highlight w:val="none"/>
                      <w:vertAlign w:val="superscript"/>
                    </w:rPr>
                    <w:t>3</w:t>
                  </w:r>
                  <w:r>
                    <w:rPr>
                      <w:rFonts w:hint="eastAsia" w:ascii="Times New Roman" w:hAnsi="Times New Roman" w:eastAsia="宋体" w:cs="Times New Roman"/>
                      <w:b w:val="0"/>
                      <w:bCs w:val="0"/>
                      <w:color w:val="auto"/>
                      <w:sz w:val="21"/>
                      <w:szCs w:val="21"/>
                      <w:highlight w:val="none"/>
                      <w:vertAlign w:val="baseline"/>
                      <w:lang w:eastAsia="zh-CN"/>
                    </w:rPr>
                    <w:t>，</w:t>
                  </w:r>
                  <w:r>
                    <w:rPr>
                      <w:rFonts w:hint="eastAsia" w:ascii="Times New Roman" w:hAnsi="Times New Roman" w:eastAsia="宋体" w:cs="Times New Roman"/>
                      <w:b w:val="0"/>
                      <w:bCs w:val="0"/>
                      <w:color w:val="auto"/>
                      <w:sz w:val="21"/>
                      <w:szCs w:val="21"/>
                      <w:highlight w:val="none"/>
                      <w:vertAlign w:val="baseline"/>
                      <w:lang w:val="en-US" w:eastAsia="zh-CN"/>
                    </w:rPr>
                    <w:t>无爆炸性。</w:t>
                  </w:r>
                </w:p>
              </w:tc>
              <w:tc>
                <w:tcPr>
                  <w:tcW w:w="607" w:type="dxa"/>
                  <w:tcBorders>
                    <w:top w:val="single" w:color="auto" w:sz="6" w:space="0"/>
                    <w:left w:val="single" w:color="auto" w:sz="6" w:space="0"/>
                    <w:bottom w:val="single" w:color="auto" w:sz="6" w:space="0"/>
                    <w:right w:val="single" w:color="auto" w:sz="6" w:space="0"/>
                  </w:tcBorders>
                  <w:noWrap w:val="0"/>
                  <w:tcMar>
                    <w:top w:w="0" w:type="dxa"/>
                    <w:left w:w="0" w:type="dxa"/>
                    <w:bottom w:w="0" w:type="dxa"/>
                    <w:right w:w="0" w:type="dxa"/>
                  </w:tcMar>
                  <w:vAlign w:val="center"/>
                </w:tcPr>
                <w:p w14:paraId="73EF08CE">
                  <w:pPr>
                    <w:keepNext w:val="0"/>
                    <w:keepLines w:val="0"/>
                    <w:pageBreakBefore w:val="0"/>
                    <w:widowControl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可燃</w:t>
                  </w:r>
                </w:p>
              </w:tc>
              <w:tc>
                <w:tcPr>
                  <w:tcW w:w="1451" w:type="dxa"/>
                  <w:tcBorders>
                    <w:top w:val="single" w:color="auto" w:sz="6" w:space="0"/>
                    <w:left w:val="single" w:color="auto" w:sz="6" w:space="0"/>
                    <w:bottom w:val="single" w:color="auto" w:sz="6" w:space="0"/>
                  </w:tcBorders>
                  <w:noWrap w:val="0"/>
                  <w:tcMar>
                    <w:top w:w="0" w:type="dxa"/>
                    <w:left w:w="0" w:type="dxa"/>
                    <w:bottom w:w="0" w:type="dxa"/>
                    <w:right w:w="0" w:type="dxa"/>
                  </w:tcMar>
                  <w:vAlign w:val="center"/>
                </w:tcPr>
                <w:p w14:paraId="018E7B41">
                  <w:pPr>
                    <w:keepNext w:val="0"/>
                    <w:keepLines w:val="0"/>
                    <w:pageBreakBefore w:val="0"/>
                    <w:suppressLineNumbers w:val="0"/>
                    <w:wordWrap/>
                    <w:bidi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shd w:val="clear" w:color="auto" w:fill="FFFFFF"/>
                    </w:rPr>
                  </w:pPr>
                  <w:r>
                    <w:rPr>
                      <w:rFonts w:hint="default" w:ascii="Times New Roman" w:hAnsi="Times New Roman" w:eastAsia="宋体" w:cs="Times New Roman"/>
                      <w:b w:val="0"/>
                      <w:bCs w:val="0"/>
                      <w:color w:val="auto"/>
                      <w:sz w:val="21"/>
                      <w:szCs w:val="21"/>
                      <w:highlight w:val="none"/>
                      <w:shd w:val="clear" w:color="auto" w:fill="FFFFFF"/>
                    </w:rPr>
                    <w:t>LD</w:t>
                  </w:r>
                  <w:r>
                    <w:rPr>
                      <w:rFonts w:hint="default" w:ascii="Times New Roman" w:hAnsi="Times New Roman" w:eastAsia="宋体" w:cs="Times New Roman"/>
                      <w:b w:val="0"/>
                      <w:bCs w:val="0"/>
                      <w:color w:val="auto"/>
                      <w:sz w:val="21"/>
                      <w:szCs w:val="21"/>
                      <w:highlight w:val="none"/>
                      <w:shd w:val="clear" w:color="auto" w:fill="FFFFFF"/>
                      <w:vertAlign w:val="subscript"/>
                    </w:rPr>
                    <w:t>50</w:t>
                  </w:r>
                  <w:r>
                    <w:rPr>
                      <w:rFonts w:hint="default" w:ascii="Times New Roman" w:hAnsi="Times New Roman" w:eastAsia="宋体" w:cs="Times New Roman"/>
                      <w:b w:val="0"/>
                      <w:bCs w:val="0"/>
                      <w:color w:val="auto"/>
                      <w:sz w:val="21"/>
                      <w:szCs w:val="21"/>
                      <w:highlight w:val="none"/>
                      <w:shd w:val="clear" w:color="auto" w:fill="FFFFFF"/>
                    </w:rPr>
                    <w:t>,大鼠</w:t>
                  </w:r>
                  <w:r>
                    <w:rPr>
                      <w:rFonts w:hint="eastAsia" w:ascii="Times New Roman" w:hAnsi="Times New Roman" w:eastAsia="宋体" w:cs="Times New Roman"/>
                      <w:b w:val="0"/>
                      <w:bCs w:val="0"/>
                      <w:color w:val="auto"/>
                      <w:sz w:val="21"/>
                      <w:szCs w:val="21"/>
                      <w:highlight w:val="none"/>
                      <w:shd w:val="clear" w:color="auto" w:fill="FFFFFF"/>
                      <w:lang w:val="en-US" w:eastAsia="zh-CN"/>
                    </w:rPr>
                    <w:t>经口</w:t>
                  </w:r>
                  <w:r>
                    <w:rPr>
                      <w:rFonts w:hint="default" w:ascii="Times New Roman" w:hAnsi="Times New Roman" w:eastAsia="宋体" w:cs="Times New Roman"/>
                      <w:b w:val="0"/>
                      <w:bCs w:val="0"/>
                      <w:color w:val="auto"/>
                      <w:sz w:val="21"/>
                      <w:szCs w:val="21"/>
                      <w:highlight w:val="none"/>
                      <w:shd w:val="clear" w:color="auto" w:fill="FFFFFF"/>
                    </w:rPr>
                    <w:t>&gt;5,000mg/kg</w:t>
                  </w:r>
                </w:p>
                <w:p w14:paraId="504524CB">
                  <w:pPr>
                    <w:keepNext w:val="0"/>
                    <w:keepLines w:val="0"/>
                    <w:pageBreakBefore w:val="0"/>
                    <w:suppressLineNumbers w:val="0"/>
                    <w:wordWrap/>
                    <w:bidi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shd w:val="clear" w:color="auto" w:fill="FFFFFF"/>
                      <w:lang w:val="en-US" w:eastAsia="zh-CN"/>
                    </w:rPr>
                  </w:pPr>
                  <w:r>
                    <w:rPr>
                      <w:rFonts w:hint="default" w:ascii="Times New Roman" w:hAnsi="Times New Roman" w:eastAsia="宋体" w:cs="Times New Roman"/>
                      <w:b w:val="0"/>
                      <w:bCs w:val="0"/>
                      <w:color w:val="auto"/>
                      <w:sz w:val="21"/>
                      <w:szCs w:val="21"/>
                      <w:highlight w:val="none"/>
                      <w:shd w:val="clear" w:color="auto" w:fill="FFFFFF"/>
                    </w:rPr>
                    <w:t>LC</w:t>
                  </w:r>
                  <w:r>
                    <w:rPr>
                      <w:rFonts w:hint="default" w:ascii="Times New Roman" w:hAnsi="Times New Roman" w:eastAsia="宋体" w:cs="Times New Roman"/>
                      <w:b w:val="0"/>
                      <w:bCs w:val="0"/>
                      <w:color w:val="auto"/>
                      <w:sz w:val="21"/>
                      <w:szCs w:val="21"/>
                      <w:highlight w:val="none"/>
                      <w:shd w:val="clear" w:color="auto" w:fill="FFFFFF"/>
                      <w:vertAlign w:val="subscript"/>
                    </w:rPr>
                    <w:t>50</w:t>
                  </w:r>
                  <w:r>
                    <w:rPr>
                      <w:rFonts w:hint="default" w:ascii="Times New Roman" w:hAnsi="Times New Roman" w:eastAsia="宋体" w:cs="Times New Roman"/>
                      <w:b w:val="0"/>
                      <w:bCs w:val="0"/>
                      <w:color w:val="auto"/>
                      <w:sz w:val="21"/>
                      <w:szCs w:val="21"/>
                      <w:highlight w:val="none"/>
                      <w:shd w:val="clear" w:color="auto" w:fill="FFFFFF"/>
                    </w:rPr>
                    <w:t>：大鼠,雄性和雌性,4h,蒸气,106 mg/</w:t>
                  </w:r>
                  <w:r>
                    <w:rPr>
                      <w:rFonts w:hint="eastAsia" w:ascii="Times New Roman" w:hAnsi="Times New Roman" w:eastAsia="宋体" w:cs="Times New Roman"/>
                      <w:b w:val="0"/>
                      <w:bCs w:val="0"/>
                      <w:color w:val="auto"/>
                      <w:sz w:val="21"/>
                      <w:szCs w:val="21"/>
                      <w:highlight w:val="none"/>
                      <w:shd w:val="clear" w:color="auto" w:fill="FFFFFF"/>
                      <w:lang w:val="en-US" w:eastAsia="zh-CN"/>
                    </w:rPr>
                    <w:t>L</w:t>
                  </w:r>
                </w:p>
              </w:tc>
            </w:tr>
          </w:tbl>
          <w:p w14:paraId="372AEA2F">
            <w:pPr>
              <w:keepNext w:val="0"/>
              <w:keepLines w:val="0"/>
              <w:numPr>
                <w:ilvl w:val="0"/>
                <w:numId w:val="5"/>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主要生产单元、主要工艺及生产设施名称一览表</w:t>
            </w:r>
          </w:p>
          <w:p w14:paraId="68D44992">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6</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sz w:val="24"/>
                <w:highlight w:val="none"/>
              </w:rPr>
              <w:t>建设项目主要生产单元、主要工艺及生产设施名称一览表</w:t>
            </w:r>
          </w:p>
          <w:tbl>
            <w:tblPr>
              <w:tblStyle w:val="24"/>
              <w:tblW w:w="826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62"/>
              <w:gridCol w:w="587"/>
              <w:gridCol w:w="1673"/>
              <w:gridCol w:w="958"/>
              <w:gridCol w:w="797"/>
              <w:gridCol w:w="765"/>
              <w:gridCol w:w="840"/>
              <w:gridCol w:w="2080"/>
            </w:tblGrid>
            <w:tr w14:paraId="260217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vMerge w:val="restart"/>
                  <w:tcBorders>
                    <w:tl2br w:val="nil"/>
                    <w:tr2bl w:val="nil"/>
                  </w:tcBorders>
                  <w:shd w:val="clear" w:color="auto" w:fill="auto"/>
                  <w:vAlign w:val="center"/>
                </w:tcPr>
                <w:p w14:paraId="0F1A08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序号</w:t>
                  </w:r>
                </w:p>
              </w:tc>
              <w:tc>
                <w:tcPr>
                  <w:tcW w:w="587" w:type="dxa"/>
                  <w:vMerge w:val="restart"/>
                  <w:tcBorders>
                    <w:tl2br w:val="nil"/>
                    <w:tr2bl w:val="nil"/>
                  </w:tcBorders>
                  <w:shd w:val="clear" w:color="auto" w:fill="auto"/>
                  <w:vAlign w:val="center"/>
                </w:tcPr>
                <w:p w14:paraId="38C7C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主要生产单元</w:t>
                  </w:r>
                </w:p>
              </w:tc>
              <w:tc>
                <w:tcPr>
                  <w:tcW w:w="1673" w:type="dxa"/>
                  <w:vMerge w:val="restart"/>
                  <w:tcBorders>
                    <w:tl2br w:val="nil"/>
                    <w:tr2bl w:val="nil"/>
                  </w:tcBorders>
                  <w:shd w:val="clear" w:color="auto" w:fill="auto"/>
                  <w:vAlign w:val="center"/>
                </w:tcPr>
                <w:p w14:paraId="59984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生产设施</w:t>
                  </w:r>
                </w:p>
              </w:tc>
              <w:tc>
                <w:tcPr>
                  <w:tcW w:w="958" w:type="dxa"/>
                  <w:vMerge w:val="restart"/>
                  <w:tcBorders>
                    <w:tl2br w:val="nil"/>
                    <w:tr2bl w:val="nil"/>
                  </w:tcBorders>
                  <w:shd w:val="clear" w:color="auto" w:fill="auto"/>
                  <w:vAlign w:val="center"/>
                </w:tcPr>
                <w:p w14:paraId="45E13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设施</w:t>
                  </w:r>
                </w:p>
                <w:p w14:paraId="741BF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规格</w:t>
                  </w:r>
                </w:p>
              </w:tc>
              <w:tc>
                <w:tcPr>
                  <w:tcW w:w="2402" w:type="dxa"/>
                  <w:gridSpan w:val="3"/>
                  <w:tcBorders>
                    <w:tl2br w:val="nil"/>
                    <w:tr2bl w:val="nil"/>
                  </w:tcBorders>
                  <w:shd w:val="clear" w:color="auto" w:fill="auto"/>
                  <w:vAlign w:val="center"/>
                </w:tcPr>
                <w:p w14:paraId="4A3B7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数量</w:t>
                  </w: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（台/套）</w:t>
                  </w:r>
                </w:p>
              </w:tc>
              <w:tc>
                <w:tcPr>
                  <w:tcW w:w="2080" w:type="dxa"/>
                  <w:vMerge w:val="restart"/>
                  <w:tcBorders>
                    <w:tl2br w:val="nil"/>
                    <w:tr2bl w:val="nil"/>
                  </w:tcBorders>
                  <w:shd w:val="clear" w:color="auto" w:fill="auto"/>
                  <w:vAlign w:val="center"/>
                </w:tcPr>
                <w:p w14:paraId="2F4F79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r>
                    <w:rPr>
                      <w:rFonts w:hint="eastAsia" w:ascii="Times New Roman" w:hAnsi="Times New Roman" w:eastAsia="宋体" w:cs="Times New Roman"/>
                      <w:b/>
                      <w:bCs/>
                      <w:i w:val="0"/>
                      <w:iCs w:val="0"/>
                      <w:color w:val="auto"/>
                      <w:spacing w:val="0"/>
                      <w:kern w:val="0"/>
                      <w:sz w:val="21"/>
                      <w:szCs w:val="21"/>
                      <w:highlight w:val="none"/>
                      <w:u w:val="none"/>
                      <w:lang w:val="en-US" w:eastAsia="zh-CN" w:bidi="ar"/>
                    </w:rPr>
                    <w:t>备注</w:t>
                  </w:r>
                </w:p>
              </w:tc>
            </w:tr>
            <w:tr w14:paraId="1BC74B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vMerge w:val="continue"/>
                  <w:tcBorders>
                    <w:tl2br w:val="nil"/>
                    <w:tr2bl w:val="nil"/>
                  </w:tcBorders>
                  <w:shd w:val="clear" w:color="auto" w:fill="auto"/>
                  <w:vAlign w:val="center"/>
                </w:tcPr>
                <w:p w14:paraId="640AB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p>
              </w:tc>
              <w:tc>
                <w:tcPr>
                  <w:tcW w:w="587" w:type="dxa"/>
                  <w:vMerge w:val="continue"/>
                  <w:tcBorders>
                    <w:tl2br w:val="nil"/>
                    <w:tr2bl w:val="nil"/>
                  </w:tcBorders>
                  <w:shd w:val="clear" w:color="auto" w:fill="auto"/>
                  <w:vAlign w:val="center"/>
                </w:tcPr>
                <w:p w14:paraId="0CBDC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p>
              </w:tc>
              <w:tc>
                <w:tcPr>
                  <w:tcW w:w="1673" w:type="dxa"/>
                  <w:vMerge w:val="continue"/>
                  <w:tcBorders>
                    <w:tl2br w:val="nil"/>
                    <w:tr2bl w:val="nil"/>
                  </w:tcBorders>
                  <w:shd w:val="clear" w:color="auto" w:fill="auto"/>
                  <w:vAlign w:val="center"/>
                </w:tcPr>
                <w:p w14:paraId="31CF4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p>
              </w:tc>
              <w:tc>
                <w:tcPr>
                  <w:tcW w:w="958" w:type="dxa"/>
                  <w:vMerge w:val="continue"/>
                  <w:tcBorders>
                    <w:tl2br w:val="nil"/>
                    <w:tr2bl w:val="nil"/>
                  </w:tcBorders>
                  <w:shd w:val="clear" w:color="auto" w:fill="auto"/>
                  <w:vAlign w:val="center"/>
                </w:tcPr>
                <w:p w14:paraId="725C5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p>
              </w:tc>
              <w:tc>
                <w:tcPr>
                  <w:tcW w:w="797" w:type="dxa"/>
                  <w:tcBorders>
                    <w:tl2br w:val="nil"/>
                    <w:tr2bl w:val="nil"/>
                  </w:tcBorders>
                  <w:shd w:val="clear" w:color="auto" w:fill="auto"/>
                  <w:vAlign w:val="center"/>
                </w:tcPr>
                <w:p w14:paraId="4E4024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rPr>
                  </w:pPr>
                  <w:r>
                    <w:rPr>
                      <w:rFonts w:hint="eastAsia" w:cs="Times New Roman"/>
                      <w:b/>
                      <w:bCs/>
                      <w:i w:val="0"/>
                      <w:iCs w:val="0"/>
                      <w:color w:val="auto"/>
                      <w:spacing w:val="0"/>
                      <w:kern w:val="0"/>
                      <w:sz w:val="21"/>
                      <w:szCs w:val="21"/>
                      <w:highlight w:val="none"/>
                      <w:u w:val="none"/>
                      <w:lang w:val="en-US" w:eastAsia="zh-CN" w:bidi="ar"/>
                    </w:rPr>
                    <w:t>技术改造</w:t>
                  </w: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前</w:t>
                  </w:r>
                </w:p>
              </w:tc>
              <w:tc>
                <w:tcPr>
                  <w:tcW w:w="765" w:type="dxa"/>
                  <w:tcBorders>
                    <w:tl2br w:val="nil"/>
                    <w:tr2bl w:val="nil"/>
                  </w:tcBorders>
                  <w:shd w:val="clear" w:color="auto" w:fill="auto"/>
                  <w:vAlign w:val="center"/>
                </w:tcPr>
                <w:p w14:paraId="5F036C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rPr>
                  </w:pPr>
                  <w:r>
                    <w:rPr>
                      <w:rFonts w:hint="eastAsia" w:cs="Times New Roman"/>
                      <w:b/>
                      <w:bCs/>
                      <w:i w:val="0"/>
                      <w:iCs w:val="0"/>
                      <w:color w:val="auto"/>
                      <w:spacing w:val="0"/>
                      <w:kern w:val="0"/>
                      <w:sz w:val="21"/>
                      <w:szCs w:val="21"/>
                      <w:highlight w:val="none"/>
                      <w:u w:val="none"/>
                      <w:lang w:val="en-US" w:eastAsia="zh-CN" w:bidi="ar"/>
                    </w:rPr>
                    <w:t>技术改造</w:t>
                  </w: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后</w:t>
                  </w:r>
                </w:p>
              </w:tc>
              <w:tc>
                <w:tcPr>
                  <w:tcW w:w="840" w:type="dxa"/>
                  <w:tcBorders>
                    <w:tl2br w:val="nil"/>
                    <w:tr2bl w:val="nil"/>
                  </w:tcBorders>
                  <w:shd w:val="clear" w:color="auto" w:fill="auto"/>
                  <w:vAlign w:val="center"/>
                </w:tcPr>
                <w:p w14:paraId="200642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bCs/>
                      <w:i w:val="0"/>
                      <w:iCs w:val="0"/>
                      <w:color w:val="auto"/>
                      <w:spacing w:val="0"/>
                      <w:sz w:val="21"/>
                      <w:szCs w:val="21"/>
                      <w:highlight w:val="none"/>
                      <w:u w:val="none"/>
                    </w:rPr>
                  </w:pPr>
                  <w:r>
                    <w:rPr>
                      <w:rFonts w:hint="default" w:ascii="Times New Roman" w:hAnsi="Times New Roman" w:eastAsia="宋体" w:cs="Times New Roman"/>
                      <w:b/>
                      <w:bCs/>
                      <w:i w:val="0"/>
                      <w:iCs w:val="0"/>
                      <w:color w:val="auto"/>
                      <w:spacing w:val="0"/>
                      <w:kern w:val="0"/>
                      <w:sz w:val="21"/>
                      <w:szCs w:val="21"/>
                      <w:highlight w:val="none"/>
                      <w:u w:val="none"/>
                      <w:lang w:val="en-US" w:eastAsia="zh-CN" w:bidi="ar"/>
                    </w:rPr>
                    <w:t>变化量</w:t>
                  </w:r>
                </w:p>
              </w:tc>
              <w:tc>
                <w:tcPr>
                  <w:tcW w:w="2080" w:type="dxa"/>
                  <w:vMerge w:val="continue"/>
                  <w:tcBorders>
                    <w:tl2br w:val="nil"/>
                    <w:tr2bl w:val="nil"/>
                  </w:tcBorders>
                  <w:shd w:val="clear" w:color="auto" w:fill="auto"/>
                  <w:vAlign w:val="center"/>
                </w:tcPr>
                <w:p w14:paraId="431C8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bCs/>
                      <w:i w:val="0"/>
                      <w:iCs w:val="0"/>
                      <w:color w:val="auto"/>
                      <w:spacing w:val="0"/>
                      <w:kern w:val="0"/>
                      <w:sz w:val="21"/>
                      <w:szCs w:val="21"/>
                      <w:highlight w:val="none"/>
                      <w:u w:val="none"/>
                      <w:lang w:val="en-US" w:eastAsia="zh-CN" w:bidi="ar"/>
                    </w:rPr>
                  </w:pPr>
                </w:p>
              </w:tc>
            </w:tr>
            <w:tr w14:paraId="0218E9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EB39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1</w:t>
                  </w:r>
                </w:p>
              </w:tc>
              <w:tc>
                <w:tcPr>
                  <w:tcW w:w="587" w:type="dxa"/>
                  <w:vMerge w:val="restart"/>
                  <w:tcBorders>
                    <w:tl2br w:val="nil"/>
                    <w:tr2bl w:val="nil"/>
                  </w:tcBorders>
                  <w:shd w:val="clear" w:color="auto" w:fill="auto"/>
                  <w:vAlign w:val="center"/>
                </w:tcPr>
                <w:p w14:paraId="6E6F0F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医用高分子材料生产线</w:t>
                  </w:r>
                </w:p>
              </w:tc>
              <w:tc>
                <w:tcPr>
                  <w:tcW w:w="1673" w:type="dxa"/>
                  <w:tcBorders>
                    <w:tl2br w:val="nil"/>
                    <w:tr2bl w:val="nil"/>
                  </w:tcBorders>
                  <w:shd w:val="clear" w:color="auto" w:fill="auto"/>
                  <w:vAlign w:val="center"/>
                </w:tcPr>
                <w:p w14:paraId="5F410CE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高速分散搅拌机</w:t>
                  </w:r>
                </w:p>
              </w:tc>
              <w:tc>
                <w:tcPr>
                  <w:tcW w:w="958" w:type="dxa"/>
                  <w:tcBorders>
                    <w:tl2br w:val="nil"/>
                    <w:tr2bl w:val="nil"/>
                  </w:tcBorders>
                  <w:shd w:val="clear" w:color="auto" w:fill="auto"/>
                  <w:vAlign w:val="center"/>
                </w:tcPr>
                <w:p w14:paraId="1DB2E6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position w:val="1"/>
                      <w:sz w:val="21"/>
                      <w:szCs w:val="21"/>
                      <w:highlight w:val="none"/>
                    </w:rPr>
                    <w:t>/</w:t>
                  </w:r>
                </w:p>
              </w:tc>
              <w:tc>
                <w:tcPr>
                  <w:tcW w:w="797" w:type="dxa"/>
                  <w:tcBorders>
                    <w:tl2br w:val="nil"/>
                    <w:tr2bl w:val="nil"/>
                  </w:tcBorders>
                  <w:shd w:val="clear" w:color="auto" w:fill="auto"/>
                  <w:vAlign w:val="center"/>
                </w:tcPr>
                <w:p w14:paraId="32EF0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1</w:t>
                  </w:r>
                </w:p>
              </w:tc>
              <w:tc>
                <w:tcPr>
                  <w:tcW w:w="765" w:type="dxa"/>
                  <w:tcBorders>
                    <w:tl2br w:val="nil"/>
                    <w:tr2bl w:val="nil"/>
                  </w:tcBorders>
                  <w:shd w:val="clear" w:color="auto" w:fill="auto"/>
                  <w:vAlign w:val="center"/>
                </w:tcPr>
                <w:p w14:paraId="090BAE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1</w:t>
                  </w:r>
                </w:p>
              </w:tc>
              <w:tc>
                <w:tcPr>
                  <w:tcW w:w="840" w:type="dxa"/>
                  <w:tcBorders>
                    <w:tl2br w:val="nil"/>
                    <w:tr2bl w:val="nil"/>
                  </w:tcBorders>
                  <w:shd w:val="clear" w:color="auto" w:fill="auto"/>
                  <w:vAlign w:val="center"/>
                </w:tcPr>
                <w:p w14:paraId="2EC8C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tcBorders>
                    <w:bottom w:val="single" w:color="auto" w:sz="4" w:space="0"/>
                    <w:tl2br w:val="nil"/>
                    <w:tr2bl w:val="nil"/>
                  </w:tcBorders>
                  <w:shd w:val="clear" w:color="auto" w:fill="auto"/>
                  <w:vAlign w:val="center"/>
                </w:tcPr>
                <w:p w14:paraId="283FB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依托现有</w:t>
                  </w:r>
                </w:p>
              </w:tc>
            </w:tr>
            <w:tr w14:paraId="0BEC9B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456EC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2</w:t>
                  </w:r>
                </w:p>
              </w:tc>
              <w:tc>
                <w:tcPr>
                  <w:tcW w:w="587" w:type="dxa"/>
                  <w:vMerge w:val="continue"/>
                  <w:tcBorders>
                    <w:tl2br w:val="nil"/>
                    <w:tr2bl w:val="nil"/>
                  </w:tcBorders>
                  <w:shd w:val="clear" w:color="auto" w:fill="auto"/>
                  <w:vAlign w:val="center"/>
                </w:tcPr>
                <w:p w14:paraId="387EA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F5CAFA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搅拌机</w:t>
                  </w:r>
                </w:p>
              </w:tc>
              <w:tc>
                <w:tcPr>
                  <w:tcW w:w="958" w:type="dxa"/>
                  <w:tcBorders>
                    <w:tl2br w:val="nil"/>
                    <w:tr2bl w:val="nil"/>
                  </w:tcBorders>
                  <w:shd w:val="clear" w:color="auto" w:fill="auto"/>
                  <w:vAlign w:val="center"/>
                </w:tcPr>
                <w:p w14:paraId="4029DA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position w:val="1"/>
                      <w:sz w:val="21"/>
                      <w:szCs w:val="21"/>
                      <w:highlight w:val="none"/>
                    </w:rPr>
                    <w:t>/</w:t>
                  </w:r>
                </w:p>
              </w:tc>
              <w:tc>
                <w:tcPr>
                  <w:tcW w:w="797" w:type="dxa"/>
                  <w:tcBorders>
                    <w:tl2br w:val="nil"/>
                    <w:tr2bl w:val="nil"/>
                  </w:tcBorders>
                  <w:shd w:val="clear" w:color="auto" w:fill="auto"/>
                  <w:vAlign w:val="center"/>
                </w:tcPr>
                <w:p w14:paraId="5FC8D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1</w:t>
                  </w:r>
                </w:p>
              </w:tc>
              <w:tc>
                <w:tcPr>
                  <w:tcW w:w="765" w:type="dxa"/>
                  <w:tcBorders>
                    <w:tl2br w:val="nil"/>
                    <w:tr2bl w:val="nil"/>
                  </w:tcBorders>
                  <w:shd w:val="clear" w:color="auto" w:fill="auto"/>
                  <w:vAlign w:val="center"/>
                </w:tcPr>
                <w:p w14:paraId="35391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2</w:t>
                  </w:r>
                </w:p>
              </w:tc>
              <w:tc>
                <w:tcPr>
                  <w:tcW w:w="840" w:type="dxa"/>
                  <w:tcBorders>
                    <w:tl2br w:val="nil"/>
                    <w:tr2bl w:val="nil"/>
                  </w:tcBorders>
                  <w:shd w:val="clear" w:color="auto" w:fill="auto"/>
                  <w:vAlign w:val="center"/>
                </w:tcPr>
                <w:p w14:paraId="581275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+1</w:t>
                  </w:r>
                </w:p>
              </w:tc>
              <w:tc>
                <w:tcPr>
                  <w:tcW w:w="2080" w:type="dxa"/>
                  <w:tcBorders>
                    <w:top w:val="single" w:color="auto" w:sz="4" w:space="0"/>
                    <w:bottom w:val="single" w:color="auto" w:sz="4" w:space="0"/>
                    <w:tl2br w:val="nil"/>
                    <w:tr2bl w:val="nil"/>
                  </w:tcBorders>
                  <w:shd w:val="clear" w:color="auto" w:fill="auto"/>
                  <w:vAlign w:val="center"/>
                </w:tcPr>
                <w:p w14:paraId="6C8DB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cs="Times New Roman"/>
                      <w:b w:val="0"/>
                      <w:bCs w:val="0"/>
                      <w:i w:val="0"/>
                      <w:iCs w:val="0"/>
                      <w:color w:val="auto"/>
                      <w:spacing w:val="0"/>
                      <w:sz w:val="21"/>
                      <w:szCs w:val="21"/>
                      <w:highlight w:val="none"/>
                      <w:u w:val="none"/>
                      <w:lang w:val="en-US" w:eastAsia="zh-CN"/>
                    </w:rPr>
                    <w:t>根据产品需求，</w:t>
                  </w:r>
                  <w:r>
                    <w:rPr>
                      <w:rFonts w:hint="default" w:ascii="Times New Roman" w:hAnsi="Times New Roman" w:eastAsia="宋体" w:cs="Times New Roman"/>
                      <w:b w:val="0"/>
                      <w:bCs w:val="0"/>
                      <w:i w:val="0"/>
                      <w:iCs w:val="0"/>
                      <w:color w:val="auto"/>
                      <w:spacing w:val="0"/>
                      <w:sz w:val="21"/>
                      <w:szCs w:val="21"/>
                      <w:highlight w:val="none"/>
                      <w:u w:val="none"/>
                      <w:lang w:val="en-US" w:eastAsia="zh-CN"/>
                    </w:rPr>
                    <w:t>实现不同物料的专配专搅</w:t>
                  </w:r>
                </w:p>
              </w:tc>
            </w:tr>
            <w:tr w14:paraId="70EF3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079932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3</w:t>
                  </w:r>
                </w:p>
              </w:tc>
              <w:tc>
                <w:tcPr>
                  <w:tcW w:w="587" w:type="dxa"/>
                  <w:vMerge w:val="continue"/>
                  <w:tcBorders>
                    <w:tl2br w:val="nil"/>
                    <w:tr2bl w:val="nil"/>
                  </w:tcBorders>
                  <w:shd w:val="clear" w:color="auto" w:fill="auto"/>
                  <w:vAlign w:val="center"/>
                </w:tcPr>
                <w:p w14:paraId="5C89B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4592768C">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50L</w:t>
                  </w:r>
                  <w:r>
                    <w:rPr>
                      <w:rFonts w:hint="default" w:ascii="Times New Roman" w:hAnsi="Times New Roman" w:eastAsia="宋体"/>
                      <w:b w:val="0"/>
                      <w:bCs w:val="0"/>
                      <w:color w:val="auto"/>
                      <w:spacing w:val="0"/>
                      <w:sz w:val="21"/>
                      <w:szCs w:val="21"/>
                      <w:highlight w:val="none"/>
                    </w:rPr>
                    <w:t>拉缸</w:t>
                  </w:r>
                </w:p>
              </w:tc>
              <w:tc>
                <w:tcPr>
                  <w:tcW w:w="958" w:type="dxa"/>
                  <w:tcBorders>
                    <w:tl2br w:val="nil"/>
                    <w:tr2bl w:val="nil"/>
                  </w:tcBorders>
                  <w:shd w:val="clear" w:color="auto" w:fill="auto"/>
                  <w:vAlign w:val="center"/>
                </w:tcPr>
                <w:p w14:paraId="704857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position w:val="1"/>
                      <w:sz w:val="21"/>
                      <w:szCs w:val="21"/>
                      <w:highlight w:val="none"/>
                    </w:rPr>
                    <w:t>/</w:t>
                  </w:r>
                </w:p>
              </w:tc>
              <w:tc>
                <w:tcPr>
                  <w:tcW w:w="797" w:type="dxa"/>
                  <w:tcBorders>
                    <w:tl2br w:val="nil"/>
                    <w:tr2bl w:val="nil"/>
                  </w:tcBorders>
                  <w:shd w:val="clear" w:color="auto" w:fill="auto"/>
                  <w:vAlign w:val="center"/>
                </w:tcPr>
                <w:p w14:paraId="257CE4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1</w:t>
                  </w:r>
                </w:p>
              </w:tc>
              <w:tc>
                <w:tcPr>
                  <w:tcW w:w="765" w:type="dxa"/>
                  <w:tcBorders>
                    <w:tl2br w:val="nil"/>
                    <w:tr2bl w:val="nil"/>
                  </w:tcBorders>
                  <w:shd w:val="clear" w:color="auto" w:fill="auto"/>
                  <w:vAlign w:val="center"/>
                </w:tcPr>
                <w:p w14:paraId="68A59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1</w:t>
                  </w:r>
                </w:p>
              </w:tc>
              <w:tc>
                <w:tcPr>
                  <w:tcW w:w="840" w:type="dxa"/>
                  <w:tcBorders>
                    <w:tl2br w:val="nil"/>
                    <w:tr2bl w:val="nil"/>
                  </w:tcBorders>
                  <w:shd w:val="clear" w:color="auto" w:fill="auto"/>
                  <w:vAlign w:val="center"/>
                </w:tcPr>
                <w:p w14:paraId="0ADCDF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vMerge w:val="restart"/>
                  <w:tcBorders>
                    <w:top w:val="single" w:color="auto" w:sz="4" w:space="0"/>
                    <w:tl2br w:val="nil"/>
                    <w:tr2bl w:val="nil"/>
                  </w:tcBorders>
                  <w:shd w:val="clear" w:color="auto" w:fill="auto"/>
                  <w:vAlign w:val="center"/>
                </w:tcPr>
                <w:p w14:paraId="128D8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依托现有</w:t>
                  </w:r>
                </w:p>
              </w:tc>
            </w:tr>
            <w:tr w14:paraId="11A243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8E97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4</w:t>
                  </w:r>
                </w:p>
              </w:tc>
              <w:tc>
                <w:tcPr>
                  <w:tcW w:w="587" w:type="dxa"/>
                  <w:vMerge w:val="continue"/>
                  <w:tcBorders>
                    <w:tl2br w:val="nil"/>
                    <w:tr2bl w:val="nil"/>
                  </w:tcBorders>
                  <w:shd w:val="clear" w:color="auto" w:fill="auto"/>
                  <w:vAlign w:val="center"/>
                </w:tcPr>
                <w:p w14:paraId="20FC3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75B206F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570L</w:t>
                  </w:r>
                  <w:r>
                    <w:rPr>
                      <w:rFonts w:hint="default" w:ascii="Times New Roman" w:hAnsi="Times New Roman" w:eastAsia="宋体"/>
                      <w:b w:val="0"/>
                      <w:bCs w:val="0"/>
                      <w:color w:val="auto"/>
                      <w:spacing w:val="0"/>
                      <w:sz w:val="21"/>
                      <w:szCs w:val="21"/>
                      <w:highlight w:val="none"/>
                    </w:rPr>
                    <w:t>拉缸</w:t>
                  </w:r>
                </w:p>
              </w:tc>
              <w:tc>
                <w:tcPr>
                  <w:tcW w:w="958" w:type="dxa"/>
                  <w:tcBorders>
                    <w:tl2br w:val="nil"/>
                    <w:tr2bl w:val="nil"/>
                  </w:tcBorders>
                  <w:shd w:val="clear" w:color="auto" w:fill="auto"/>
                  <w:vAlign w:val="center"/>
                </w:tcPr>
                <w:p w14:paraId="2B927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position w:val="1"/>
                      <w:sz w:val="21"/>
                      <w:szCs w:val="21"/>
                      <w:highlight w:val="none"/>
                    </w:rPr>
                    <w:t>/</w:t>
                  </w:r>
                </w:p>
              </w:tc>
              <w:tc>
                <w:tcPr>
                  <w:tcW w:w="797" w:type="dxa"/>
                  <w:tcBorders>
                    <w:tl2br w:val="nil"/>
                    <w:tr2bl w:val="nil"/>
                  </w:tcBorders>
                  <w:shd w:val="clear" w:color="auto" w:fill="auto"/>
                  <w:vAlign w:val="center"/>
                </w:tcPr>
                <w:p w14:paraId="41268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1</w:t>
                  </w:r>
                </w:p>
              </w:tc>
              <w:tc>
                <w:tcPr>
                  <w:tcW w:w="765" w:type="dxa"/>
                  <w:tcBorders>
                    <w:tl2br w:val="nil"/>
                    <w:tr2bl w:val="nil"/>
                  </w:tcBorders>
                  <w:shd w:val="clear" w:color="auto" w:fill="auto"/>
                  <w:vAlign w:val="center"/>
                </w:tcPr>
                <w:p w14:paraId="19C8F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1</w:t>
                  </w:r>
                </w:p>
              </w:tc>
              <w:tc>
                <w:tcPr>
                  <w:tcW w:w="840" w:type="dxa"/>
                  <w:tcBorders>
                    <w:tl2br w:val="nil"/>
                    <w:tr2bl w:val="nil"/>
                  </w:tcBorders>
                  <w:shd w:val="clear" w:color="auto" w:fill="auto"/>
                  <w:vAlign w:val="center"/>
                </w:tcPr>
                <w:p w14:paraId="13C2A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5AB42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014271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DC84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5</w:t>
                  </w:r>
                </w:p>
              </w:tc>
              <w:tc>
                <w:tcPr>
                  <w:tcW w:w="587" w:type="dxa"/>
                  <w:vMerge w:val="continue"/>
                  <w:tcBorders>
                    <w:tl2br w:val="nil"/>
                    <w:tr2bl w:val="nil"/>
                  </w:tcBorders>
                  <w:shd w:val="clear" w:color="auto" w:fill="auto"/>
                  <w:vAlign w:val="center"/>
                </w:tcPr>
                <w:p w14:paraId="5932B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0FCFC631">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电动夹抱倒料机</w:t>
                  </w:r>
                </w:p>
              </w:tc>
              <w:tc>
                <w:tcPr>
                  <w:tcW w:w="958" w:type="dxa"/>
                  <w:tcBorders>
                    <w:tl2br w:val="nil"/>
                    <w:tr2bl w:val="nil"/>
                  </w:tcBorders>
                  <w:shd w:val="clear" w:color="auto" w:fill="auto"/>
                  <w:vAlign w:val="center"/>
                </w:tcPr>
                <w:p w14:paraId="6FCE8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position w:val="1"/>
                      <w:sz w:val="21"/>
                      <w:szCs w:val="21"/>
                      <w:highlight w:val="none"/>
                    </w:rPr>
                    <w:t>/</w:t>
                  </w:r>
                </w:p>
              </w:tc>
              <w:tc>
                <w:tcPr>
                  <w:tcW w:w="797" w:type="dxa"/>
                  <w:tcBorders>
                    <w:tl2br w:val="nil"/>
                    <w:tr2bl w:val="nil"/>
                  </w:tcBorders>
                  <w:shd w:val="clear" w:color="auto" w:fill="auto"/>
                  <w:vAlign w:val="center"/>
                </w:tcPr>
                <w:p w14:paraId="0CC4A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3</w:t>
                  </w:r>
                </w:p>
              </w:tc>
              <w:tc>
                <w:tcPr>
                  <w:tcW w:w="765" w:type="dxa"/>
                  <w:tcBorders>
                    <w:tl2br w:val="nil"/>
                    <w:tr2bl w:val="nil"/>
                  </w:tcBorders>
                  <w:shd w:val="clear" w:color="auto" w:fill="auto"/>
                  <w:vAlign w:val="center"/>
                </w:tcPr>
                <w:p w14:paraId="62355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3</w:t>
                  </w:r>
                </w:p>
              </w:tc>
              <w:tc>
                <w:tcPr>
                  <w:tcW w:w="840" w:type="dxa"/>
                  <w:tcBorders>
                    <w:tl2br w:val="nil"/>
                    <w:tr2bl w:val="nil"/>
                  </w:tcBorders>
                  <w:shd w:val="clear" w:color="auto" w:fill="auto"/>
                  <w:vAlign w:val="center"/>
                </w:tcPr>
                <w:p w14:paraId="62C5B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302EB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1AD178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473E4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6</w:t>
                  </w:r>
                </w:p>
              </w:tc>
              <w:tc>
                <w:tcPr>
                  <w:tcW w:w="587" w:type="dxa"/>
                  <w:vMerge w:val="continue"/>
                  <w:tcBorders>
                    <w:tl2br w:val="nil"/>
                    <w:tr2bl w:val="nil"/>
                  </w:tcBorders>
                  <w:shd w:val="clear" w:color="auto" w:fill="auto"/>
                  <w:vAlign w:val="center"/>
                </w:tcPr>
                <w:p w14:paraId="6BE75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6F1125B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灌装机</w:t>
                  </w:r>
                </w:p>
              </w:tc>
              <w:tc>
                <w:tcPr>
                  <w:tcW w:w="958" w:type="dxa"/>
                  <w:tcBorders>
                    <w:tl2br w:val="nil"/>
                    <w:tr2bl w:val="nil"/>
                  </w:tcBorders>
                  <w:shd w:val="clear" w:color="auto" w:fill="auto"/>
                  <w:vAlign w:val="center"/>
                </w:tcPr>
                <w:p w14:paraId="0A0EF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position w:val="1"/>
                      <w:sz w:val="21"/>
                      <w:szCs w:val="21"/>
                      <w:highlight w:val="none"/>
                    </w:rPr>
                    <w:t>/</w:t>
                  </w:r>
                </w:p>
              </w:tc>
              <w:tc>
                <w:tcPr>
                  <w:tcW w:w="797" w:type="dxa"/>
                  <w:tcBorders>
                    <w:tl2br w:val="nil"/>
                    <w:tr2bl w:val="nil"/>
                  </w:tcBorders>
                  <w:shd w:val="clear" w:color="auto" w:fill="auto"/>
                  <w:vAlign w:val="center"/>
                </w:tcPr>
                <w:p w14:paraId="74A0FC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3</w:t>
                  </w:r>
                </w:p>
              </w:tc>
              <w:tc>
                <w:tcPr>
                  <w:tcW w:w="765" w:type="dxa"/>
                  <w:tcBorders>
                    <w:tl2br w:val="nil"/>
                    <w:tr2bl w:val="nil"/>
                  </w:tcBorders>
                  <w:shd w:val="clear" w:color="auto" w:fill="auto"/>
                  <w:vAlign w:val="center"/>
                </w:tcPr>
                <w:p w14:paraId="4FA60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3</w:t>
                  </w:r>
                </w:p>
              </w:tc>
              <w:tc>
                <w:tcPr>
                  <w:tcW w:w="840" w:type="dxa"/>
                  <w:tcBorders>
                    <w:tl2br w:val="nil"/>
                    <w:tr2bl w:val="nil"/>
                  </w:tcBorders>
                  <w:shd w:val="clear" w:color="auto" w:fill="auto"/>
                  <w:vAlign w:val="center"/>
                </w:tcPr>
                <w:p w14:paraId="3D0BF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0A4DB3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629870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6E084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7</w:t>
                  </w:r>
                </w:p>
              </w:tc>
              <w:tc>
                <w:tcPr>
                  <w:tcW w:w="587" w:type="dxa"/>
                  <w:vMerge w:val="continue"/>
                  <w:tcBorders>
                    <w:bottom w:val="single" w:color="auto" w:sz="4" w:space="0"/>
                    <w:tl2br w:val="nil"/>
                    <w:tr2bl w:val="nil"/>
                  </w:tcBorders>
                  <w:shd w:val="clear" w:color="auto" w:fill="auto"/>
                  <w:vAlign w:val="center"/>
                </w:tcPr>
                <w:p w14:paraId="3E7F6C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5F15ADF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b w:val="0"/>
                      <w:bCs w:val="0"/>
                      <w:color w:val="auto"/>
                      <w:spacing w:val="0"/>
                      <w:sz w:val="21"/>
                      <w:szCs w:val="21"/>
                      <w:highlight w:val="none"/>
                    </w:rPr>
                    <w:t>半自动升高装卸车</w:t>
                  </w:r>
                </w:p>
              </w:tc>
              <w:tc>
                <w:tcPr>
                  <w:tcW w:w="958" w:type="dxa"/>
                  <w:tcBorders>
                    <w:tl2br w:val="nil"/>
                    <w:tr2bl w:val="nil"/>
                  </w:tcBorders>
                  <w:shd w:val="clear" w:color="auto" w:fill="auto"/>
                  <w:vAlign w:val="center"/>
                </w:tcPr>
                <w:p w14:paraId="4584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position w:val="1"/>
                      <w:sz w:val="21"/>
                      <w:szCs w:val="21"/>
                      <w:highlight w:val="none"/>
                    </w:rPr>
                    <w:t>/</w:t>
                  </w:r>
                </w:p>
              </w:tc>
              <w:tc>
                <w:tcPr>
                  <w:tcW w:w="797" w:type="dxa"/>
                  <w:tcBorders>
                    <w:tl2br w:val="nil"/>
                    <w:tr2bl w:val="nil"/>
                  </w:tcBorders>
                  <w:shd w:val="clear" w:color="auto" w:fill="auto"/>
                  <w:vAlign w:val="center"/>
                </w:tcPr>
                <w:p w14:paraId="61D9E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3</w:t>
                  </w:r>
                </w:p>
              </w:tc>
              <w:tc>
                <w:tcPr>
                  <w:tcW w:w="765" w:type="dxa"/>
                  <w:tcBorders>
                    <w:tl2br w:val="nil"/>
                    <w:tr2bl w:val="nil"/>
                  </w:tcBorders>
                  <w:shd w:val="clear" w:color="auto" w:fill="auto"/>
                  <w:vAlign w:val="center"/>
                </w:tcPr>
                <w:p w14:paraId="55090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3</w:t>
                  </w:r>
                </w:p>
              </w:tc>
              <w:tc>
                <w:tcPr>
                  <w:tcW w:w="840" w:type="dxa"/>
                  <w:tcBorders>
                    <w:tl2br w:val="nil"/>
                    <w:tr2bl w:val="nil"/>
                  </w:tcBorders>
                  <w:shd w:val="clear" w:color="auto" w:fill="auto"/>
                  <w:vAlign w:val="center"/>
                </w:tcPr>
                <w:p w14:paraId="2C4C6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0</w:t>
                  </w:r>
                </w:p>
              </w:tc>
              <w:tc>
                <w:tcPr>
                  <w:tcW w:w="2080" w:type="dxa"/>
                  <w:vMerge w:val="continue"/>
                  <w:tcBorders>
                    <w:tl2br w:val="nil"/>
                    <w:tr2bl w:val="nil"/>
                  </w:tcBorders>
                  <w:shd w:val="clear" w:color="auto" w:fill="auto"/>
                  <w:vAlign w:val="center"/>
                </w:tcPr>
                <w:p w14:paraId="39443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pPr>
                </w:p>
              </w:tc>
            </w:tr>
            <w:tr w14:paraId="5C9E4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07DC7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8</w:t>
                  </w:r>
                </w:p>
              </w:tc>
              <w:tc>
                <w:tcPr>
                  <w:tcW w:w="587" w:type="dxa"/>
                  <w:tcBorders>
                    <w:top w:val="single" w:color="auto" w:sz="4" w:space="0"/>
                    <w:bottom w:val="single" w:color="auto" w:sz="4" w:space="0"/>
                    <w:tl2br w:val="nil"/>
                    <w:tr2bl w:val="nil"/>
                  </w:tcBorders>
                  <w:shd w:val="clear" w:color="auto" w:fill="auto"/>
                  <w:vAlign w:val="center"/>
                </w:tcPr>
                <w:p w14:paraId="37EB4AD9">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防龋齿功能涂层产线</w:t>
                  </w:r>
                </w:p>
              </w:tc>
              <w:tc>
                <w:tcPr>
                  <w:tcW w:w="1673" w:type="dxa"/>
                  <w:tcBorders>
                    <w:tl2br w:val="nil"/>
                    <w:tr2bl w:val="nil"/>
                  </w:tcBorders>
                  <w:shd w:val="clear" w:color="auto" w:fill="auto"/>
                  <w:vAlign w:val="center"/>
                </w:tcPr>
                <w:p w14:paraId="440FA5E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b w:val="0"/>
                      <w:bCs w:val="0"/>
                      <w:color w:val="auto"/>
                      <w:spacing w:val="0"/>
                      <w:sz w:val="21"/>
                      <w:szCs w:val="21"/>
                      <w:highlight w:val="none"/>
                    </w:rPr>
                    <w:t>矫治器自动喷涂机</w:t>
                  </w:r>
                </w:p>
              </w:tc>
              <w:tc>
                <w:tcPr>
                  <w:tcW w:w="958" w:type="dxa"/>
                  <w:tcBorders>
                    <w:tl2br w:val="nil"/>
                    <w:tr2bl w:val="nil"/>
                  </w:tcBorders>
                  <w:shd w:val="clear" w:color="auto" w:fill="auto"/>
                  <w:vAlign w:val="center"/>
                </w:tcPr>
                <w:p w14:paraId="2FFA89E6">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b w:val="0"/>
                      <w:bCs w:val="0"/>
                      <w:color w:val="auto"/>
                      <w:spacing w:val="0"/>
                      <w:sz w:val="21"/>
                      <w:szCs w:val="21"/>
                      <w:highlight w:val="none"/>
                    </w:rPr>
                    <w:t>自主研发</w:t>
                  </w:r>
                </w:p>
              </w:tc>
              <w:tc>
                <w:tcPr>
                  <w:tcW w:w="797" w:type="dxa"/>
                  <w:tcBorders>
                    <w:tl2br w:val="nil"/>
                    <w:tr2bl w:val="nil"/>
                  </w:tcBorders>
                  <w:shd w:val="clear" w:color="auto" w:fill="auto"/>
                  <w:vAlign w:val="center"/>
                </w:tcPr>
                <w:p w14:paraId="31B1DD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3</w:t>
                  </w:r>
                </w:p>
              </w:tc>
              <w:tc>
                <w:tcPr>
                  <w:tcW w:w="765" w:type="dxa"/>
                  <w:tcBorders>
                    <w:tl2br w:val="nil"/>
                    <w:tr2bl w:val="nil"/>
                  </w:tcBorders>
                  <w:shd w:val="clear" w:color="auto" w:fill="auto"/>
                  <w:vAlign w:val="center"/>
                </w:tcPr>
                <w:p w14:paraId="54235C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3</w:t>
                  </w:r>
                </w:p>
              </w:tc>
              <w:tc>
                <w:tcPr>
                  <w:tcW w:w="840" w:type="dxa"/>
                  <w:tcBorders>
                    <w:tl2br w:val="nil"/>
                    <w:tr2bl w:val="nil"/>
                  </w:tcBorders>
                  <w:shd w:val="clear" w:color="auto" w:fill="auto"/>
                  <w:vAlign w:val="center"/>
                </w:tcPr>
                <w:p w14:paraId="3DE75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0</w:t>
                  </w:r>
                </w:p>
              </w:tc>
              <w:tc>
                <w:tcPr>
                  <w:tcW w:w="2080" w:type="dxa"/>
                  <w:vMerge w:val="continue"/>
                  <w:tcBorders>
                    <w:tl2br w:val="nil"/>
                    <w:tr2bl w:val="nil"/>
                  </w:tcBorders>
                  <w:shd w:val="clear" w:color="auto" w:fill="auto"/>
                  <w:vAlign w:val="center"/>
                </w:tcPr>
                <w:p w14:paraId="6106E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pPr>
                </w:p>
              </w:tc>
            </w:tr>
            <w:tr w14:paraId="5B7BCC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2A93E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9</w:t>
                  </w:r>
                </w:p>
              </w:tc>
              <w:tc>
                <w:tcPr>
                  <w:tcW w:w="587" w:type="dxa"/>
                  <w:vMerge w:val="restart"/>
                  <w:tcBorders>
                    <w:top w:val="single" w:color="auto" w:sz="4" w:space="0"/>
                    <w:tl2br w:val="nil"/>
                    <w:tr2bl w:val="nil"/>
                  </w:tcBorders>
                  <w:shd w:val="clear" w:color="auto" w:fill="auto"/>
                  <w:vAlign w:val="center"/>
                </w:tcPr>
                <w:p w14:paraId="2EC4CDB4">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注塑成型线</w:t>
                  </w:r>
                </w:p>
              </w:tc>
              <w:tc>
                <w:tcPr>
                  <w:tcW w:w="1673" w:type="dxa"/>
                  <w:tcBorders>
                    <w:tl2br w:val="nil"/>
                    <w:tr2bl w:val="nil"/>
                  </w:tcBorders>
                  <w:shd w:val="clear" w:color="auto" w:fill="auto"/>
                  <w:vAlign w:val="center"/>
                </w:tcPr>
                <w:p w14:paraId="79C7F1E9">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注塑机</w:t>
                  </w:r>
                </w:p>
              </w:tc>
              <w:tc>
                <w:tcPr>
                  <w:tcW w:w="958" w:type="dxa"/>
                  <w:tcBorders>
                    <w:tl2br w:val="nil"/>
                    <w:tr2bl w:val="nil"/>
                  </w:tcBorders>
                  <w:shd w:val="clear" w:color="auto" w:fill="auto"/>
                  <w:vAlign w:val="center"/>
                </w:tcPr>
                <w:p w14:paraId="2CD081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position w:val="1"/>
                      <w:sz w:val="21"/>
                      <w:szCs w:val="21"/>
                      <w:highlight w:val="none"/>
                    </w:rPr>
                    <w:t>/</w:t>
                  </w:r>
                </w:p>
              </w:tc>
              <w:tc>
                <w:tcPr>
                  <w:tcW w:w="797" w:type="dxa"/>
                  <w:tcBorders>
                    <w:tl2br w:val="nil"/>
                    <w:tr2bl w:val="nil"/>
                  </w:tcBorders>
                  <w:shd w:val="clear" w:color="auto" w:fill="auto"/>
                  <w:vAlign w:val="center"/>
                </w:tcPr>
                <w:p w14:paraId="38747B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2</w:t>
                  </w:r>
                </w:p>
              </w:tc>
              <w:tc>
                <w:tcPr>
                  <w:tcW w:w="765" w:type="dxa"/>
                  <w:tcBorders>
                    <w:tl2br w:val="nil"/>
                    <w:tr2bl w:val="nil"/>
                  </w:tcBorders>
                  <w:shd w:val="clear" w:color="auto" w:fill="auto"/>
                  <w:vAlign w:val="center"/>
                </w:tcPr>
                <w:p w14:paraId="70B28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2</w:t>
                  </w:r>
                </w:p>
              </w:tc>
              <w:tc>
                <w:tcPr>
                  <w:tcW w:w="840" w:type="dxa"/>
                  <w:tcBorders>
                    <w:tl2br w:val="nil"/>
                    <w:tr2bl w:val="nil"/>
                  </w:tcBorders>
                  <w:shd w:val="clear" w:color="auto" w:fill="auto"/>
                  <w:vAlign w:val="center"/>
                </w:tcPr>
                <w:p w14:paraId="6D317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543E85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771B57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0B7E5D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10</w:t>
                  </w:r>
                </w:p>
              </w:tc>
              <w:tc>
                <w:tcPr>
                  <w:tcW w:w="587" w:type="dxa"/>
                  <w:vMerge w:val="continue"/>
                  <w:tcBorders>
                    <w:tl2br w:val="nil"/>
                    <w:tr2bl w:val="nil"/>
                  </w:tcBorders>
                  <w:shd w:val="clear" w:color="auto" w:fill="auto"/>
                  <w:vAlign w:val="center"/>
                </w:tcPr>
                <w:p w14:paraId="6F55FA8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p>
              </w:tc>
              <w:tc>
                <w:tcPr>
                  <w:tcW w:w="1673" w:type="dxa"/>
                  <w:tcBorders>
                    <w:tl2br w:val="nil"/>
                    <w:tr2bl w:val="nil"/>
                  </w:tcBorders>
                  <w:shd w:val="clear" w:color="auto" w:fill="auto"/>
                  <w:vAlign w:val="center"/>
                </w:tcPr>
                <w:p w14:paraId="5E6BEA3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b w:val="0"/>
                      <w:bCs w:val="0"/>
                      <w:color w:val="auto"/>
                      <w:spacing w:val="0"/>
                      <w:sz w:val="21"/>
                      <w:szCs w:val="21"/>
                      <w:highlight w:val="none"/>
                    </w:rPr>
                  </w:pPr>
                  <w:r>
                    <w:rPr>
                      <w:rFonts w:hint="eastAsia" w:ascii="Times New Roman" w:hAnsi="Times New Roman" w:eastAsia="宋体"/>
                      <w:b w:val="0"/>
                      <w:bCs w:val="0"/>
                      <w:color w:val="auto"/>
                      <w:spacing w:val="0"/>
                      <w:sz w:val="21"/>
                      <w:szCs w:val="21"/>
                      <w:highlight w:val="none"/>
                    </w:rPr>
                    <w:t>天使扣在线视觉监测系统</w:t>
                  </w:r>
                </w:p>
              </w:tc>
              <w:tc>
                <w:tcPr>
                  <w:tcW w:w="958" w:type="dxa"/>
                  <w:tcBorders>
                    <w:tl2br w:val="nil"/>
                    <w:tr2bl w:val="nil"/>
                  </w:tcBorders>
                  <w:shd w:val="clear" w:color="auto" w:fill="auto"/>
                  <w:vAlign w:val="center"/>
                </w:tcPr>
                <w:p w14:paraId="34977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eastAsia" w:ascii="Times New Roman" w:hAnsi="Times New Roman" w:eastAsia="宋体" w:cs="Times New Roman"/>
                      <w:b w:val="0"/>
                      <w:bCs w:val="0"/>
                      <w:color w:val="auto"/>
                      <w:spacing w:val="0"/>
                      <w:position w:val="1"/>
                      <w:sz w:val="21"/>
                      <w:szCs w:val="21"/>
                      <w:highlight w:val="none"/>
                      <w:lang w:val="en-US" w:eastAsia="zh-CN"/>
                    </w:rPr>
                  </w:pPr>
                  <w:r>
                    <w:rPr>
                      <w:rFonts w:hint="eastAsia" w:ascii="Times New Roman" w:hAnsi="Times New Roman" w:eastAsia="宋体" w:cs="Times New Roman"/>
                      <w:b w:val="0"/>
                      <w:bCs w:val="0"/>
                      <w:color w:val="auto"/>
                      <w:spacing w:val="0"/>
                      <w:position w:val="1"/>
                      <w:sz w:val="21"/>
                      <w:szCs w:val="21"/>
                      <w:highlight w:val="none"/>
                      <w:lang w:val="en-US" w:eastAsia="zh-CN"/>
                    </w:rPr>
                    <w:t>/</w:t>
                  </w:r>
                </w:p>
              </w:tc>
              <w:tc>
                <w:tcPr>
                  <w:tcW w:w="797" w:type="dxa"/>
                  <w:tcBorders>
                    <w:tl2br w:val="nil"/>
                    <w:tr2bl w:val="nil"/>
                  </w:tcBorders>
                  <w:shd w:val="clear" w:color="auto" w:fill="auto"/>
                  <w:vAlign w:val="center"/>
                </w:tcPr>
                <w:p w14:paraId="7E00B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150</w:t>
                  </w:r>
                </w:p>
              </w:tc>
              <w:tc>
                <w:tcPr>
                  <w:tcW w:w="765" w:type="dxa"/>
                  <w:tcBorders>
                    <w:tl2br w:val="nil"/>
                    <w:tr2bl w:val="nil"/>
                  </w:tcBorders>
                  <w:shd w:val="clear" w:color="auto" w:fill="auto"/>
                  <w:vAlign w:val="center"/>
                </w:tcPr>
                <w:p w14:paraId="7544A0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150</w:t>
                  </w:r>
                </w:p>
              </w:tc>
              <w:tc>
                <w:tcPr>
                  <w:tcW w:w="840" w:type="dxa"/>
                  <w:tcBorders>
                    <w:tl2br w:val="nil"/>
                    <w:tr2bl w:val="nil"/>
                  </w:tcBorders>
                  <w:shd w:val="clear" w:color="auto" w:fill="auto"/>
                  <w:vAlign w:val="center"/>
                </w:tcPr>
                <w:p w14:paraId="4F1668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5C718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5FCA05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08956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11</w:t>
                  </w:r>
                </w:p>
              </w:tc>
              <w:tc>
                <w:tcPr>
                  <w:tcW w:w="587" w:type="dxa"/>
                  <w:vMerge w:val="continue"/>
                  <w:tcBorders>
                    <w:bottom w:val="single" w:color="auto" w:sz="4" w:space="0"/>
                    <w:tl2br w:val="nil"/>
                    <w:tr2bl w:val="nil"/>
                  </w:tcBorders>
                  <w:shd w:val="clear" w:color="auto" w:fill="auto"/>
                  <w:vAlign w:val="center"/>
                </w:tcPr>
                <w:p w14:paraId="7B5FEDB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p>
              </w:tc>
              <w:tc>
                <w:tcPr>
                  <w:tcW w:w="1673" w:type="dxa"/>
                  <w:tcBorders>
                    <w:tl2br w:val="nil"/>
                    <w:tr2bl w:val="nil"/>
                  </w:tcBorders>
                  <w:shd w:val="clear" w:color="auto" w:fill="auto"/>
                  <w:vAlign w:val="center"/>
                </w:tcPr>
                <w:p w14:paraId="62DDF3DC">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b w:val="0"/>
                      <w:bCs w:val="0"/>
                      <w:color w:val="auto"/>
                      <w:spacing w:val="0"/>
                      <w:sz w:val="21"/>
                      <w:szCs w:val="21"/>
                      <w:highlight w:val="none"/>
                    </w:rPr>
                  </w:pPr>
                  <w:r>
                    <w:rPr>
                      <w:rFonts w:hint="eastAsia" w:ascii="Times New Roman" w:hAnsi="Times New Roman" w:eastAsia="宋体"/>
                      <w:b w:val="0"/>
                      <w:bCs w:val="0"/>
                      <w:color w:val="auto"/>
                      <w:spacing w:val="0"/>
                      <w:sz w:val="21"/>
                      <w:szCs w:val="21"/>
                      <w:highlight w:val="none"/>
                    </w:rPr>
                    <w:t>依从性自动化装备</w:t>
                  </w:r>
                </w:p>
              </w:tc>
              <w:tc>
                <w:tcPr>
                  <w:tcW w:w="958" w:type="dxa"/>
                  <w:tcBorders>
                    <w:tl2br w:val="nil"/>
                    <w:tr2bl w:val="nil"/>
                  </w:tcBorders>
                  <w:shd w:val="clear" w:color="auto" w:fill="auto"/>
                  <w:vAlign w:val="center"/>
                </w:tcPr>
                <w:p w14:paraId="55A4D8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eastAsia" w:ascii="Times New Roman" w:hAnsi="Times New Roman" w:eastAsia="宋体" w:cs="Times New Roman"/>
                      <w:b w:val="0"/>
                      <w:bCs w:val="0"/>
                      <w:color w:val="auto"/>
                      <w:spacing w:val="0"/>
                      <w:position w:val="1"/>
                      <w:sz w:val="21"/>
                      <w:szCs w:val="21"/>
                      <w:highlight w:val="none"/>
                      <w:lang w:val="en-US" w:eastAsia="zh-CN"/>
                    </w:rPr>
                  </w:pPr>
                  <w:r>
                    <w:rPr>
                      <w:rFonts w:hint="eastAsia" w:ascii="Times New Roman" w:hAnsi="Times New Roman" w:eastAsia="宋体" w:cs="Times New Roman"/>
                      <w:b w:val="0"/>
                      <w:bCs w:val="0"/>
                      <w:color w:val="auto"/>
                      <w:spacing w:val="0"/>
                      <w:position w:val="1"/>
                      <w:sz w:val="21"/>
                      <w:szCs w:val="21"/>
                      <w:highlight w:val="none"/>
                      <w:lang w:val="en-US" w:eastAsia="zh-CN"/>
                    </w:rPr>
                    <w:t>/</w:t>
                  </w:r>
                </w:p>
              </w:tc>
              <w:tc>
                <w:tcPr>
                  <w:tcW w:w="797" w:type="dxa"/>
                  <w:tcBorders>
                    <w:tl2br w:val="nil"/>
                    <w:tr2bl w:val="nil"/>
                  </w:tcBorders>
                  <w:shd w:val="clear" w:color="auto" w:fill="auto"/>
                  <w:vAlign w:val="center"/>
                </w:tcPr>
                <w:p w14:paraId="561D7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48</w:t>
                  </w:r>
                </w:p>
              </w:tc>
              <w:tc>
                <w:tcPr>
                  <w:tcW w:w="765" w:type="dxa"/>
                  <w:tcBorders>
                    <w:tl2br w:val="nil"/>
                    <w:tr2bl w:val="nil"/>
                  </w:tcBorders>
                  <w:shd w:val="clear" w:color="auto" w:fill="auto"/>
                  <w:vAlign w:val="center"/>
                </w:tcPr>
                <w:p w14:paraId="2C8DD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48</w:t>
                  </w:r>
                </w:p>
              </w:tc>
              <w:tc>
                <w:tcPr>
                  <w:tcW w:w="840" w:type="dxa"/>
                  <w:tcBorders>
                    <w:tl2br w:val="nil"/>
                    <w:tr2bl w:val="nil"/>
                  </w:tcBorders>
                  <w:shd w:val="clear" w:color="auto" w:fill="auto"/>
                  <w:vAlign w:val="center"/>
                </w:tcPr>
                <w:p w14:paraId="4BADA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5137B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112299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377BD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i w:val="0"/>
                      <w:iCs w:val="0"/>
                      <w:color w:val="auto"/>
                      <w:spacing w:val="0"/>
                      <w:kern w:val="0"/>
                      <w:sz w:val="21"/>
                      <w:szCs w:val="21"/>
                      <w:highlight w:val="none"/>
                      <w:u w:val="none"/>
                      <w:lang w:val="en-US" w:eastAsia="zh-CN" w:bidi="ar"/>
                    </w:rPr>
                    <w:t>12</w:t>
                  </w:r>
                </w:p>
              </w:tc>
              <w:tc>
                <w:tcPr>
                  <w:tcW w:w="587" w:type="dxa"/>
                  <w:vMerge w:val="restart"/>
                  <w:tcBorders>
                    <w:top w:val="single" w:color="auto" w:sz="4" w:space="0"/>
                    <w:tl2br w:val="nil"/>
                    <w:tr2bl w:val="nil"/>
                  </w:tcBorders>
                  <w:shd w:val="clear" w:color="auto" w:fill="auto"/>
                  <w:vAlign w:val="center"/>
                </w:tcPr>
                <w:p w14:paraId="1EDC48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sz w:val="21"/>
                      <w:szCs w:val="21"/>
                      <w:highlight w:val="none"/>
                      <w:u w:val="none"/>
                    </w:rPr>
                    <w:t>隐形矫治器生产线</w:t>
                  </w:r>
                </w:p>
              </w:tc>
              <w:tc>
                <w:tcPr>
                  <w:tcW w:w="1673" w:type="dxa"/>
                  <w:tcBorders>
                    <w:tl2br w:val="nil"/>
                    <w:tr2bl w:val="nil"/>
                  </w:tcBorders>
                  <w:shd w:val="clear" w:color="auto" w:fill="auto"/>
                  <w:vAlign w:val="center"/>
                </w:tcPr>
                <w:p w14:paraId="4123237E">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自行压膜机</w:t>
                  </w:r>
                </w:p>
              </w:tc>
              <w:tc>
                <w:tcPr>
                  <w:tcW w:w="958" w:type="dxa"/>
                  <w:tcBorders>
                    <w:tl2br w:val="nil"/>
                    <w:tr2bl w:val="nil"/>
                  </w:tcBorders>
                  <w:shd w:val="clear" w:color="auto" w:fill="auto"/>
                  <w:vAlign w:val="center"/>
                </w:tcPr>
                <w:p w14:paraId="11BEF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ZS-2440</w:t>
                  </w:r>
                </w:p>
              </w:tc>
              <w:tc>
                <w:tcPr>
                  <w:tcW w:w="797" w:type="dxa"/>
                  <w:tcBorders>
                    <w:tl2br w:val="nil"/>
                    <w:tr2bl w:val="nil"/>
                  </w:tcBorders>
                  <w:shd w:val="clear" w:color="auto" w:fill="auto"/>
                  <w:vAlign w:val="center"/>
                </w:tcPr>
                <w:p w14:paraId="10513B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84</w:t>
                  </w:r>
                </w:p>
              </w:tc>
              <w:tc>
                <w:tcPr>
                  <w:tcW w:w="765" w:type="dxa"/>
                  <w:tcBorders>
                    <w:tl2br w:val="nil"/>
                    <w:tr2bl w:val="nil"/>
                  </w:tcBorders>
                  <w:shd w:val="clear" w:color="auto" w:fill="auto"/>
                  <w:vAlign w:val="center"/>
                </w:tcPr>
                <w:p w14:paraId="56823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69</w:t>
                  </w:r>
                </w:p>
              </w:tc>
              <w:tc>
                <w:tcPr>
                  <w:tcW w:w="840" w:type="dxa"/>
                  <w:tcBorders>
                    <w:tl2br w:val="nil"/>
                    <w:tr2bl w:val="nil"/>
                  </w:tcBorders>
                  <w:shd w:val="clear" w:color="auto" w:fill="auto"/>
                  <w:vAlign w:val="center"/>
                </w:tcPr>
                <w:p w14:paraId="45EDC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-15</w:t>
                  </w:r>
                </w:p>
              </w:tc>
              <w:tc>
                <w:tcPr>
                  <w:tcW w:w="2080" w:type="dxa"/>
                  <w:vMerge w:val="restart"/>
                  <w:tcBorders>
                    <w:tl2br w:val="nil"/>
                    <w:tr2bl w:val="nil"/>
                  </w:tcBorders>
                  <w:shd w:val="clear" w:color="auto" w:fill="auto"/>
                  <w:vAlign w:val="center"/>
                </w:tcPr>
                <w:p w14:paraId="7D776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cstheme="majorEastAsia"/>
                      <w:b w:val="0"/>
                      <w:bCs w:val="0"/>
                      <w:color w:val="auto"/>
                      <w:kern w:val="2"/>
                      <w:sz w:val="21"/>
                      <w:szCs w:val="21"/>
                      <w:highlight w:val="none"/>
                      <w:lang w:val="en-US" w:eastAsia="zh-CN" w:bidi="ar-SA"/>
                    </w:rPr>
                    <w:t>将</w:t>
                  </w:r>
                  <w:r>
                    <w:rPr>
                      <w:rFonts w:hint="eastAsia" w:ascii="Times New Roman" w:hAnsi="Times New Roman" w:eastAsia="宋体" w:cstheme="majorEastAsia"/>
                      <w:b w:val="0"/>
                      <w:bCs w:val="0"/>
                      <w:color w:val="auto"/>
                      <w:kern w:val="2"/>
                      <w:sz w:val="21"/>
                      <w:szCs w:val="21"/>
                      <w:highlight w:val="none"/>
                      <w:lang w:val="en-US" w:eastAsia="zh-CN" w:bidi="ar-SA"/>
                    </w:rPr>
                    <w:t>15台自行压膜机升级为新型压膜装置，提升产品品质</w:t>
                  </w:r>
                </w:p>
              </w:tc>
            </w:tr>
            <w:tr w14:paraId="7FA1B7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7CC992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13</w:t>
                  </w:r>
                </w:p>
              </w:tc>
              <w:tc>
                <w:tcPr>
                  <w:tcW w:w="587" w:type="dxa"/>
                  <w:vMerge w:val="continue"/>
                  <w:tcBorders>
                    <w:tl2br w:val="nil"/>
                    <w:tr2bl w:val="nil"/>
                  </w:tcBorders>
                  <w:shd w:val="clear" w:color="auto" w:fill="auto"/>
                  <w:vAlign w:val="center"/>
                </w:tcPr>
                <w:p w14:paraId="43196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44B1FFF6">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b w:val="0"/>
                      <w:bCs w:val="0"/>
                      <w:color w:val="auto"/>
                      <w:spacing w:val="0"/>
                      <w:sz w:val="21"/>
                      <w:szCs w:val="21"/>
                      <w:highlight w:val="none"/>
                      <w:lang w:val="en-US" w:eastAsia="zh-CN"/>
                    </w:rPr>
                  </w:pPr>
                  <w:r>
                    <w:rPr>
                      <w:rFonts w:hint="eastAsia" w:ascii="Times New Roman" w:hAnsi="Times New Roman" w:eastAsia="宋体"/>
                      <w:b w:val="0"/>
                      <w:bCs w:val="0"/>
                      <w:color w:val="auto"/>
                      <w:spacing w:val="0"/>
                      <w:sz w:val="21"/>
                      <w:szCs w:val="21"/>
                      <w:highlight w:val="none"/>
                      <w:lang w:val="en-US" w:eastAsia="zh-CN"/>
                    </w:rPr>
                    <w:t>新型压膜装置</w:t>
                  </w:r>
                </w:p>
              </w:tc>
              <w:tc>
                <w:tcPr>
                  <w:tcW w:w="958" w:type="dxa"/>
                  <w:tcBorders>
                    <w:tl2br w:val="nil"/>
                    <w:tr2bl w:val="nil"/>
                  </w:tcBorders>
                  <w:shd w:val="clear" w:color="auto" w:fill="auto"/>
                  <w:vAlign w:val="center"/>
                </w:tcPr>
                <w:p w14:paraId="4ACA7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w:t>
                  </w:r>
                </w:p>
              </w:tc>
              <w:tc>
                <w:tcPr>
                  <w:tcW w:w="797" w:type="dxa"/>
                  <w:tcBorders>
                    <w:tl2br w:val="nil"/>
                    <w:tr2bl w:val="nil"/>
                  </w:tcBorders>
                  <w:shd w:val="clear" w:color="auto" w:fill="auto"/>
                  <w:vAlign w:val="center"/>
                </w:tcPr>
                <w:p w14:paraId="4D3BC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0</w:t>
                  </w:r>
                </w:p>
              </w:tc>
              <w:tc>
                <w:tcPr>
                  <w:tcW w:w="765" w:type="dxa"/>
                  <w:tcBorders>
                    <w:tl2br w:val="nil"/>
                    <w:tr2bl w:val="nil"/>
                  </w:tcBorders>
                  <w:shd w:val="clear" w:color="auto" w:fill="auto"/>
                  <w:vAlign w:val="center"/>
                </w:tcPr>
                <w:p w14:paraId="7CC828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15</w:t>
                  </w:r>
                </w:p>
              </w:tc>
              <w:tc>
                <w:tcPr>
                  <w:tcW w:w="840" w:type="dxa"/>
                  <w:tcBorders>
                    <w:tl2br w:val="nil"/>
                    <w:tr2bl w:val="nil"/>
                  </w:tcBorders>
                  <w:shd w:val="clear" w:color="auto" w:fill="auto"/>
                  <w:vAlign w:val="center"/>
                </w:tcPr>
                <w:p w14:paraId="0B90F1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+15</w:t>
                  </w:r>
                </w:p>
              </w:tc>
              <w:tc>
                <w:tcPr>
                  <w:tcW w:w="2080" w:type="dxa"/>
                  <w:vMerge w:val="continue"/>
                  <w:tcBorders>
                    <w:tl2br w:val="nil"/>
                    <w:tr2bl w:val="nil"/>
                  </w:tcBorders>
                  <w:shd w:val="clear" w:color="auto" w:fill="auto"/>
                  <w:vAlign w:val="center"/>
                </w:tcPr>
                <w:p w14:paraId="15816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5841FE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2A36E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i w:val="0"/>
                      <w:iCs w:val="0"/>
                      <w:color w:val="auto"/>
                      <w:spacing w:val="0"/>
                      <w:sz w:val="21"/>
                      <w:szCs w:val="21"/>
                      <w:highlight w:val="none"/>
                      <w:u w:val="none"/>
                      <w:lang w:val="en-US" w:eastAsia="zh-CN"/>
                    </w:rPr>
                    <w:t>14</w:t>
                  </w:r>
                </w:p>
              </w:tc>
              <w:tc>
                <w:tcPr>
                  <w:tcW w:w="587" w:type="dxa"/>
                  <w:vMerge w:val="continue"/>
                  <w:tcBorders>
                    <w:tl2br w:val="nil"/>
                    <w:tr2bl w:val="nil"/>
                  </w:tcBorders>
                  <w:shd w:val="clear" w:color="auto" w:fill="auto"/>
                  <w:vAlign w:val="center"/>
                </w:tcPr>
                <w:p w14:paraId="0FEEC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4861DA7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b w:val="0"/>
                      <w:bCs w:val="0"/>
                      <w:color w:val="auto"/>
                      <w:spacing w:val="0"/>
                      <w:sz w:val="21"/>
                      <w:szCs w:val="21"/>
                      <w:highlight w:val="none"/>
                    </w:rPr>
                  </w:pPr>
                  <w:r>
                    <w:rPr>
                      <w:rFonts w:hint="default" w:ascii="Times New Roman" w:hAnsi="Times New Roman" w:eastAsia="宋体"/>
                      <w:b w:val="0"/>
                      <w:bCs w:val="0"/>
                      <w:color w:val="auto"/>
                      <w:spacing w:val="0"/>
                      <w:sz w:val="21"/>
                      <w:szCs w:val="21"/>
                      <w:highlight w:val="none"/>
                    </w:rPr>
                    <w:t>自动打标切割线</w:t>
                  </w:r>
                  <w:r>
                    <w:rPr>
                      <w:rFonts w:hint="eastAsia" w:ascii="Times New Roman" w:hAnsi="Times New Roman" w:eastAsia="宋体"/>
                      <w:b w:val="0"/>
                      <w:bCs w:val="0"/>
                      <w:color w:val="auto"/>
                      <w:spacing w:val="0"/>
                      <w:sz w:val="21"/>
                      <w:szCs w:val="21"/>
                      <w:highlight w:val="none"/>
                      <w:lang w:eastAsia="zh-CN"/>
                    </w:rPr>
                    <w:t>—激光切割系统</w:t>
                  </w:r>
                </w:p>
              </w:tc>
              <w:tc>
                <w:tcPr>
                  <w:tcW w:w="958" w:type="dxa"/>
                  <w:tcBorders>
                    <w:tl2br w:val="nil"/>
                    <w:tr2bl w:val="nil"/>
                  </w:tcBorders>
                  <w:shd w:val="clear" w:color="auto" w:fill="auto"/>
                  <w:vAlign w:val="center"/>
                </w:tcPr>
                <w:p w14:paraId="564A4F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SDTS170401</w:t>
                  </w:r>
                </w:p>
              </w:tc>
              <w:tc>
                <w:tcPr>
                  <w:tcW w:w="797" w:type="dxa"/>
                  <w:tcBorders>
                    <w:tl2br w:val="nil"/>
                    <w:tr2bl w:val="nil"/>
                  </w:tcBorders>
                  <w:shd w:val="clear" w:color="auto" w:fill="auto"/>
                  <w:vAlign w:val="center"/>
                </w:tcPr>
                <w:p w14:paraId="44396E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250</w:t>
                  </w:r>
                </w:p>
              </w:tc>
              <w:tc>
                <w:tcPr>
                  <w:tcW w:w="765" w:type="dxa"/>
                  <w:tcBorders>
                    <w:tl2br w:val="nil"/>
                    <w:tr2bl w:val="nil"/>
                  </w:tcBorders>
                  <w:shd w:val="clear" w:color="auto" w:fill="auto"/>
                  <w:vAlign w:val="center"/>
                </w:tcPr>
                <w:p w14:paraId="7C2D6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190</w:t>
                  </w:r>
                </w:p>
              </w:tc>
              <w:tc>
                <w:tcPr>
                  <w:tcW w:w="840" w:type="dxa"/>
                  <w:tcBorders>
                    <w:tl2br w:val="nil"/>
                    <w:tr2bl w:val="nil"/>
                  </w:tcBorders>
                  <w:shd w:val="clear" w:color="auto" w:fill="auto"/>
                  <w:vAlign w:val="center"/>
                </w:tcPr>
                <w:p w14:paraId="178C71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-60</w:t>
                  </w:r>
                </w:p>
              </w:tc>
              <w:tc>
                <w:tcPr>
                  <w:tcW w:w="2080" w:type="dxa"/>
                  <w:vMerge w:val="restart"/>
                  <w:tcBorders>
                    <w:tl2br w:val="nil"/>
                    <w:tr2bl w:val="nil"/>
                  </w:tcBorders>
                  <w:shd w:val="clear" w:color="auto" w:fill="auto"/>
                  <w:vAlign w:val="center"/>
                </w:tcPr>
                <w:p w14:paraId="743B8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heme="majorEastAsia"/>
                      <w:b w:val="0"/>
                      <w:bCs w:val="0"/>
                      <w:color w:val="auto"/>
                      <w:kern w:val="2"/>
                      <w:sz w:val="21"/>
                      <w:szCs w:val="21"/>
                      <w:highlight w:val="none"/>
                      <w:lang w:val="en-US" w:eastAsia="zh-CN" w:bidi="ar-SA"/>
                    </w:rPr>
                    <w:t>将60套激光切割系统升级成双臂机器人切割装置，提高生产效率</w:t>
                  </w:r>
                </w:p>
              </w:tc>
            </w:tr>
            <w:tr w14:paraId="14BB23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29D935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15</w:t>
                  </w:r>
                </w:p>
              </w:tc>
              <w:tc>
                <w:tcPr>
                  <w:tcW w:w="587" w:type="dxa"/>
                  <w:vMerge w:val="continue"/>
                  <w:tcBorders>
                    <w:tl2br w:val="nil"/>
                    <w:tr2bl w:val="nil"/>
                  </w:tcBorders>
                  <w:shd w:val="clear" w:color="auto" w:fill="auto"/>
                  <w:vAlign w:val="center"/>
                </w:tcPr>
                <w:p w14:paraId="10244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599EA36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b w:val="0"/>
                      <w:bCs w:val="0"/>
                      <w:color w:val="auto"/>
                      <w:spacing w:val="0"/>
                      <w:sz w:val="21"/>
                      <w:szCs w:val="21"/>
                      <w:highlight w:val="none"/>
                    </w:rPr>
                  </w:pPr>
                  <w:r>
                    <w:rPr>
                      <w:rFonts w:hint="eastAsia" w:ascii="Times New Roman" w:hAnsi="Times New Roman" w:eastAsia="宋体"/>
                      <w:b w:val="0"/>
                      <w:bCs w:val="0"/>
                      <w:color w:val="auto"/>
                      <w:highlight w:val="none"/>
                      <w:lang w:eastAsia="zh-CN"/>
                    </w:rPr>
                    <w:t>双机器人切割装置</w:t>
                  </w:r>
                </w:p>
              </w:tc>
              <w:tc>
                <w:tcPr>
                  <w:tcW w:w="958" w:type="dxa"/>
                  <w:tcBorders>
                    <w:tl2br w:val="nil"/>
                    <w:tr2bl w:val="nil"/>
                  </w:tcBorders>
                  <w:shd w:val="clear" w:color="auto" w:fill="auto"/>
                  <w:vAlign w:val="center"/>
                </w:tcPr>
                <w:p w14:paraId="0D931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w:t>
                  </w:r>
                </w:p>
              </w:tc>
              <w:tc>
                <w:tcPr>
                  <w:tcW w:w="797" w:type="dxa"/>
                  <w:tcBorders>
                    <w:tl2br w:val="nil"/>
                    <w:tr2bl w:val="nil"/>
                  </w:tcBorders>
                  <w:shd w:val="clear" w:color="auto" w:fill="auto"/>
                  <w:vAlign w:val="center"/>
                </w:tcPr>
                <w:p w14:paraId="1D80C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zCs w:val="21"/>
                      <w:highlight w:val="none"/>
                    </w:rPr>
                    <w:t>0</w:t>
                  </w:r>
                </w:p>
              </w:tc>
              <w:tc>
                <w:tcPr>
                  <w:tcW w:w="765" w:type="dxa"/>
                  <w:tcBorders>
                    <w:tl2br w:val="nil"/>
                    <w:tr2bl w:val="nil"/>
                  </w:tcBorders>
                  <w:shd w:val="clear" w:color="auto" w:fill="auto"/>
                  <w:vAlign w:val="center"/>
                </w:tcPr>
                <w:p w14:paraId="63B523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zCs w:val="21"/>
                      <w:highlight w:val="none"/>
                    </w:rPr>
                    <w:t>60</w:t>
                  </w:r>
                </w:p>
              </w:tc>
              <w:tc>
                <w:tcPr>
                  <w:tcW w:w="840" w:type="dxa"/>
                  <w:tcBorders>
                    <w:tl2br w:val="nil"/>
                    <w:tr2bl w:val="nil"/>
                  </w:tcBorders>
                  <w:shd w:val="clear" w:color="auto" w:fill="auto"/>
                  <w:vAlign w:val="center"/>
                </w:tcPr>
                <w:p w14:paraId="250B5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color w:val="auto"/>
                      <w:szCs w:val="21"/>
                      <w:highlight w:val="none"/>
                    </w:rPr>
                    <w:t>+60</w:t>
                  </w:r>
                </w:p>
              </w:tc>
              <w:tc>
                <w:tcPr>
                  <w:tcW w:w="2080" w:type="dxa"/>
                  <w:vMerge w:val="continue"/>
                  <w:tcBorders>
                    <w:tl2br w:val="nil"/>
                    <w:tr2bl w:val="nil"/>
                  </w:tcBorders>
                  <w:shd w:val="clear" w:color="auto" w:fill="auto"/>
                  <w:vAlign w:val="center"/>
                </w:tcPr>
                <w:p w14:paraId="194637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2A60A2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11CED5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16</w:t>
                  </w:r>
                </w:p>
              </w:tc>
              <w:tc>
                <w:tcPr>
                  <w:tcW w:w="587" w:type="dxa"/>
                  <w:vMerge w:val="continue"/>
                  <w:tcBorders>
                    <w:tl2br w:val="nil"/>
                    <w:tr2bl w:val="nil"/>
                  </w:tcBorders>
                  <w:shd w:val="clear" w:color="auto" w:fill="auto"/>
                  <w:vAlign w:val="center"/>
                </w:tcPr>
                <w:p w14:paraId="7F8696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0A8D138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b w:val="0"/>
                      <w:bCs w:val="0"/>
                      <w:color w:val="auto"/>
                      <w:spacing w:val="0"/>
                      <w:sz w:val="21"/>
                      <w:szCs w:val="21"/>
                      <w:highlight w:val="none"/>
                    </w:rPr>
                  </w:pPr>
                  <w:r>
                    <w:rPr>
                      <w:rFonts w:hint="eastAsia" w:ascii="Times New Roman" w:hAnsi="Times New Roman" w:eastAsia="宋体"/>
                      <w:b w:val="0"/>
                      <w:bCs w:val="0"/>
                      <w:color w:val="auto"/>
                      <w:highlight w:val="none"/>
                      <w:lang w:val="en-US" w:eastAsia="zh-CN"/>
                    </w:rPr>
                    <w:t>喷壶（喷涂硅油-脱模剂）</w:t>
                  </w:r>
                </w:p>
              </w:tc>
              <w:tc>
                <w:tcPr>
                  <w:tcW w:w="958" w:type="dxa"/>
                  <w:tcBorders>
                    <w:tl2br w:val="nil"/>
                    <w:tr2bl w:val="nil"/>
                  </w:tcBorders>
                  <w:shd w:val="clear" w:color="auto" w:fill="auto"/>
                  <w:vAlign w:val="center"/>
                </w:tcPr>
                <w:p w14:paraId="3596A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w:t>
                  </w:r>
                </w:p>
              </w:tc>
              <w:tc>
                <w:tcPr>
                  <w:tcW w:w="797" w:type="dxa"/>
                  <w:tcBorders>
                    <w:tl2br w:val="nil"/>
                    <w:tr2bl w:val="nil"/>
                  </w:tcBorders>
                  <w:shd w:val="clear" w:color="auto" w:fill="auto"/>
                  <w:vAlign w:val="center"/>
                </w:tcPr>
                <w:p w14:paraId="2C8EE4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zCs w:val="21"/>
                      <w:highlight w:val="none"/>
                    </w:rPr>
                    <w:t>0</w:t>
                  </w:r>
                </w:p>
              </w:tc>
              <w:tc>
                <w:tcPr>
                  <w:tcW w:w="765" w:type="dxa"/>
                  <w:tcBorders>
                    <w:tl2br w:val="nil"/>
                    <w:tr2bl w:val="nil"/>
                  </w:tcBorders>
                  <w:shd w:val="clear" w:color="auto" w:fill="auto"/>
                  <w:vAlign w:val="center"/>
                </w:tcPr>
                <w:p w14:paraId="1BA72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zCs w:val="21"/>
                      <w:highlight w:val="none"/>
                    </w:rPr>
                    <w:t>15</w:t>
                  </w:r>
                </w:p>
              </w:tc>
              <w:tc>
                <w:tcPr>
                  <w:tcW w:w="840" w:type="dxa"/>
                  <w:tcBorders>
                    <w:tl2br w:val="nil"/>
                    <w:tr2bl w:val="nil"/>
                  </w:tcBorders>
                  <w:shd w:val="clear" w:color="auto" w:fill="auto"/>
                  <w:vAlign w:val="center"/>
                </w:tcPr>
                <w:p w14:paraId="1CFDAF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color w:val="auto"/>
                      <w:szCs w:val="21"/>
                      <w:highlight w:val="none"/>
                    </w:rPr>
                    <w:t>+15</w:t>
                  </w:r>
                </w:p>
              </w:tc>
              <w:tc>
                <w:tcPr>
                  <w:tcW w:w="2080" w:type="dxa"/>
                  <w:tcBorders>
                    <w:tl2br w:val="nil"/>
                    <w:tr2bl w:val="nil"/>
                  </w:tcBorders>
                  <w:shd w:val="clear" w:color="auto" w:fill="auto"/>
                  <w:vAlign w:val="center"/>
                </w:tcPr>
                <w:p w14:paraId="2BC3E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避免因脱膜不畅对产品造成损伤</w:t>
                  </w:r>
                  <w:r>
                    <w:rPr>
                      <w:rFonts w:hint="eastAsia" w:cs="Times New Roman"/>
                      <w:b w:val="0"/>
                      <w:bCs w:val="0"/>
                      <w:i w:val="0"/>
                      <w:iCs w:val="0"/>
                      <w:color w:val="auto"/>
                      <w:spacing w:val="0"/>
                      <w:sz w:val="21"/>
                      <w:szCs w:val="21"/>
                      <w:highlight w:val="none"/>
                      <w:u w:val="none"/>
                      <w:lang w:val="en-US" w:eastAsia="zh-CN"/>
                    </w:rPr>
                    <w:t>，提高产品品质</w:t>
                  </w:r>
                </w:p>
              </w:tc>
            </w:tr>
            <w:tr w14:paraId="523F45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A1D7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17</w:t>
                  </w:r>
                </w:p>
              </w:tc>
              <w:tc>
                <w:tcPr>
                  <w:tcW w:w="587" w:type="dxa"/>
                  <w:vMerge w:val="continue"/>
                  <w:tcBorders>
                    <w:tl2br w:val="nil"/>
                    <w:tr2bl w:val="nil"/>
                  </w:tcBorders>
                  <w:shd w:val="clear" w:color="auto" w:fill="auto"/>
                  <w:vAlign w:val="center"/>
                </w:tcPr>
                <w:p w14:paraId="45C46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E7FBEB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自动研磨机</w:t>
                  </w:r>
                </w:p>
              </w:tc>
              <w:tc>
                <w:tcPr>
                  <w:tcW w:w="958" w:type="dxa"/>
                  <w:tcBorders>
                    <w:tl2br w:val="nil"/>
                    <w:tr2bl w:val="nil"/>
                  </w:tcBorders>
                  <w:shd w:val="clear" w:color="auto" w:fill="auto"/>
                  <w:vAlign w:val="center"/>
                </w:tcPr>
                <w:p w14:paraId="563CF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GS1480</w:t>
                  </w:r>
                </w:p>
              </w:tc>
              <w:tc>
                <w:tcPr>
                  <w:tcW w:w="797" w:type="dxa"/>
                  <w:tcBorders>
                    <w:tl2br w:val="nil"/>
                    <w:tr2bl w:val="nil"/>
                  </w:tcBorders>
                  <w:shd w:val="clear" w:color="auto" w:fill="auto"/>
                  <w:vAlign w:val="center"/>
                </w:tcPr>
                <w:p w14:paraId="13E94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36</w:t>
                  </w:r>
                </w:p>
              </w:tc>
              <w:tc>
                <w:tcPr>
                  <w:tcW w:w="765" w:type="dxa"/>
                  <w:tcBorders>
                    <w:tl2br w:val="nil"/>
                    <w:tr2bl w:val="nil"/>
                  </w:tcBorders>
                  <w:shd w:val="clear" w:color="auto" w:fill="auto"/>
                  <w:vAlign w:val="center"/>
                </w:tcPr>
                <w:p w14:paraId="2C2CB3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36</w:t>
                  </w:r>
                </w:p>
              </w:tc>
              <w:tc>
                <w:tcPr>
                  <w:tcW w:w="840" w:type="dxa"/>
                  <w:tcBorders>
                    <w:tl2br w:val="nil"/>
                    <w:tr2bl w:val="nil"/>
                  </w:tcBorders>
                  <w:shd w:val="clear" w:color="auto" w:fill="auto"/>
                  <w:vAlign w:val="center"/>
                </w:tcPr>
                <w:p w14:paraId="677F9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tcBorders>
                    <w:bottom w:val="single" w:color="auto" w:sz="4" w:space="0"/>
                    <w:tl2br w:val="nil"/>
                    <w:tr2bl w:val="nil"/>
                  </w:tcBorders>
                  <w:shd w:val="clear" w:color="auto" w:fill="auto"/>
                  <w:vAlign w:val="center"/>
                </w:tcPr>
                <w:p w14:paraId="639E5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依托现有</w:t>
                  </w:r>
                </w:p>
              </w:tc>
            </w:tr>
            <w:tr w14:paraId="362227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2E751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18</w:t>
                  </w:r>
                </w:p>
              </w:tc>
              <w:tc>
                <w:tcPr>
                  <w:tcW w:w="587" w:type="dxa"/>
                  <w:vMerge w:val="continue"/>
                  <w:tcBorders>
                    <w:tl2br w:val="nil"/>
                    <w:tr2bl w:val="nil"/>
                  </w:tcBorders>
                  <w:shd w:val="clear" w:color="auto" w:fill="auto"/>
                  <w:vAlign w:val="center"/>
                </w:tcPr>
                <w:p w14:paraId="3AA04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6AD011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超声波清洗机</w:t>
                  </w:r>
                </w:p>
              </w:tc>
              <w:tc>
                <w:tcPr>
                  <w:tcW w:w="958" w:type="dxa"/>
                  <w:tcBorders>
                    <w:tl2br w:val="nil"/>
                    <w:tr2bl w:val="nil"/>
                  </w:tcBorders>
                  <w:shd w:val="clear" w:color="auto" w:fill="auto"/>
                  <w:vAlign w:val="center"/>
                </w:tcPr>
                <w:p w14:paraId="2DEF0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ND-0105</w:t>
                  </w:r>
                </w:p>
              </w:tc>
              <w:tc>
                <w:tcPr>
                  <w:tcW w:w="797" w:type="dxa"/>
                  <w:tcBorders>
                    <w:tl2br w:val="nil"/>
                    <w:tr2bl w:val="nil"/>
                  </w:tcBorders>
                  <w:shd w:val="clear" w:color="auto" w:fill="auto"/>
                  <w:vAlign w:val="center"/>
                </w:tcPr>
                <w:p w14:paraId="46549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32</w:t>
                  </w:r>
                </w:p>
              </w:tc>
              <w:tc>
                <w:tcPr>
                  <w:tcW w:w="765" w:type="dxa"/>
                  <w:tcBorders>
                    <w:tl2br w:val="nil"/>
                    <w:tr2bl w:val="nil"/>
                  </w:tcBorders>
                  <w:shd w:val="clear" w:color="auto" w:fill="auto"/>
                  <w:vAlign w:val="center"/>
                </w:tcPr>
                <w:p w14:paraId="11E56A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color w:val="auto"/>
                      <w:spacing w:val="0"/>
                      <w:sz w:val="21"/>
                      <w:szCs w:val="21"/>
                      <w:highlight w:val="none"/>
                      <w:lang w:val="en-US" w:eastAsia="zh-CN"/>
                    </w:rPr>
                    <w:t>32</w:t>
                  </w:r>
                </w:p>
              </w:tc>
              <w:tc>
                <w:tcPr>
                  <w:tcW w:w="840" w:type="dxa"/>
                  <w:tcBorders>
                    <w:bottom w:val="single" w:color="auto" w:sz="4" w:space="0"/>
                    <w:tl2br w:val="nil"/>
                    <w:tr2bl w:val="nil"/>
                  </w:tcBorders>
                  <w:shd w:val="clear" w:color="auto" w:fill="auto"/>
                  <w:vAlign w:val="center"/>
                </w:tcPr>
                <w:p w14:paraId="6C395C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tcBorders>
                    <w:top w:val="single" w:color="auto" w:sz="4" w:space="0"/>
                    <w:bottom w:val="single" w:color="auto" w:sz="4" w:space="0"/>
                    <w:tl2br w:val="nil"/>
                    <w:tr2bl w:val="nil"/>
                  </w:tcBorders>
                  <w:shd w:val="clear" w:color="auto" w:fill="auto"/>
                  <w:vAlign w:val="center"/>
                </w:tcPr>
                <w:p w14:paraId="4BB98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依托现有</w:t>
                  </w:r>
                </w:p>
              </w:tc>
            </w:tr>
            <w:tr w14:paraId="2C1BDF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8264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19</w:t>
                  </w:r>
                </w:p>
              </w:tc>
              <w:tc>
                <w:tcPr>
                  <w:tcW w:w="587" w:type="dxa"/>
                  <w:vMerge w:val="continue"/>
                  <w:tcBorders>
                    <w:tl2br w:val="nil"/>
                    <w:tr2bl w:val="nil"/>
                  </w:tcBorders>
                  <w:shd w:val="clear" w:color="auto" w:fill="auto"/>
                  <w:vAlign w:val="center"/>
                </w:tcPr>
                <w:p w14:paraId="3E3FA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5A1EBD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b w:val="0"/>
                      <w:bCs w:val="0"/>
                      <w:color w:val="auto"/>
                      <w:spacing w:val="0"/>
                      <w:sz w:val="21"/>
                      <w:szCs w:val="21"/>
                      <w:highlight w:val="none"/>
                    </w:rPr>
                  </w:pPr>
                  <w:r>
                    <w:rPr>
                      <w:rFonts w:hint="eastAsia" w:ascii="Times New Roman" w:hAnsi="Times New Roman" w:eastAsia="宋体"/>
                      <w:b w:val="0"/>
                      <w:bCs w:val="0"/>
                      <w:color w:val="auto"/>
                      <w:highlight w:val="none"/>
                      <w:lang w:eastAsia="zh-CN"/>
                    </w:rPr>
                    <w:t>新型分拣系统装置</w:t>
                  </w:r>
                </w:p>
              </w:tc>
              <w:tc>
                <w:tcPr>
                  <w:tcW w:w="958" w:type="dxa"/>
                  <w:tcBorders>
                    <w:tl2br w:val="nil"/>
                    <w:tr2bl w:val="nil"/>
                  </w:tcBorders>
                  <w:shd w:val="clear" w:color="auto" w:fill="auto"/>
                  <w:vAlign w:val="center"/>
                </w:tcPr>
                <w:p w14:paraId="561B0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w:t>
                  </w:r>
                </w:p>
              </w:tc>
              <w:tc>
                <w:tcPr>
                  <w:tcW w:w="797" w:type="dxa"/>
                  <w:tcBorders>
                    <w:tl2br w:val="nil"/>
                    <w:tr2bl w:val="nil"/>
                  </w:tcBorders>
                  <w:shd w:val="clear" w:color="auto" w:fill="auto"/>
                  <w:vAlign w:val="center"/>
                </w:tcPr>
                <w:p w14:paraId="26108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pacing w:val="0"/>
                      <w:sz w:val="21"/>
                      <w:szCs w:val="21"/>
                      <w:highlight w:val="none"/>
                    </w:rPr>
                  </w:pPr>
                  <w:r>
                    <w:rPr>
                      <w:rFonts w:hint="eastAsia" w:ascii="Times New Roman" w:hAnsi="Times New Roman" w:eastAsia="宋体" w:cs="Times New Roman"/>
                      <w:b w:val="0"/>
                      <w:bCs w:val="0"/>
                      <w:color w:val="auto"/>
                      <w:szCs w:val="21"/>
                      <w:highlight w:val="none"/>
                    </w:rPr>
                    <w:t>0</w:t>
                  </w:r>
                </w:p>
              </w:tc>
              <w:tc>
                <w:tcPr>
                  <w:tcW w:w="765" w:type="dxa"/>
                  <w:tcBorders>
                    <w:tl2br w:val="nil"/>
                    <w:tr2bl w:val="nil"/>
                  </w:tcBorders>
                  <w:shd w:val="clear" w:color="auto" w:fill="auto"/>
                  <w:vAlign w:val="center"/>
                </w:tcPr>
                <w:p w14:paraId="449F4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pacing w:val="0"/>
                      <w:sz w:val="21"/>
                      <w:szCs w:val="21"/>
                      <w:highlight w:val="none"/>
                    </w:rPr>
                  </w:pPr>
                  <w:r>
                    <w:rPr>
                      <w:rFonts w:hint="eastAsia" w:ascii="Times New Roman" w:hAnsi="Times New Roman" w:eastAsia="宋体" w:cs="Times New Roman"/>
                      <w:b w:val="0"/>
                      <w:bCs w:val="0"/>
                      <w:color w:val="auto"/>
                      <w:szCs w:val="21"/>
                      <w:highlight w:val="none"/>
                    </w:rPr>
                    <w:t>1</w:t>
                  </w:r>
                </w:p>
              </w:tc>
              <w:tc>
                <w:tcPr>
                  <w:tcW w:w="840" w:type="dxa"/>
                  <w:tcBorders>
                    <w:top w:val="single" w:color="auto" w:sz="4" w:space="0"/>
                    <w:tl2br w:val="nil"/>
                    <w:tr2bl w:val="nil"/>
                  </w:tcBorders>
                  <w:shd w:val="clear" w:color="auto" w:fill="auto"/>
                  <w:vAlign w:val="center"/>
                </w:tcPr>
                <w:p w14:paraId="7A607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color w:val="auto"/>
                      <w:szCs w:val="21"/>
                      <w:highlight w:val="none"/>
                    </w:rPr>
                    <w:t>+1</w:t>
                  </w:r>
                </w:p>
              </w:tc>
              <w:tc>
                <w:tcPr>
                  <w:tcW w:w="2080" w:type="dxa"/>
                  <w:tcBorders>
                    <w:top w:val="single" w:color="auto" w:sz="4" w:space="0"/>
                    <w:bottom w:val="single" w:color="auto" w:sz="4" w:space="0"/>
                    <w:tl2br w:val="nil"/>
                    <w:tr2bl w:val="nil"/>
                  </w:tcBorders>
                  <w:shd w:val="clear" w:color="auto" w:fill="auto"/>
                  <w:vAlign w:val="center"/>
                </w:tcPr>
                <w:p w14:paraId="31C23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提升自动化，提高生产效率、灵活性</w:t>
                  </w:r>
                </w:p>
              </w:tc>
            </w:tr>
            <w:tr w14:paraId="24322B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0DC08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20</w:t>
                  </w:r>
                </w:p>
              </w:tc>
              <w:tc>
                <w:tcPr>
                  <w:tcW w:w="587" w:type="dxa"/>
                  <w:vMerge w:val="continue"/>
                  <w:tcBorders>
                    <w:tl2br w:val="nil"/>
                    <w:tr2bl w:val="nil"/>
                  </w:tcBorders>
                  <w:shd w:val="clear" w:color="auto" w:fill="auto"/>
                  <w:vAlign w:val="center"/>
                </w:tcPr>
                <w:p w14:paraId="7213C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78C8BC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b w:val="0"/>
                      <w:bCs w:val="0"/>
                      <w:color w:val="auto"/>
                      <w:spacing w:val="0"/>
                      <w:sz w:val="21"/>
                      <w:szCs w:val="21"/>
                      <w:highlight w:val="none"/>
                    </w:rPr>
                  </w:pPr>
                  <w:r>
                    <w:rPr>
                      <w:rFonts w:hint="eastAsia" w:ascii="Times New Roman" w:hAnsi="Times New Roman" w:eastAsia="宋体"/>
                      <w:b w:val="0"/>
                      <w:bCs w:val="0"/>
                      <w:color w:val="auto"/>
                      <w:highlight w:val="none"/>
                      <w:lang w:eastAsia="zh-CN"/>
                    </w:rPr>
                    <w:t>AGV智能系统搬运</w:t>
                  </w:r>
                </w:p>
              </w:tc>
              <w:tc>
                <w:tcPr>
                  <w:tcW w:w="958" w:type="dxa"/>
                  <w:tcBorders>
                    <w:tl2br w:val="nil"/>
                    <w:tr2bl w:val="nil"/>
                  </w:tcBorders>
                  <w:shd w:val="clear" w:color="auto" w:fill="auto"/>
                  <w:vAlign w:val="center"/>
                </w:tcPr>
                <w:p w14:paraId="39EDC0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w:t>
                  </w:r>
                </w:p>
              </w:tc>
              <w:tc>
                <w:tcPr>
                  <w:tcW w:w="797" w:type="dxa"/>
                  <w:tcBorders>
                    <w:tl2br w:val="nil"/>
                    <w:tr2bl w:val="nil"/>
                  </w:tcBorders>
                  <w:shd w:val="clear" w:color="auto" w:fill="auto"/>
                  <w:vAlign w:val="center"/>
                </w:tcPr>
                <w:p w14:paraId="37FCE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pacing w:val="0"/>
                      <w:sz w:val="21"/>
                      <w:szCs w:val="21"/>
                      <w:highlight w:val="none"/>
                    </w:rPr>
                  </w:pPr>
                  <w:r>
                    <w:rPr>
                      <w:rFonts w:hint="eastAsia" w:ascii="Times New Roman" w:hAnsi="Times New Roman" w:eastAsia="宋体" w:cs="Times New Roman"/>
                      <w:b w:val="0"/>
                      <w:bCs w:val="0"/>
                      <w:color w:val="auto"/>
                      <w:szCs w:val="21"/>
                      <w:highlight w:val="none"/>
                    </w:rPr>
                    <w:t>0</w:t>
                  </w:r>
                </w:p>
              </w:tc>
              <w:tc>
                <w:tcPr>
                  <w:tcW w:w="765" w:type="dxa"/>
                  <w:tcBorders>
                    <w:tl2br w:val="nil"/>
                    <w:tr2bl w:val="nil"/>
                  </w:tcBorders>
                  <w:shd w:val="clear" w:color="auto" w:fill="auto"/>
                  <w:vAlign w:val="center"/>
                </w:tcPr>
                <w:p w14:paraId="2A7DD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pacing w:val="0"/>
                      <w:sz w:val="21"/>
                      <w:szCs w:val="21"/>
                      <w:highlight w:val="none"/>
                    </w:rPr>
                  </w:pPr>
                  <w:r>
                    <w:rPr>
                      <w:rFonts w:hint="eastAsia" w:ascii="Times New Roman" w:hAnsi="Times New Roman" w:eastAsia="宋体" w:cs="Times New Roman"/>
                      <w:b w:val="0"/>
                      <w:bCs w:val="0"/>
                      <w:color w:val="auto"/>
                      <w:szCs w:val="21"/>
                      <w:highlight w:val="none"/>
                    </w:rPr>
                    <w:t>5</w:t>
                  </w:r>
                </w:p>
              </w:tc>
              <w:tc>
                <w:tcPr>
                  <w:tcW w:w="840" w:type="dxa"/>
                  <w:tcBorders>
                    <w:bottom w:val="single" w:color="auto" w:sz="4" w:space="0"/>
                    <w:tl2br w:val="nil"/>
                    <w:tr2bl w:val="nil"/>
                  </w:tcBorders>
                  <w:shd w:val="clear" w:color="auto" w:fill="auto"/>
                  <w:vAlign w:val="center"/>
                </w:tcPr>
                <w:p w14:paraId="163204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color w:val="auto"/>
                      <w:szCs w:val="21"/>
                      <w:highlight w:val="none"/>
                    </w:rPr>
                    <w:t>+5</w:t>
                  </w:r>
                </w:p>
              </w:tc>
              <w:tc>
                <w:tcPr>
                  <w:tcW w:w="2080" w:type="dxa"/>
                  <w:tcBorders>
                    <w:top w:val="single" w:color="auto" w:sz="4" w:space="0"/>
                    <w:bottom w:val="single" w:color="auto" w:sz="4" w:space="0"/>
                    <w:tl2br w:val="nil"/>
                    <w:tr2bl w:val="nil"/>
                  </w:tcBorders>
                  <w:shd w:val="clear" w:color="auto" w:fill="auto"/>
                  <w:vAlign w:val="center"/>
                </w:tcPr>
                <w:p w14:paraId="73CDB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提升自动化，提高生产效率、灵活性</w:t>
                  </w:r>
                </w:p>
              </w:tc>
            </w:tr>
            <w:tr w14:paraId="746E24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7BA31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21</w:t>
                  </w:r>
                </w:p>
              </w:tc>
              <w:tc>
                <w:tcPr>
                  <w:tcW w:w="587" w:type="dxa"/>
                  <w:vMerge w:val="continue"/>
                  <w:tcBorders>
                    <w:tl2br w:val="nil"/>
                    <w:tr2bl w:val="nil"/>
                  </w:tcBorders>
                  <w:shd w:val="clear" w:color="auto" w:fill="auto"/>
                  <w:vAlign w:val="center"/>
                </w:tcPr>
                <w:p w14:paraId="3F933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4AC12E9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自动分拣线</w:t>
                  </w:r>
                </w:p>
              </w:tc>
              <w:tc>
                <w:tcPr>
                  <w:tcW w:w="958" w:type="dxa"/>
                  <w:tcBorders>
                    <w:tl2br w:val="nil"/>
                    <w:tr2bl w:val="nil"/>
                  </w:tcBorders>
                  <w:shd w:val="clear" w:color="auto" w:fill="auto"/>
                  <w:vAlign w:val="center"/>
                </w:tcPr>
                <w:p w14:paraId="35FF3E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SDTS170602</w:t>
                  </w:r>
                </w:p>
              </w:tc>
              <w:tc>
                <w:tcPr>
                  <w:tcW w:w="797" w:type="dxa"/>
                  <w:tcBorders>
                    <w:tl2br w:val="nil"/>
                    <w:tr2bl w:val="nil"/>
                  </w:tcBorders>
                  <w:shd w:val="clear" w:color="auto" w:fill="auto"/>
                  <w:vAlign w:val="center"/>
                </w:tcPr>
                <w:p w14:paraId="40F83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16</w:t>
                  </w:r>
                </w:p>
              </w:tc>
              <w:tc>
                <w:tcPr>
                  <w:tcW w:w="765" w:type="dxa"/>
                  <w:tcBorders>
                    <w:tl2br w:val="nil"/>
                    <w:tr2bl w:val="nil"/>
                  </w:tcBorders>
                  <w:shd w:val="clear" w:color="auto" w:fill="auto"/>
                  <w:vAlign w:val="center"/>
                </w:tcPr>
                <w:p w14:paraId="55E08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16</w:t>
                  </w:r>
                </w:p>
              </w:tc>
              <w:tc>
                <w:tcPr>
                  <w:tcW w:w="840" w:type="dxa"/>
                  <w:tcBorders>
                    <w:top w:val="single" w:color="auto" w:sz="4" w:space="0"/>
                    <w:tl2br w:val="nil"/>
                    <w:tr2bl w:val="nil"/>
                  </w:tcBorders>
                  <w:shd w:val="clear" w:color="auto" w:fill="auto"/>
                  <w:vAlign w:val="center"/>
                </w:tcPr>
                <w:p w14:paraId="71C1B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0</w:t>
                  </w:r>
                </w:p>
              </w:tc>
              <w:tc>
                <w:tcPr>
                  <w:tcW w:w="2080" w:type="dxa"/>
                  <w:vMerge w:val="restart"/>
                  <w:tcBorders>
                    <w:top w:val="single" w:color="auto" w:sz="4" w:space="0"/>
                    <w:tl2br w:val="nil"/>
                    <w:tr2bl w:val="nil"/>
                  </w:tcBorders>
                  <w:shd w:val="clear" w:color="auto" w:fill="auto"/>
                  <w:vAlign w:val="center"/>
                </w:tcPr>
                <w:p w14:paraId="44B58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依托现有</w:t>
                  </w:r>
                </w:p>
              </w:tc>
            </w:tr>
            <w:tr w14:paraId="74CCB6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433DFC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22</w:t>
                  </w:r>
                </w:p>
              </w:tc>
              <w:tc>
                <w:tcPr>
                  <w:tcW w:w="587" w:type="dxa"/>
                  <w:vMerge w:val="continue"/>
                  <w:tcBorders>
                    <w:tl2br w:val="nil"/>
                    <w:tr2bl w:val="nil"/>
                  </w:tcBorders>
                  <w:shd w:val="clear" w:color="auto" w:fill="auto"/>
                  <w:vAlign w:val="center"/>
                </w:tcPr>
                <w:p w14:paraId="63C3F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bottom w:val="single" w:color="auto" w:sz="4" w:space="0"/>
                    <w:tl2br w:val="nil"/>
                    <w:tr2bl w:val="nil"/>
                  </w:tcBorders>
                  <w:shd w:val="clear" w:color="auto" w:fill="auto"/>
                  <w:vAlign w:val="center"/>
                </w:tcPr>
                <w:p w14:paraId="16E012EA">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b w:val="0"/>
                      <w:bCs w:val="0"/>
                      <w:color w:val="auto"/>
                      <w:spacing w:val="0"/>
                      <w:sz w:val="21"/>
                      <w:szCs w:val="21"/>
                      <w:highlight w:val="none"/>
                    </w:rPr>
                    <w:t>自动内包线</w:t>
                  </w:r>
                </w:p>
              </w:tc>
              <w:tc>
                <w:tcPr>
                  <w:tcW w:w="958" w:type="dxa"/>
                  <w:tcBorders>
                    <w:tl2br w:val="nil"/>
                    <w:tr2bl w:val="nil"/>
                  </w:tcBorders>
                  <w:shd w:val="clear" w:color="auto" w:fill="auto"/>
                  <w:vAlign w:val="center"/>
                </w:tcPr>
                <w:p w14:paraId="5106B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SDTS190430</w:t>
                  </w:r>
                </w:p>
              </w:tc>
              <w:tc>
                <w:tcPr>
                  <w:tcW w:w="797" w:type="dxa"/>
                  <w:tcBorders>
                    <w:tl2br w:val="nil"/>
                    <w:tr2bl w:val="nil"/>
                  </w:tcBorders>
                  <w:shd w:val="clear" w:color="auto" w:fill="auto"/>
                  <w:vAlign w:val="center"/>
                </w:tcPr>
                <w:p w14:paraId="19CFB8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72</w:t>
                  </w:r>
                </w:p>
              </w:tc>
              <w:tc>
                <w:tcPr>
                  <w:tcW w:w="765" w:type="dxa"/>
                  <w:tcBorders>
                    <w:tl2br w:val="nil"/>
                    <w:tr2bl w:val="nil"/>
                  </w:tcBorders>
                  <w:shd w:val="clear" w:color="auto" w:fill="auto"/>
                  <w:vAlign w:val="center"/>
                </w:tcPr>
                <w:p w14:paraId="3FEB1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72</w:t>
                  </w:r>
                </w:p>
              </w:tc>
              <w:tc>
                <w:tcPr>
                  <w:tcW w:w="840" w:type="dxa"/>
                  <w:tcBorders>
                    <w:tl2br w:val="nil"/>
                    <w:tr2bl w:val="nil"/>
                  </w:tcBorders>
                  <w:shd w:val="clear" w:color="auto" w:fill="auto"/>
                  <w:vAlign w:val="center"/>
                </w:tcPr>
                <w:p w14:paraId="65224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0</w:t>
                  </w:r>
                </w:p>
              </w:tc>
              <w:tc>
                <w:tcPr>
                  <w:tcW w:w="2080" w:type="dxa"/>
                  <w:vMerge w:val="continue"/>
                  <w:tcBorders>
                    <w:top w:val="single" w:color="auto" w:sz="4" w:space="0"/>
                    <w:bottom w:val="single" w:color="auto" w:sz="4" w:space="0"/>
                    <w:tl2br w:val="nil"/>
                    <w:tr2bl w:val="nil"/>
                  </w:tcBorders>
                  <w:shd w:val="clear" w:color="auto" w:fill="auto"/>
                  <w:vAlign w:val="center"/>
                </w:tcPr>
                <w:p w14:paraId="7FF6D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pPr>
                </w:p>
              </w:tc>
            </w:tr>
            <w:tr w14:paraId="383C31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0BCC7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23</w:t>
                  </w:r>
                </w:p>
              </w:tc>
              <w:tc>
                <w:tcPr>
                  <w:tcW w:w="587" w:type="dxa"/>
                  <w:vMerge w:val="continue"/>
                  <w:tcBorders>
                    <w:tl2br w:val="nil"/>
                    <w:tr2bl w:val="nil"/>
                  </w:tcBorders>
                  <w:shd w:val="clear" w:color="auto" w:fill="auto"/>
                  <w:vAlign w:val="center"/>
                </w:tcPr>
                <w:p w14:paraId="702C1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op w:val="single" w:color="auto" w:sz="4" w:space="0"/>
                    <w:bottom w:val="single" w:color="auto" w:sz="4" w:space="0"/>
                    <w:tl2br w:val="nil"/>
                    <w:tr2bl w:val="nil"/>
                  </w:tcBorders>
                  <w:shd w:val="clear" w:color="auto" w:fill="auto"/>
                  <w:vAlign w:val="center"/>
                </w:tcPr>
                <w:p w14:paraId="6099D2E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b w:val="0"/>
                      <w:bCs w:val="0"/>
                      <w:color w:val="auto"/>
                      <w:spacing w:val="0"/>
                      <w:sz w:val="21"/>
                      <w:szCs w:val="21"/>
                      <w:highlight w:val="none"/>
                    </w:rPr>
                    <w:t>面阵曝光激光成型机</w:t>
                  </w:r>
                </w:p>
              </w:tc>
              <w:tc>
                <w:tcPr>
                  <w:tcW w:w="958" w:type="dxa"/>
                  <w:tcBorders>
                    <w:tl2br w:val="nil"/>
                    <w:tr2bl w:val="nil"/>
                  </w:tcBorders>
                  <w:shd w:val="clear" w:color="auto" w:fill="auto"/>
                  <w:vAlign w:val="center"/>
                </w:tcPr>
                <w:p w14:paraId="0ED2DA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RPZD6A</w:t>
                  </w:r>
                </w:p>
              </w:tc>
              <w:tc>
                <w:tcPr>
                  <w:tcW w:w="797" w:type="dxa"/>
                  <w:tcBorders>
                    <w:tl2br w:val="nil"/>
                    <w:tr2bl w:val="nil"/>
                  </w:tcBorders>
                  <w:shd w:val="clear" w:color="auto" w:fill="auto"/>
                  <w:vAlign w:val="center"/>
                </w:tcPr>
                <w:p w14:paraId="668D2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1480</w:t>
                  </w:r>
                </w:p>
              </w:tc>
              <w:tc>
                <w:tcPr>
                  <w:tcW w:w="765" w:type="dxa"/>
                  <w:tcBorders>
                    <w:tl2br w:val="nil"/>
                    <w:tr2bl w:val="nil"/>
                  </w:tcBorders>
                  <w:shd w:val="clear" w:color="auto" w:fill="auto"/>
                  <w:vAlign w:val="center"/>
                </w:tcPr>
                <w:p w14:paraId="46A63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1480</w:t>
                  </w:r>
                </w:p>
              </w:tc>
              <w:tc>
                <w:tcPr>
                  <w:tcW w:w="840" w:type="dxa"/>
                  <w:tcBorders>
                    <w:tl2br w:val="nil"/>
                    <w:tr2bl w:val="nil"/>
                  </w:tcBorders>
                  <w:shd w:val="clear" w:color="auto" w:fill="auto"/>
                  <w:vAlign w:val="center"/>
                </w:tcPr>
                <w:p w14:paraId="18B2B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0</w:t>
                  </w:r>
                </w:p>
              </w:tc>
              <w:tc>
                <w:tcPr>
                  <w:tcW w:w="2080" w:type="dxa"/>
                  <w:vMerge w:val="continue"/>
                  <w:tcBorders>
                    <w:top w:val="single" w:color="auto" w:sz="4" w:space="0"/>
                    <w:bottom w:val="single" w:color="auto" w:sz="4" w:space="0"/>
                    <w:tl2br w:val="nil"/>
                    <w:tr2bl w:val="nil"/>
                  </w:tcBorders>
                  <w:shd w:val="clear" w:color="auto" w:fill="auto"/>
                  <w:vAlign w:val="center"/>
                </w:tcPr>
                <w:p w14:paraId="77455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pPr>
                </w:p>
              </w:tc>
            </w:tr>
            <w:tr w14:paraId="503D58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1968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24</w:t>
                  </w:r>
                </w:p>
              </w:tc>
              <w:tc>
                <w:tcPr>
                  <w:tcW w:w="587" w:type="dxa"/>
                  <w:vMerge w:val="continue"/>
                  <w:tcBorders>
                    <w:tl2br w:val="nil"/>
                    <w:tr2bl w:val="nil"/>
                  </w:tcBorders>
                  <w:shd w:val="clear" w:color="auto" w:fill="auto"/>
                  <w:vAlign w:val="center"/>
                </w:tcPr>
                <w:p w14:paraId="01872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op w:val="single" w:color="auto" w:sz="4" w:space="0"/>
                    <w:bottom w:val="single" w:color="auto" w:sz="4" w:space="0"/>
                    <w:tl2br w:val="nil"/>
                    <w:tr2bl w:val="nil"/>
                  </w:tcBorders>
                  <w:shd w:val="clear" w:color="auto" w:fill="auto"/>
                  <w:vAlign w:val="center"/>
                </w:tcPr>
                <w:p w14:paraId="0C2F0BC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CT</w:t>
                  </w:r>
                  <w:r>
                    <w:rPr>
                      <w:rFonts w:hint="default" w:ascii="Times New Roman" w:hAnsi="Times New Roman" w:eastAsia="宋体"/>
                      <w:b w:val="0"/>
                      <w:bCs w:val="0"/>
                      <w:color w:val="auto"/>
                      <w:spacing w:val="0"/>
                      <w:sz w:val="21"/>
                      <w:szCs w:val="21"/>
                      <w:highlight w:val="none"/>
                    </w:rPr>
                    <w:t>扫描</w:t>
                  </w:r>
                </w:p>
              </w:tc>
              <w:tc>
                <w:tcPr>
                  <w:tcW w:w="958" w:type="dxa"/>
                  <w:tcBorders>
                    <w:tl2br w:val="nil"/>
                    <w:tr2bl w:val="nil"/>
                  </w:tcBorders>
                  <w:shd w:val="clear" w:color="auto" w:fill="auto"/>
                  <w:vAlign w:val="center"/>
                </w:tcPr>
                <w:p w14:paraId="1C5DD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METROTOM1500 225kv</w:t>
                  </w:r>
                </w:p>
              </w:tc>
              <w:tc>
                <w:tcPr>
                  <w:tcW w:w="797" w:type="dxa"/>
                  <w:tcBorders>
                    <w:tl2br w:val="nil"/>
                    <w:tr2bl w:val="nil"/>
                  </w:tcBorders>
                  <w:shd w:val="clear" w:color="auto" w:fill="auto"/>
                  <w:vAlign w:val="center"/>
                </w:tcPr>
                <w:p w14:paraId="34996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2</w:t>
                  </w:r>
                </w:p>
              </w:tc>
              <w:tc>
                <w:tcPr>
                  <w:tcW w:w="765" w:type="dxa"/>
                  <w:tcBorders>
                    <w:tl2br w:val="nil"/>
                    <w:tr2bl w:val="nil"/>
                  </w:tcBorders>
                  <w:shd w:val="clear" w:color="auto" w:fill="auto"/>
                  <w:vAlign w:val="center"/>
                </w:tcPr>
                <w:p w14:paraId="7D8DF7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default" w:ascii="Times New Roman" w:hAnsi="Times New Roman" w:eastAsia="宋体" w:cs="Times New Roman"/>
                      <w:b w:val="0"/>
                      <w:bCs w:val="0"/>
                      <w:color w:val="auto"/>
                      <w:spacing w:val="0"/>
                      <w:sz w:val="21"/>
                      <w:szCs w:val="21"/>
                      <w:highlight w:val="none"/>
                    </w:rPr>
                    <w:t>2</w:t>
                  </w:r>
                </w:p>
              </w:tc>
              <w:tc>
                <w:tcPr>
                  <w:tcW w:w="840" w:type="dxa"/>
                  <w:tcBorders>
                    <w:tl2br w:val="nil"/>
                    <w:tr2bl w:val="nil"/>
                  </w:tcBorders>
                  <w:shd w:val="clear" w:color="auto" w:fill="auto"/>
                  <w:vAlign w:val="center"/>
                </w:tcPr>
                <w:p w14:paraId="1700DB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0</w:t>
                  </w:r>
                </w:p>
              </w:tc>
              <w:tc>
                <w:tcPr>
                  <w:tcW w:w="2080" w:type="dxa"/>
                  <w:vMerge w:val="continue"/>
                  <w:tcBorders>
                    <w:top w:val="single" w:color="auto" w:sz="4" w:space="0"/>
                    <w:bottom w:val="single" w:color="auto" w:sz="4" w:space="0"/>
                    <w:tl2br w:val="nil"/>
                    <w:tr2bl w:val="nil"/>
                  </w:tcBorders>
                  <w:shd w:val="clear" w:color="auto" w:fill="auto"/>
                  <w:vAlign w:val="center"/>
                </w:tcPr>
                <w:p w14:paraId="6A405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pPr>
                </w:p>
              </w:tc>
            </w:tr>
            <w:tr w14:paraId="3070CF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4840A3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25</w:t>
                  </w:r>
                </w:p>
              </w:tc>
              <w:tc>
                <w:tcPr>
                  <w:tcW w:w="587" w:type="dxa"/>
                  <w:vMerge w:val="continue"/>
                  <w:tcBorders>
                    <w:tl2br w:val="nil"/>
                    <w:tr2bl w:val="nil"/>
                  </w:tcBorders>
                  <w:shd w:val="clear" w:color="auto" w:fill="auto"/>
                  <w:vAlign w:val="center"/>
                </w:tcPr>
                <w:p w14:paraId="7E4B1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378FC9B3">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spacing w:val="0"/>
                      <w:sz w:val="21"/>
                      <w:szCs w:val="21"/>
                      <w:highlight w:val="none"/>
                    </w:rPr>
                    <w:t>自动打标机</w:t>
                  </w:r>
                </w:p>
              </w:tc>
              <w:tc>
                <w:tcPr>
                  <w:tcW w:w="958" w:type="dxa"/>
                  <w:tcBorders>
                    <w:tl2br w:val="nil"/>
                    <w:tr2bl w:val="nil"/>
                  </w:tcBorders>
                  <w:shd w:val="clear" w:color="auto" w:fill="auto"/>
                  <w:vAlign w:val="center"/>
                </w:tcPr>
                <w:p w14:paraId="7DA948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105sIplus</w:t>
                  </w:r>
                </w:p>
              </w:tc>
              <w:tc>
                <w:tcPr>
                  <w:tcW w:w="797" w:type="dxa"/>
                  <w:tcBorders>
                    <w:tl2br w:val="nil"/>
                    <w:tr2bl w:val="nil"/>
                  </w:tcBorders>
                  <w:shd w:val="clear" w:color="auto" w:fill="auto"/>
                  <w:vAlign w:val="center"/>
                </w:tcPr>
                <w:p w14:paraId="46CF1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pacing w:val="0"/>
                      <w:sz w:val="21"/>
                      <w:szCs w:val="21"/>
                      <w:highlight w:val="none"/>
                    </w:rPr>
                    <w:t>64</w:t>
                  </w:r>
                </w:p>
              </w:tc>
              <w:tc>
                <w:tcPr>
                  <w:tcW w:w="765" w:type="dxa"/>
                  <w:tcBorders>
                    <w:tl2br w:val="nil"/>
                    <w:tr2bl w:val="nil"/>
                  </w:tcBorders>
                  <w:shd w:val="clear" w:color="auto" w:fill="auto"/>
                  <w:vAlign w:val="center"/>
                </w:tcPr>
                <w:p w14:paraId="5B9DAE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59</w:t>
                  </w:r>
                </w:p>
              </w:tc>
              <w:tc>
                <w:tcPr>
                  <w:tcW w:w="840" w:type="dxa"/>
                  <w:tcBorders>
                    <w:tl2br w:val="nil"/>
                    <w:tr2bl w:val="nil"/>
                  </w:tcBorders>
                  <w:shd w:val="clear" w:color="auto" w:fill="auto"/>
                  <w:vAlign w:val="center"/>
                </w:tcPr>
                <w:p w14:paraId="72CD6A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-4</w:t>
                  </w:r>
                </w:p>
              </w:tc>
              <w:tc>
                <w:tcPr>
                  <w:tcW w:w="2080" w:type="dxa"/>
                  <w:vMerge w:val="restart"/>
                  <w:tcBorders>
                    <w:top w:val="single" w:color="auto" w:sz="4" w:space="0"/>
                    <w:tl2br w:val="nil"/>
                    <w:tr2bl w:val="nil"/>
                  </w:tcBorders>
                  <w:shd w:val="clear" w:color="auto" w:fill="auto"/>
                  <w:vAlign w:val="center"/>
                </w:tcPr>
                <w:p w14:paraId="1AA69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heme="majorEastAsia"/>
                      <w:b w:val="0"/>
                      <w:bCs w:val="0"/>
                      <w:color w:val="auto"/>
                      <w:kern w:val="2"/>
                      <w:sz w:val="21"/>
                      <w:szCs w:val="21"/>
                      <w:highlight w:val="none"/>
                      <w:lang w:val="en-US" w:eastAsia="zh-CN" w:bidi="ar-SA"/>
                    </w:rPr>
                    <w:t>将4台自动打标机升级为半自动打标切割装置，</w:t>
                  </w:r>
                  <w:r>
                    <w:rPr>
                      <w:rFonts w:hint="eastAsia" w:ascii="Times New Roman" w:hAnsi="Times New Roman" w:eastAsia="宋体" w:cs="Times New Roman"/>
                      <w:b w:val="0"/>
                      <w:bCs w:val="0"/>
                      <w:i w:val="0"/>
                      <w:iCs w:val="0"/>
                      <w:color w:val="auto"/>
                      <w:spacing w:val="0"/>
                      <w:sz w:val="21"/>
                      <w:szCs w:val="21"/>
                      <w:highlight w:val="none"/>
                      <w:u w:val="none"/>
                      <w:lang w:val="en-US" w:eastAsia="zh-CN"/>
                    </w:rPr>
                    <w:t>采用新附件模板</w:t>
                  </w:r>
                </w:p>
              </w:tc>
            </w:tr>
            <w:tr w14:paraId="62492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B52D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26</w:t>
                  </w:r>
                </w:p>
              </w:tc>
              <w:tc>
                <w:tcPr>
                  <w:tcW w:w="587" w:type="dxa"/>
                  <w:vMerge w:val="continue"/>
                  <w:tcBorders>
                    <w:tl2br w:val="nil"/>
                    <w:tr2bl w:val="nil"/>
                  </w:tcBorders>
                  <w:shd w:val="clear" w:color="auto" w:fill="auto"/>
                  <w:vAlign w:val="center"/>
                </w:tcPr>
                <w:p w14:paraId="324C3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605F6BE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b w:val="0"/>
                      <w:bCs w:val="0"/>
                      <w:color w:val="auto"/>
                      <w:spacing w:val="0"/>
                      <w:sz w:val="21"/>
                      <w:szCs w:val="21"/>
                      <w:highlight w:val="none"/>
                    </w:rPr>
                  </w:pPr>
                  <w:r>
                    <w:rPr>
                      <w:rFonts w:hint="eastAsia" w:ascii="Times New Roman" w:hAnsi="Times New Roman" w:eastAsia="宋体"/>
                      <w:b w:val="0"/>
                      <w:bCs w:val="0"/>
                      <w:color w:val="auto"/>
                      <w:highlight w:val="none"/>
                      <w:lang w:eastAsia="zh-CN"/>
                    </w:rPr>
                    <w:t>半自动打标切割装置</w:t>
                  </w:r>
                </w:p>
              </w:tc>
              <w:tc>
                <w:tcPr>
                  <w:tcW w:w="958" w:type="dxa"/>
                  <w:tcBorders>
                    <w:tl2br w:val="nil"/>
                    <w:tr2bl w:val="nil"/>
                  </w:tcBorders>
                  <w:shd w:val="clear" w:color="auto" w:fill="auto"/>
                  <w:vAlign w:val="center"/>
                </w:tcPr>
                <w:p w14:paraId="23AA35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pacing w:val="0"/>
                      <w:sz w:val="21"/>
                      <w:szCs w:val="21"/>
                      <w:highlight w:val="none"/>
                    </w:rPr>
                  </w:pPr>
                  <w:r>
                    <w:rPr>
                      <w:rFonts w:hint="eastAsia" w:ascii="Times New Roman" w:hAnsi="Times New Roman" w:eastAsia="宋体" w:cs="Times New Roman"/>
                      <w:b w:val="0"/>
                      <w:bCs w:val="0"/>
                      <w:color w:val="auto"/>
                      <w:szCs w:val="21"/>
                      <w:highlight w:val="none"/>
                      <w:lang w:val="en-US" w:eastAsia="zh-CN"/>
                    </w:rPr>
                    <w:t>/</w:t>
                  </w:r>
                </w:p>
              </w:tc>
              <w:tc>
                <w:tcPr>
                  <w:tcW w:w="797" w:type="dxa"/>
                  <w:tcBorders>
                    <w:tl2br w:val="nil"/>
                    <w:tr2bl w:val="nil"/>
                  </w:tcBorders>
                  <w:shd w:val="clear" w:color="auto" w:fill="auto"/>
                  <w:vAlign w:val="center"/>
                </w:tcPr>
                <w:p w14:paraId="3AD7FA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pacing w:val="0"/>
                      <w:sz w:val="21"/>
                      <w:szCs w:val="21"/>
                      <w:highlight w:val="none"/>
                    </w:rPr>
                  </w:pPr>
                  <w:r>
                    <w:rPr>
                      <w:rFonts w:hint="eastAsia" w:ascii="Times New Roman" w:hAnsi="Times New Roman" w:eastAsia="宋体" w:cs="Times New Roman"/>
                      <w:b w:val="0"/>
                      <w:bCs w:val="0"/>
                      <w:color w:val="auto"/>
                      <w:szCs w:val="21"/>
                      <w:highlight w:val="none"/>
                    </w:rPr>
                    <w:t>0</w:t>
                  </w:r>
                </w:p>
              </w:tc>
              <w:tc>
                <w:tcPr>
                  <w:tcW w:w="765" w:type="dxa"/>
                  <w:tcBorders>
                    <w:tl2br w:val="nil"/>
                    <w:tr2bl w:val="nil"/>
                  </w:tcBorders>
                  <w:shd w:val="clear" w:color="auto" w:fill="auto"/>
                  <w:vAlign w:val="center"/>
                </w:tcPr>
                <w:p w14:paraId="2892C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pacing w:val="0"/>
                      <w:sz w:val="21"/>
                      <w:szCs w:val="21"/>
                      <w:highlight w:val="none"/>
                    </w:rPr>
                  </w:pPr>
                  <w:r>
                    <w:rPr>
                      <w:rFonts w:hint="eastAsia" w:ascii="Times New Roman" w:hAnsi="Times New Roman" w:eastAsia="宋体" w:cs="Times New Roman"/>
                      <w:b w:val="0"/>
                      <w:bCs w:val="0"/>
                      <w:color w:val="auto"/>
                      <w:szCs w:val="21"/>
                      <w:highlight w:val="none"/>
                    </w:rPr>
                    <w:t>4</w:t>
                  </w:r>
                </w:p>
              </w:tc>
              <w:tc>
                <w:tcPr>
                  <w:tcW w:w="840" w:type="dxa"/>
                  <w:tcBorders>
                    <w:tl2br w:val="nil"/>
                    <w:tr2bl w:val="nil"/>
                  </w:tcBorders>
                  <w:shd w:val="clear" w:color="auto" w:fill="auto"/>
                  <w:vAlign w:val="center"/>
                </w:tcPr>
                <w:p w14:paraId="64532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color w:val="auto"/>
                      <w:szCs w:val="21"/>
                      <w:highlight w:val="none"/>
                    </w:rPr>
                    <w:t>+4</w:t>
                  </w:r>
                </w:p>
              </w:tc>
              <w:tc>
                <w:tcPr>
                  <w:tcW w:w="2080" w:type="dxa"/>
                  <w:vMerge w:val="continue"/>
                  <w:tcBorders>
                    <w:bottom w:val="single" w:color="auto" w:sz="4" w:space="0"/>
                    <w:tl2br w:val="nil"/>
                    <w:tr2bl w:val="nil"/>
                  </w:tcBorders>
                  <w:shd w:val="clear" w:color="auto" w:fill="auto"/>
                  <w:vAlign w:val="center"/>
                </w:tcPr>
                <w:p w14:paraId="393E62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4275BA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EA22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27</w:t>
                  </w:r>
                </w:p>
              </w:tc>
              <w:tc>
                <w:tcPr>
                  <w:tcW w:w="587" w:type="dxa"/>
                  <w:vMerge w:val="continue"/>
                  <w:tcBorders>
                    <w:tl2br w:val="nil"/>
                    <w:tr2bl w:val="nil"/>
                  </w:tcBorders>
                  <w:shd w:val="clear" w:color="auto" w:fill="auto"/>
                  <w:vAlign w:val="center"/>
                </w:tcPr>
                <w:p w14:paraId="5C8CF6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5AA314E0">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i w:val="0"/>
                      <w:iCs w:val="0"/>
                      <w:color w:val="auto"/>
                      <w:spacing w:val="0"/>
                      <w:sz w:val="21"/>
                      <w:szCs w:val="21"/>
                      <w:highlight w:val="none"/>
                      <w:u w:val="none"/>
                      <w:lang w:eastAsia="zh-CN"/>
                    </w:rPr>
                  </w:pPr>
                  <w:r>
                    <w:rPr>
                      <w:rFonts w:hint="default" w:ascii="Times New Roman" w:hAnsi="Times New Roman" w:eastAsia="宋体"/>
                      <w:b w:val="0"/>
                      <w:bCs w:val="0"/>
                      <w:color w:val="auto"/>
                      <w:highlight w:val="none"/>
                    </w:rPr>
                    <w:t>后处理线</w:t>
                  </w:r>
                  <w:r>
                    <w:rPr>
                      <w:rFonts w:hint="eastAsia" w:ascii="Times New Roman" w:hAnsi="Times New Roman" w:eastAsia="宋体"/>
                      <w:b w:val="0"/>
                      <w:bCs w:val="0"/>
                      <w:color w:val="auto"/>
                      <w:highlight w:val="none"/>
                      <w:lang w:eastAsia="zh-CN"/>
                    </w:rPr>
                    <w:t>（</w:t>
                  </w:r>
                  <w:r>
                    <w:rPr>
                      <w:rFonts w:hint="eastAsia" w:ascii="Times New Roman" w:hAnsi="Times New Roman" w:eastAsia="宋体"/>
                      <w:b w:val="0"/>
                      <w:bCs w:val="0"/>
                      <w:color w:val="auto"/>
                      <w:highlight w:val="none"/>
                      <w:lang w:val="en-US" w:eastAsia="zh-CN"/>
                    </w:rPr>
                    <w:t>有清洗线</w:t>
                  </w:r>
                  <w:r>
                    <w:rPr>
                      <w:rFonts w:hint="eastAsia" w:ascii="Times New Roman" w:hAnsi="Times New Roman" w:eastAsia="宋体"/>
                      <w:b w:val="0"/>
                      <w:bCs w:val="0"/>
                      <w:color w:val="auto"/>
                      <w:highlight w:val="none"/>
                      <w:lang w:eastAsia="zh-CN"/>
                    </w:rPr>
                    <w:t>）</w:t>
                  </w:r>
                </w:p>
              </w:tc>
              <w:tc>
                <w:tcPr>
                  <w:tcW w:w="958" w:type="dxa"/>
                  <w:tcBorders>
                    <w:tl2br w:val="nil"/>
                    <w:tr2bl w:val="nil"/>
                  </w:tcBorders>
                  <w:shd w:val="clear" w:color="auto" w:fill="auto"/>
                  <w:vAlign w:val="center"/>
                </w:tcPr>
                <w:p w14:paraId="1CDBB83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highlight w:val="none"/>
                    </w:rPr>
                    <w:t>定制</w:t>
                  </w:r>
                </w:p>
              </w:tc>
              <w:tc>
                <w:tcPr>
                  <w:tcW w:w="797" w:type="dxa"/>
                  <w:tcBorders>
                    <w:tl2br w:val="nil"/>
                    <w:tr2bl w:val="nil"/>
                  </w:tcBorders>
                  <w:shd w:val="clear" w:color="auto" w:fill="auto"/>
                  <w:vAlign w:val="center"/>
                </w:tcPr>
                <w:p w14:paraId="1D76C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zCs w:val="21"/>
                      <w:highlight w:val="none"/>
                    </w:rPr>
                    <w:t>14</w:t>
                  </w:r>
                </w:p>
              </w:tc>
              <w:tc>
                <w:tcPr>
                  <w:tcW w:w="765" w:type="dxa"/>
                  <w:tcBorders>
                    <w:tl2br w:val="nil"/>
                    <w:tr2bl w:val="nil"/>
                  </w:tcBorders>
                  <w:shd w:val="clear" w:color="auto" w:fill="auto"/>
                  <w:vAlign w:val="center"/>
                </w:tcPr>
                <w:p w14:paraId="02D91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b w:val="0"/>
                      <w:bCs w:val="0"/>
                      <w:color w:val="auto"/>
                      <w:highlight w:val="none"/>
                    </w:rPr>
                  </w:pPr>
                  <w:r>
                    <w:rPr>
                      <w:rFonts w:hint="eastAsia"/>
                      <w:b w:val="0"/>
                      <w:bCs w:val="0"/>
                      <w:color w:val="auto"/>
                      <w:highlight w:val="none"/>
                      <w:lang w:val="en-US" w:eastAsia="zh-CN"/>
                    </w:rPr>
                    <w:t>0</w:t>
                  </w:r>
                </w:p>
              </w:tc>
              <w:tc>
                <w:tcPr>
                  <w:tcW w:w="840" w:type="dxa"/>
                  <w:tcBorders>
                    <w:bottom w:val="single" w:color="auto" w:sz="4" w:space="0"/>
                    <w:tl2br w:val="nil"/>
                    <w:tr2bl w:val="nil"/>
                  </w:tcBorders>
                  <w:shd w:val="clear" w:color="auto" w:fill="auto"/>
                  <w:vAlign w:val="center"/>
                </w:tcPr>
                <w:p w14:paraId="7D3ABB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cs="Times New Roman"/>
                      <w:b w:val="0"/>
                      <w:bCs w:val="0"/>
                      <w:i w:val="0"/>
                      <w:iCs w:val="0"/>
                      <w:color w:val="auto"/>
                      <w:spacing w:val="0"/>
                      <w:sz w:val="21"/>
                      <w:szCs w:val="21"/>
                      <w:highlight w:val="none"/>
                      <w:u w:val="none"/>
                      <w:lang w:val="en-US" w:eastAsia="zh-CN"/>
                    </w:rPr>
                    <w:t>-14</w:t>
                  </w:r>
                </w:p>
              </w:tc>
              <w:tc>
                <w:tcPr>
                  <w:tcW w:w="2080" w:type="dxa"/>
                  <w:vMerge w:val="restart"/>
                  <w:tcBorders>
                    <w:top w:val="single" w:color="auto" w:sz="4" w:space="0"/>
                    <w:tl2br w:val="nil"/>
                    <w:tr2bl w:val="nil"/>
                  </w:tcBorders>
                  <w:shd w:val="clear" w:color="auto" w:fill="auto"/>
                  <w:vAlign w:val="center"/>
                </w:tcPr>
                <w:p w14:paraId="57D44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default" w:ascii="Times New Roman" w:hAnsi="Times New Roman" w:eastAsia="宋体" w:cs="Times New Roman"/>
                      <w:b w:val="0"/>
                      <w:bCs w:val="0"/>
                      <w:i w:val="0"/>
                      <w:iCs w:val="0"/>
                      <w:color w:val="auto"/>
                      <w:spacing w:val="0"/>
                      <w:sz w:val="21"/>
                      <w:szCs w:val="21"/>
                      <w:highlight w:val="none"/>
                      <w:u w:val="none"/>
                      <w:lang w:val="en-US" w:eastAsia="zh-CN"/>
                    </w:rPr>
                    <w:t>企业</w:t>
                  </w:r>
                  <w:r>
                    <w:rPr>
                      <w:rFonts w:hint="eastAsia" w:cs="Times New Roman"/>
                      <w:b w:val="0"/>
                      <w:bCs w:val="0"/>
                      <w:i w:val="0"/>
                      <w:iCs w:val="0"/>
                      <w:color w:val="auto"/>
                      <w:spacing w:val="0"/>
                      <w:sz w:val="21"/>
                      <w:szCs w:val="21"/>
                      <w:highlight w:val="none"/>
                      <w:u w:val="none"/>
                      <w:lang w:val="en-US" w:eastAsia="zh-CN"/>
                    </w:rPr>
                    <w:t>拟</w:t>
                  </w:r>
                  <w:r>
                    <w:rPr>
                      <w:rFonts w:hint="default" w:ascii="Times New Roman" w:hAnsi="Times New Roman" w:eastAsia="宋体" w:cs="Times New Roman"/>
                      <w:b w:val="0"/>
                      <w:bCs w:val="0"/>
                      <w:i w:val="0"/>
                      <w:iCs w:val="0"/>
                      <w:color w:val="auto"/>
                      <w:spacing w:val="0"/>
                      <w:sz w:val="21"/>
                      <w:szCs w:val="21"/>
                      <w:highlight w:val="none"/>
                      <w:u w:val="none"/>
                      <w:lang w:val="en-US" w:eastAsia="zh-CN"/>
                    </w:rPr>
                    <w:t>取消原后处理线清洗工序，通过延长甩干时长保障产品质量稳定性，因工艺时序调整导致单机产能下降，故本次</w:t>
                  </w:r>
                  <w:r>
                    <w:rPr>
                      <w:rFonts w:hint="eastAsia" w:cs="Times New Roman"/>
                      <w:b w:val="0"/>
                      <w:bCs w:val="0"/>
                      <w:i w:val="0"/>
                      <w:iCs w:val="0"/>
                      <w:color w:val="auto"/>
                      <w:spacing w:val="0"/>
                      <w:sz w:val="21"/>
                      <w:szCs w:val="21"/>
                      <w:highlight w:val="none"/>
                      <w:u w:val="none"/>
                      <w:lang w:val="en-US" w:eastAsia="zh-CN"/>
                    </w:rPr>
                    <w:t>技术改造</w:t>
                  </w:r>
                  <w:r>
                    <w:rPr>
                      <w:rFonts w:hint="default" w:ascii="Times New Roman" w:hAnsi="Times New Roman" w:eastAsia="宋体" w:cs="Times New Roman"/>
                      <w:b w:val="0"/>
                      <w:bCs w:val="0"/>
                      <w:i w:val="0"/>
                      <w:iCs w:val="0"/>
                      <w:color w:val="auto"/>
                      <w:spacing w:val="0"/>
                      <w:sz w:val="21"/>
                      <w:szCs w:val="21"/>
                      <w:highlight w:val="none"/>
                      <w:u w:val="none"/>
                      <w:lang w:val="en-US" w:eastAsia="zh-CN"/>
                    </w:rPr>
                    <w:t>后处理线设备配置数量较原产线实现倍增</w:t>
                  </w:r>
                </w:p>
              </w:tc>
            </w:tr>
            <w:tr w14:paraId="7E34EA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1889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28</w:t>
                  </w:r>
                </w:p>
              </w:tc>
              <w:tc>
                <w:tcPr>
                  <w:tcW w:w="587" w:type="dxa"/>
                  <w:vMerge w:val="continue"/>
                  <w:tcBorders>
                    <w:tl2br w:val="nil"/>
                    <w:tr2bl w:val="nil"/>
                  </w:tcBorders>
                  <w:shd w:val="clear" w:color="auto" w:fill="auto"/>
                  <w:vAlign w:val="center"/>
                </w:tcPr>
                <w:p w14:paraId="4D8EC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508DD421">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后处理线（无清洗）</w:t>
                  </w:r>
                </w:p>
              </w:tc>
              <w:tc>
                <w:tcPr>
                  <w:tcW w:w="958" w:type="dxa"/>
                  <w:tcBorders>
                    <w:tl2br w:val="nil"/>
                    <w:tr2bl w:val="nil"/>
                  </w:tcBorders>
                  <w:shd w:val="clear" w:color="auto" w:fill="auto"/>
                  <w:vAlign w:val="center"/>
                </w:tcPr>
                <w:p w14:paraId="2BA9B9E6">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定制</w:t>
                  </w:r>
                </w:p>
              </w:tc>
              <w:tc>
                <w:tcPr>
                  <w:tcW w:w="797" w:type="dxa"/>
                  <w:tcBorders>
                    <w:tl2br w:val="nil"/>
                    <w:tr2bl w:val="nil"/>
                  </w:tcBorders>
                  <w:shd w:val="clear" w:color="auto" w:fill="auto"/>
                  <w:vAlign w:val="center"/>
                </w:tcPr>
                <w:p w14:paraId="70E37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w:t>
                  </w:r>
                </w:p>
              </w:tc>
              <w:tc>
                <w:tcPr>
                  <w:tcW w:w="765" w:type="dxa"/>
                  <w:tcBorders>
                    <w:tl2br w:val="nil"/>
                    <w:tr2bl w:val="nil"/>
                  </w:tcBorders>
                  <w:shd w:val="clear" w:color="auto" w:fill="auto"/>
                  <w:vAlign w:val="center"/>
                </w:tcPr>
                <w:p w14:paraId="4A7D3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63</w:t>
                  </w:r>
                </w:p>
              </w:tc>
              <w:tc>
                <w:tcPr>
                  <w:tcW w:w="840" w:type="dxa"/>
                  <w:tcBorders>
                    <w:bottom w:val="single" w:color="auto" w:sz="4" w:space="0"/>
                    <w:tl2br w:val="nil"/>
                    <w:tr2bl w:val="nil"/>
                  </w:tcBorders>
                  <w:shd w:val="clear" w:color="auto" w:fill="auto"/>
                  <w:vAlign w:val="center"/>
                </w:tcPr>
                <w:p w14:paraId="1B0B8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w:t>
                  </w:r>
                  <w:r>
                    <w:rPr>
                      <w:rFonts w:hint="eastAsia" w:cs="Times New Roman"/>
                      <w:b w:val="0"/>
                      <w:bCs w:val="0"/>
                      <w:color w:val="auto"/>
                      <w:szCs w:val="21"/>
                      <w:highlight w:val="none"/>
                      <w:lang w:val="en-US" w:eastAsia="zh-CN"/>
                    </w:rPr>
                    <w:t>63</w:t>
                  </w:r>
                </w:p>
              </w:tc>
              <w:tc>
                <w:tcPr>
                  <w:tcW w:w="2080" w:type="dxa"/>
                  <w:vMerge w:val="continue"/>
                  <w:tcBorders>
                    <w:bottom w:val="single" w:color="auto" w:sz="4" w:space="0"/>
                    <w:tl2br w:val="nil"/>
                    <w:tr2bl w:val="nil"/>
                  </w:tcBorders>
                  <w:shd w:val="clear" w:color="auto" w:fill="auto"/>
                  <w:vAlign w:val="center"/>
                </w:tcPr>
                <w:p w14:paraId="7F498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val="0"/>
                      <w:bCs w:val="0"/>
                      <w:i w:val="0"/>
                      <w:iCs w:val="0"/>
                      <w:color w:val="auto"/>
                      <w:spacing w:val="0"/>
                      <w:sz w:val="21"/>
                      <w:szCs w:val="21"/>
                      <w:highlight w:val="none"/>
                      <w:u w:val="none"/>
                      <w:lang w:val="en-US" w:eastAsia="zh-CN"/>
                    </w:rPr>
                  </w:pPr>
                </w:p>
              </w:tc>
            </w:tr>
            <w:tr w14:paraId="7EE641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1DD4C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29</w:t>
                  </w:r>
                </w:p>
              </w:tc>
              <w:tc>
                <w:tcPr>
                  <w:tcW w:w="587" w:type="dxa"/>
                  <w:vMerge w:val="continue"/>
                  <w:tcBorders>
                    <w:tl2br w:val="nil"/>
                    <w:tr2bl w:val="nil"/>
                  </w:tcBorders>
                  <w:shd w:val="clear" w:color="auto" w:fill="auto"/>
                  <w:vAlign w:val="center"/>
                </w:tcPr>
                <w:p w14:paraId="137AE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9E63C3A">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b w:val="0"/>
                      <w:bCs w:val="0"/>
                      <w:color w:val="auto"/>
                      <w:highlight w:val="none"/>
                    </w:rPr>
                    <w:t>抛光机</w:t>
                  </w:r>
                </w:p>
              </w:tc>
              <w:tc>
                <w:tcPr>
                  <w:tcW w:w="958" w:type="dxa"/>
                  <w:tcBorders>
                    <w:tl2br w:val="nil"/>
                    <w:tr2bl w:val="nil"/>
                  </w:tcBorders>
                  <w:shd w:val="clear" w:color="auto" w:fill="auto"/>
                  <w:vAlign w:val="center"/>
                </w:tcPr>
                <w:p w14:paraId="01E191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position w:val="1"/>
                      <w:szCs w:val="21"/>
                      <w:highlight w:val="none"/>
                    </w:rPr>
                    <w:t>/</w:t>
                  </w:r>
                </w:p>
              </w:tc>
              <w:tc>
                <w:tcPr>
                  <w:tcW w:w="797" w:type="dxa"/>
                  <w:tcBorders>
                    <w:tl2br w:val="nil"/>
                    <w:tr2bl w:val="nil"/>
                  </w:tcBorders>
                  <w:shd w:val="clear" w:color="auto" w:fill="auto"/>
                  <w:vAlign w:val="center"/>
                </w:tcPr>
                <w:p w14:paraId="4089F5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i w:val="0"/>
                      <w:iCs w:val="0"/>
                      <w:color w:val="auto"/>
                      <w:spacing w:val="0"/>
                      <w:sz w:val="21"/>
                      <w:szCs w:val="21"/>
                      <w:highlight w:val="none"/>
                      <w:u w:val="none"/>
                    </w:rPr>
                  </w:pPr>
                  <w:r>
                    <w:rPr>
                      <w:rFonts w:hint="default" w:ascii="Times New Roman" w:hAnsi="Times New Roman" w:eastAsia="宋体" w:cs="Times New Roman"/>
                      <w:b w:val="0"/>
                      <w:bCs w:val="0"/>
                      <w:color w:val="auto"/>
                      <w:szCs w:val="21"/>
                      <w:highlight w:val="none"/>
                    </w:rPr>
                    <w:t>80</w:t>
                  </w:r>
                </w:p>
              </w:tc>
              <w:tc>
                <w:tcPr>
                  <w:tcW w:w="765" w:type="dxa"/>
                  <w:tcBorders>
                    <w:tl2br w:val="nil"/>
                    <w:tr2bl w:val="nil"/>
                  </w:tcBorders>
                  <w:shd w:val="clear" w:color="auto" w:fill="auto"/>
                  <w:vAlign w:val="center"/>
                </w:tcPr>
                <w:p w14:paraId="605DF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val="0"/>
                      <w:bCs w:val="0"/>
                      <w:i w:val="0"/>
                      <w:iCs w:val="0"/>
                      <w:color w:val="auto"/>
                      <w:spacing w:val="0"/>
                      <w:kern w:val="2"/>
                      <w:sz w:val="21"/>
                      <w:szCs w:val="21"/>
                      <w:highlight w:val="none"/>
                      <w:u w:val="none"/>
                      <w:lang w:val="en-US" w:eastAsia="zh-CN" w:bidi="ar-SA"/>
                    </w:rPr>
                    <w:t>77</w:t>
                  </w:r>
                </w:p>
              </w:tc>
              <w:tc>
                <w:tcPr>
                  <w:tcW w:w="840" w:type="dxa"/>
                  <w:tcBorders>
                    <w:top w:val="single" w:color="auto" w:sz="4" w:space="0"/>
                    <w:tl2br w:val="nil"/>
                    <w:tr2bl w:val="nil"/>
                  </w:tcBorders>
                  <w:shd w:val="clear" w:color="auto" w:fill="auto"/>
                  <w:vAlign w:val="center"/>
                </w:tcPr>
                <w:p w14:paraId="598E9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imes New Roman"/>
                      <w:b w:val="0"/>
                      <w:bCs w:val="0"/>
                      <w:i w:val="0"/>
                      <w:iCs w:val="0"/>
                      <w:color w:val="auto"/>
                      <w:spacing w:val="0"/>
                      <w:sz w:val="21"/>
                      <w:szCs w:val="21"/>
                      <w:highlight w:val="none"/>
                      <w:u w:val="none"/>
                      <w:lang w:val="en-US" w:eastAsia="zh-CN"/>
                    </w:rPr>
                    <w:t>-3</w:t>
                  </w:r>
                </w:p>
              </w:tc>
              <w:tc>
                <w:tcPr>
                  <w:tcW w:w="2080" w:type="dxa"/>
                  <w:vMerge w:val="restart"/>
                  <w:tcBorders>
                    <w:top w:val="single" w:color="auto" w:sz="4" w:space="0"/>
                    <w:tl2br w:val="nil"/>
                    <w:tr2bl w:val="nil"/>
                  </w:tcBorders>
                  <w:shd w:val="clear" w:color="auto" w:fill="auto"/>
                  <w:vAlign w:val="center"/>
                </w:tcPr>
                <w:p w14:paraId="00617D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default" w:ascii="Times New Roman" w:hAnsi="Times New Roman" w:eastAsia="宋体" w:cs="Times New Roman"/>
                      <w:b w:val="0"/>
                      <w:bCs w:val="0"/>
                      <w:i w:val="0"/>
                      <w:iCs w:val="0"/>
                      <w:color w:val="auto"/>
                      <w:spacing w:val="0"/>
                      <w:sz w:val="21"/>
                      <w:szCs w:val="21"/>
                      <w:highlight w:val="none"/>
                      <w:u w:val="none"/>
                      <w:lang w:val="en-US" w:eastAsia="zh-CN"/>
                    </w:rPr>
                  </w:pPr>
                  <w:r>
                    <w:rPr>
                      <w:rFonts w:hint="eastAsia" w:ascii="Times New Roman" w:hAnsi="Times New Roman" w:eastAsia="宋体" w:cstheme="majorEastAsia"/>
                      <w:b w:val="0"/>
                      <w:bCs w:val="0"/>
                      <w:color w:val="auto"/>
                      <w:kern w:val="2"/>
                      <w:sz w:val="21"/>
                      <w:szCs w:val="21"/>
                      <w:highlight w:val="none"/>
                      <w:lang w:val="en-US" w:eastAsia="zh-CN" w:bidi="ar-SA"/>
                    </w:rPr>
                    <w:t>在现有的抛光基础上进行二次精细抛光</w:t>
                  </w:r>
                </w:p>
              </w:tc>
            </w:tr>
            <w:tr w14:paraId="630DB4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4D648A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eastAsia" w:ascii="Times New Roman" w:hAnsi="Times New Roman" w:eastAsia="宋体" w:cs="Times New Roman"/>
                      <w:b/>
                      <w:bCs/>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bCs/>
                      <w:i w:val="0"/>
                      <w:iCs w:val="0"/>
                      <w:color w:val="auto"/>
                      <w:spacing w:val="0"/>
                      <w:kern w:val="2"/>
                      <w:sz w:val="21"/>
                      <w:szCs w:val="21"/>
                      <w:highlight w:val="none"/>
                      <w:u w:val="none"/>
                      <w:lang w:val="en-US" w:eastAsia="zh-CN" w:bidi="ar-SA"/>
                    </w:rPr>
                    <w:t>30</w:t>
                  </w:r>
                </w:p>
              </w:tc>
              <w:tc>
                <w:tcPr>
                  <w:tcW w:w="587" w:type="dxa"/>
                  <w:vMerge w:val="continue"/>
                  <w:tcBorders>
                    <w:tl2br w:val="nil"/>
                    <w:tr2bl w:val="nil"/>
                  </w:tcBorders>
                  <w:shd w:val="clear" w:color="auto" w:fill="auto"/>
                  <w:vAlign w:val="center"/>
                </w:tcPr>
                <w:p w14:paraId="2F40E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b/>
                      <w:bCs/>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4A49E8A3">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b/>
                      <w:bCs/>
                      <w:color w:val="auto"/>
                      <w:highlight w:val="none"/>
                      <w:lang w:val="en-US" w:eastAsia="zh-CN"/>
                    </w:rPr>
                  </w:pPr>
                  <w:r>
                    <w:rPr>
                      <w:rFonts w:hint="eastAsia" w:ascii="Times New Roman" w:hAnsi="Times New Roman" w:eastAsia="宋体"/>
                      <w:b/>
                      <w:bCs/>
                      <w:color w:val="auto"/>
                      <w:highlight w:val="none"/>
                      <w:lang w:val="en-US" w:eastAsia="zh-CN"/>
                    </w:rPr>
                    <w:t>新型抛光机</w:t>
                  </w:r>
                </w:p>
              </w:tc>
              <w:tc>
                <w:tcPr>
                  <w:tcW w:w="958" w:type="dxa"/>
                  <w:tcBorders>
                    <w:tl2br w:val="nil"/>
                    <w:tr2bl w:val="nil"/>
                  </w:tcBorders>
                  <w:shd w:val="clear" w:color="auto" w:fill="auto"/>
                  <w:vAlign w:val="center"/>
                </w:tcPr>
                <w:p w14:paraId="1C3E96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bCs/>
                      <w:color w:val="auto"/>
                      <w:position w:val="1"/>
                      <w:szCs w:val="21"/>
                      <w:highlight w:val="none"/>
                      <w:lang w:val="en-US" w:eastAsia="zh-CN"/>
                    </w:rPr>
                  </w:pPr>
                  <w:r>
                    <w:rPr>
                      <w:rFonts w:hint="eastAsia" w:ascii="Times New Roman" w:hAnsi="Times New Roman" w:eastAsia="宋体" w:cs="Times New Roman"/>
                      <w:b/>
                      <w:bCs/>
                      <w:color w:val="auto"/>
                      <w:position w:val="1"/>
                      <w:szCs w:val="21"/>
                      <w:highlight w:val="none"/>
                      <w:lang w:val="en-US" w:eastAsia="zh-CN"/>
                    </w:rPr>
                    <w:t>/</w:t>
                  </w:r>
                </w:p>
              </w:tc>
              <w:tc>
                <w:tcPr>
                  <w:tcW w:w="797" w:type="dxa"/>
                  <w:tcBorders>
                    <w:tl2br w:val="nil"/>
                    <w:tr2bl w:val="nil"/>
                  </w:tcBorders>
                  <w:shd w:val="clear" w:color="auto" w:fill="auto"/>
                  <w:vAlign w:val="center"/>
                </w:tcPr>
                <w:p w14:paraId="41B36F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0</w:t>
                  </w:r>
                </w:p>
              </w:tc>
              <w:tc>
                <w:tcPr>
                  <w:tcW w:w="765" w:type="dxa"/>
                  <w:tcBorders>
                    <w:tl2br w:val="nil"/>
                    <w:tr2bl w:val="nil"/>
                  </w:tcBorders>
                  <w:shd w:val="clear" w:color="auto" w:fill="auto"/>
                  <w:vAlign w:val="center"/>
                </w:tcPr>
                <w:p w14:paraId="708664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bCs/>
                      <w:i w:val="0"/>
                      <w:iCs w:val="0"/>
                      <w:color w:val="auto"/>
                      <w:spacing w:val="0"/>
                      <w:kern w:val="2"/>
                      <w:sz w:val="21"/>
                      <w:szCs w:val="21"/>
                      <w:highlight w:val="none"/>
                      <w:u w:val="none"/>
                      <w:lang w:val="en-US" w:eastAsia="zh-CN" w:bidi="ar-SA"/>
                    </w:rPr>
                  </w:pPr>
                  <w:r>
                    <w:rPr>
                      <w:rFonts w:hint="eastAsia" w:ascii="Times New Roman" w:hAnsi="Times New Roman" w:eastAsia="宋体" w:cs="Times New Roman"/>
                      <w:b/>
                      <w:bCs/>
                      <w:i w:val="0"/>
                      <w:iCs w:val="0"/>
                      <w:color w:val="auto"/>
                      <w:spacing w:val="0"/>
                      <w:kern w:val="2"/>
                      <w:sz w:val="21"/>
                      <w:szCs w:val="21"/>
                      <w:highlight w:val="none"/>
                      <w:u w:val="none"/>
                      <w:lang w:val="en-US" w:eastAsia="zh-CN" w:bidi="ar-SA"/>
                    </w:rPr>
                    <w:t>150</w:t>
                  </w:r>
                </w:p>
              </w:tc>
              <w:tc>
                <w:tcPr>
                  <w:tcW w:w="840" w:type="dxa"/>
                  <w:tcBorders>
                    <w:top w:val="single" w:color="auto" w:sz="4" w:space="0"/>
                    <w:tl2br w:val="nil"/>
                    <w:tr2bl w:val="nil"/>
                  </w:tcBorders>
                  <w:shd w:val="clear" w:color="auto" w:fill="auto"/>
                  <w:vAlign w:val="center"/>
                </w:tcPr>
                <w:p w14:paraId="68438F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b/>
                      <w:bCs/>
                      <w:i w:val="0"/>
                      <w:iCs w:val="0"/>
                      <w:color w:val="auto"/>
                      <w:spacing w:val="0"/>
                      <w:sz w:val="21"/>
                      <w:szCs w:val="21"/>
                      <w:highlight w:val="none"/>
                      <w:u w:val="none"/>
                      <w:lang w:val="en-US" w:eastAsia="zh-CN"/>
                    </w:rPr>
                  </w:pPr>
                  <w:r>
                    <w:rPr>
                      <w:rFonts w:hint="eastAsia" w:ascii="Times New Roman" w:hAnsi="Times New Roman" w:eastAsia="宋体" w:cs="Times New Roman"/>
                      <w:b/>
                      <w:bCs/>
                      <w:i w:val="0"/>
                      <w:iCs w:val="0"/>
                      <w:color w:val="auto"/>
                      <w:spacing w:val="0"/>
                      <w:sz w:val="21"/>
                      <w:szCs w:val="21"/>
                      <w:highlight w:val="none"/>
                      <w:u w:val="none"/>
                      <w:lang w:val="en-US" w:eastAsia="zh-CN"/>
                    </w:rPr>
                    <w:t>+150</w:t>
                  </w:r>
                </w:p>
              </w:tc>
              <w:tc>
                <w:tcPr>
                  <w:tcW w:w="2080" w:type="dxa"/>
                  <w:vMerge w:val="continue"/>
                  <w:tcBorders>
                    <w:bottom w:val="single" w:color="auto" w:sz="4" w:space="0"/>
                    <w:tl2br w:val="nil"/>
                    <w:tr2bl w:val="nil"/>
                  </w:tcBorders>
                  <w:shd w:val="clear" w:color="auto" w:fill="auto"/>
                  <w:vAlign w:val="center"/>
                </w:tcPr>
                <w:p w14:paraId="00021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b/>
                      <w:bCs/>
                      <w:i w:val="0"/>
                      <w:iCs w:val="0"/>
                      <w:color w:val="auto"/>
                      <w:spacing w:val="0"/>
                      <w:sz w:val="21"/>
                      <w:szCs w:val="21"/>
                      <w:highlight w:val="none"/>
                      <w:u w:val="none"/>
                      <w:lang w:val="en-US" w:eastAsia="zh-CN"/>
                    </w:rPr>
                  </w:pPr>
                </w:p>
              </w:tc>
            </w:tr>
            <w:tr w14:paraId="38A94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2576CA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31</w:t>
                  </w:r>
                </w:p>
              </w:tc>
              <w:tc>
                <w:tcPr>
                  <w:tcW w:w="587" w:type="dxa"/>
                  <w:vMerge w:val="continue"/>
                  <w:tcBorders>
                    <w:tl2br w:val="nil"/>
                    <w:tr2bl w:val="nil"/>
                  </w:tcBorders>
                  <w:shd w:val="clear" w:color="auto" w:fill="auto"/>
                  <w:vAlign w:val="center"/>
                </w:tcPr>
                <w:p w14:paraId="5C8B27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D210A2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r>
                    <w:rPr>
                      <w:rFonts w:hint="eastAsia" w:ascii="Times New Roman" w:hAnsi="Times New Roman" w:eastAsia="宋体"/>
                      <w:color w:val="auto"/>
                      <w:spacing w:val="0"/>
                      <w:sz w:val="21"/>
                      <w:szCs w:val="21"/>
                      <w:highlight w:val="none"/>
                    </w:rPr>
                    <w:t>光固化模型自动化上料系统</w:t>
                  </w:r>
                </w:p>
              </w:tc>
              <w:tc>
                <w:tcPr>
                  <w:tcW w:w="958" w:type="dxa"/>
                  <w:tcBorders>
                    <w:tl2br w:val="nil"/>
                    <w:tr2bl w:val="nil"/>
                  </w:tcBorders>
                  <w:shd w:val="clear" w:color="auto" w:fill="auto"/>
                  <w:vAlign w:val="center"/>
                </w:tcPr>
                <w:p w14:paraId="59AC0D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6CCAA9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84</w:t>
                  </w:r>
                </w:p>
              </w:tc>
              <w:tc>
                <w:tcPr>
                  <w:tcW w:w="765" w:type="dxa"/>
                  <w:tcBorders>
                    <w:tl2br w:val="nil"/>
                    <w:tr2bl w:val="nil"/>
                  </w:tcBorders>
                  <w:shd w:val="clear" w:color="auto" w:fill="auto"/>
                  <w:vAlign w:val="center"/>
                </w:tcPr>
                <w:p w14:paraId="0E7DDF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84</w:t>
                  </w:r>
                </w:p>
              </w:tc>
              <w:tc>
                <w:tcPr>
                  <w:tcW w:w="840" w:type="dxa"/>
                  <w:tcBorders>
                    <w:tl2br w:val="nil"/>
                    <w:tr2bl w:val="nil"/>
                  </w:tcBorders>
                  <w:shd w:val="clear" w:color="auto" w:fill="auto"/>
                  <w:vAlign w:val="center"/>
                </w:tcPr>
                <w:p w14:paraId="72D2F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restart"/>
                  <w:tcBorders>
                    <w:top w:val="single" w:color="auto" w:sz="4" w:space="0"/>
                    <w:tl2br w:val="nil"/>
                    <w:tr2bl w:val="nil"/>
                  </w:tcBorders>
                  <w:shd w:val="clear" w:color="auto" w:fill="auto"/>
                  <w:vAlign w:val="center"/>
                </w:tcPr>
                <w:p w14:paraId="54CB4F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依托现有</w:t>
                  </w:r>
                </w:p>
              </w:tc>
            </w:tr>
            <w:tr w14:paraId="1CFEC4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1CA6E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32</w:t>
                  </w:r>
                </w:p>
              </w:tc>
              <w:tc>
                <w:tcPr>
                  <w:tcW w:w="587" w:type="dxa"/>
                  <w:vMerge w:val="continue"/>
                  <w:tcBorders>
                    <w:tl2br w:val="nil"/>
                    <w:tr2bl w:val="nil"/>
                  </w:tcBorders>
                  <w:shd w:val="clear" w:color="auto" w:fill="auto"/>
                  <w:vAlign w:val="center"/>
                </w:tcPr>
                <w:p w14:paraId="37A08E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6C68FA6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r>
                    <w:rPr>
                      <w:rFonts w:hint="eastAsia" w:ascii="Times New Roman" w:hAnsi="Times New Roman" w:eastAsia="宋体"/>
                      <w:color w:val="auto"/>
                      <w:spacing w:val="0"/>
                      <w:sz w:val="21"/>
                      <w:szCs w:val="21"/>
                      <w:highlight w:val="none"/>
                    </w:rPr>
                    <w:t>矫治器自动化上料系统</w:t>
                  </w:r>
                </w:p>
              </w:tc>
              <w:tc>
                <w:tcPr>
                  <w:tcW w:w="958" w:type="dxa"/>
                  <w:tcBorders>
                    <w:tl2br w:val="nil"/>
                    <w:tr2bl w:val="nil"/>
                  </w:tcBorders>
                  <w:shd w:val="clear" w:color="auto" w:fill="auto"/>
                  <w:vAlign w:val="center"/>
                </w:tcPr>
                <w:p w14:paraId="285B0D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3A94C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lang w:val="en-US" w:eastAsia="zh-CN"/>
                    </w:rPr>
                    <w:t>30</w:t>
                  </w:r>
                </w:p>
              </w:tc>
              <w:tc>
                <w:tcPr>
                  <w:tcW w:w="765" w:type="dxa"/>
                  <w:tcBorders>
                    <w:tl2br w:val="nil"/>
                    <w:tr2bl w:val="nil"/>
                  </w:tcBorders>
                  <w:shd w:val="clear" w:color="auto" w:fill="auto"/>
                  <w:vAlign w:val="center"/>
                </w:tcPr>
                <w:p w14:paraId="7B0B80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30</w:t>
                  </w:r>
                </w:p>
              </w:tc>
              <w:tc>
                <w:tcPr>
                  <w:tcW w:w="840" w:type="dxa"/>
                  <w:tcBorders>
                    <w:tl2br w:val="nil"/>
                    <w:tr2bl w:val="nil"/>
                  </w:tcBorders>
                  <w:shd w:val="clear" w:color="auto" w:fill="auto"/>
                  <w:vAlign w:val="center"/>
                </w:tcPr>
                <w:p w14:paraId="4E12EF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17FA1C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p>
              </w:tc>
            </w:tr>
            <w:tr w14:paraId="11F967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BB0F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33</w:t>
                  </w:r>
                </w:p>
              </w:tc>
              <w:tc>
                <w:tcPr>
                  <w:tcW w:w="587" w:type="dxa"/>
                  <w:vMerge w:val="continue"/>
                  <w:tcBorders>
                    <w:tl2br w:val="nil"/>
                    <w:tr2bl w:val="nil"/>
                  </w:tcBorders>
                  <w:shd w:val="clear" w:color="auto" w:fill="auto"/>
                  <w:vAlign w:val="center"/>
                </w:tcPr>
                <w:p w14:paraId="0DDEE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0E277D63">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r>
                    <w:rPr>
                      <w:rFonts w:hint="eastAsia" w:ascii="Times New Roman" w:hAnsi="Times New Roman" w:eastAsia="宋体"/>
                      <w:color w:val="auto"/>
                      <w:spacing w:val="0"/>
                      <w:sz w:val="21"/>
                      <w:szCs w:val="21"/>
                      <w:highlight w:val="none"/>
                    </w:rPr>
                    <w:t>光固化缺陷视觉检验系统</w:t>
                  </w:r>
                </w:p>
              </w:tc>
              <w:tc>
                <w:tcPr>
                  <w:tcW w:w="958" w:type="dxa"/>
                  <w:tcBorders>
                    <w:tl2br w:val="nil"/>
                    <w:tr2bl w:val="nil"/>
                  </w:tcBorders>
                  <w:shd w:val="clear" w:color="auto" w:fill="auto"/>
                  <w:vAlign w:val="center"/>
                </w:tcPr>
                <w:p w14:paraId="76A94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00BC8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16</w:t>
                  </w:r>
                </w:p>
              </w:tc>
              <w:tc>
                <w:tcPr>
                  <w:tcW w:w="765" w:type="dxa"/>
                  <w:tcBorders>
                    <w:tl2br w:val="nil"/>
                    <w:tr2bl w:val="nil"/>
                  </w:tcBorders>
                  <w:shd w:val="clear" w:color="auto" w:fill="auto"/>
                  <w:vAlign w:val="center"/>
                </w:tcPr>
                <w:p w14:paraId="201461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16</w:t>
                  </w:r>
                </w:p>
              </w:tc>
              <w:tc>
                <w:tcPr>
                  <w:tcW w:w="840" w:type="dxa"/>
                  <w:tcBorders>
                    <w:tl2br w:val="nil"/>
                    <w:tr2bl w:val="nil"/>
                  </w:tcBorders>
                  <w:shd w:val="clear" w:color="auto" w:fill="auto"/>
                  <w:vAlign w:val="center"/>
                </w:tcPr>
                <w:p w14:paraId="4E734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25E450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p>
              </w:tc>
            </w:tr>
            <w:tr w14:paraId="4A34D2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43CBCA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34</w:t>
                  </w:r>
                </w:p>
              </w:tc>
              <w:tc>
                <w:tcPr>
                  <w:tcW w:w="587" w:type="dxa"/>
                  <w:vMerge w:val="continue"/>
                  <w:tcBorders>
                    <w:tl2br w:val="nil"/>
                    <w:tr2bl w:val="nil"/>
                  </w:tcBorders>
                  <w:shd w:val="clear" w:color="auto" w:fill="auto"/>
                  <w:vAlign w:val="center"/>
                </w:tcPr>
                <w:p w14:paraId="6DA83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47E1932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r>
                    <w:rPr>
                      <w:rFonts w:hint="eastAsia" w:ascii="Times New Roman" w:hAnsi="Times New Roman" w:eastAsia="宋体"/>
                      <w:color w:val="auto"/>
                      <w:spacing w:val="0"/>
                      <w:sz w:val="21"/>
                      <w:szCs w:val="21"/>
                      <w:highlight w:val="none"/>
                    </w:rPr>
                    <w:t>矫治器成品视觉检验系统</w:t>
                  </w:r>
                </w:p>
              </w:tc>
              <w:tc>
                <w:tcPr>
                  <w:tcW w:w="958" w:type="dxa"/>
                  <w:tcBorders>
                    <w:tl2br w:val="nil"/>
                    <w:tr2bl w:val="nil"/>
                  </w:tcBorders>
                  <w:shd w:val="clear" w:color="auto" w:fill="auto"/>
                  <w:vAlign w:val="center"/>
                </w:tcPr>
                <w:p w14:paraId="04CF7A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53BAFB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16</w:t>
                  </w:r>
                </w:p>
              </w:tc>
              <w:tc>
                <w:tcPr>
                  <w:tcW w:w="765" w:type="dxa"/>
                  <w:tcBorders>
                    <w:tl2br w:val="nil"/>
                    <w:tr2bl w:val="nil"/>
                  </w:tcBorders>
                  <w:shd w:val="clear" w:color="auto" w:fill="auto"/>
                  <w:vAlign w:val="center"/>
                </w:tcPr>
                <w:p w14:paraId="518E13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16</w:t>
                  </w:r>
                </w:p>
              </w:tc>
              <w:tc>
                <w:tcPr>
                  <w:tcW w:w="840" w:type="dxa"/>
                  <w:tcBorders>
                    <w:tl2br w:val="nil"/>
                    <w:tr2bl w:val="nil"/>
                  </w:tcBorders>
                  <w:shd w:val="clear" w:color="auto" w:fill="auto"/>
                  <w:vAlign w:val="center"/>
                </w:tcPr>
                <w:p w14:paraId="1B49D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303D1B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p>
              </w:tc>
            </w:tr>
            <w:tr w14:paraId="490DDC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C567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35</w:t>
                  </w:r>
                </w:p>
              </w:tc>
              <w:tc>
                <w:tcPr>
                  <w:tcW w:w="587" w:type="dxa"/>
                  <w:vMerge w:val="continue"/>
                  <w:tcBorders>
                    <w:tl2br w:val="nil"/>
                    <w:tr2bl w:val="nil"/>
                  </w:tcBorders>
                  <w:shd w:val="clear" w:color="auto" w:fill="auto"/>
                  <w:vAlign w:val="center"/>
                </w:tcPr>
                <w:p w14:paraId="3D305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6E89E6D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r>
                    <w:rPr>
                      <w:rFonts w:hint="eastAsia" w:ascii="Times New Roman" w:hAnsi="Times New Roman" w:eastAsia="宋体"/>
                      <w:color w:val="auto"/>
                      <w:spacing w:val="0"/>
                      <w:sz w:val="21"/>
                      <w:szCs w:val="21"/>
                      <w:highlight w:val="none"/>
                    </w:rPr>
                    <w:t>内外标签视觉检验系统</w:t>
                  </w:r>
                </w:p>
              </w:tc>
              <w:tc>
                <w:tcPr>
                  <w:tcW w:w="958" w:type="dxa"/>
                  <w:tcBorders>
                    <w:tl2br w:val="nil"/>
                    <w:tr2bl w:val="nil"/>
                  </w:tcBorders>
                  <w:shd w:val="clear" w:color="auto" w:fill="auto"/>
                  <w:vAlign w:val="center"/>
                </w:tcPr>
                <w:p w14:paraId="6D674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4EAB2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16</w:t>
                  </w:r>
                </w:p>
              </w:tc>
              <w:tc>
                <w:tcPr>
                  <w:tcW w:w="765" w:type="dxa"/>
                  <w:tcBorders>
                    <w:tl2br w:val="nil"/>
                    <w:tr2bl w:val="nil"/>
                  </w:tcBorders>
                  <w:shd w:val="clear" w:color="auto" w:fill="auto"/>
                  <w:vAlign w:val="center"/>
                </w:tcPr>
                <w:p w14:paraId="15CE12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16</w:t>
                  </w:r>
                </w:p>
              </w:tc>
              <w:tc>
                <w:tcPr>
                  <w:tcW w:w="840" w:type="dxa"/>
                  <w:tcBorders>
                    <w:tl2br w:val="nil"/>
                    <w:tr2bl w:val="nil"/>
                  </w:tcBorders>
                  <w:shd w:val="clear" w:color="auto" w:fill="auto"/>
                  <w:vAlign w:val="center"/>
                </w:tcPr>
                <w:p w14:paraId="47956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760AC2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p>
              </w:tc>
            </w:tr>
            <w:tr w14:paraId="6C2167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BEA81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36</w:t>
                  </w:r>
                </w:p>
              </w:tc>
              <w:tc>
                <w:tcPr>
                  <w:tcW w:w="587" w:type="dxa"/>
                  <w:vMerge w:val="continue"/>
                  <w:tcBorders>
                    <w:tl2br w:val="nil"/>
                    <w:tr2bl w:val="nil"/>
                  </w:tcBorders>
                  <w:shd w:val="clear" w:color="auto" w:fill="auto"/>
                  <w:vAlign w:val="center"/>
                </w:tcPr>
                <w:p w14:paraId="03B70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5C853B0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r>
                    <w:rPr>
                      <w:rFonts w:hint="eastAsia" w:ascii="Times New Roman" w:hAnsi="Times New Roman" w:eastAsia="宋体"/>
                      <w:color w:val="auto"/>
                      <w:spacing w:val="0"/>
                      <w:sz w:val="21"/>
                      <w:szCs w:val="21"/>
                      <w:highlight w:val="none"/>
                    </w:rPr>
                    <w:t>光固化精度在线抽检系统</w:t>
                  </w:r>
                </w:p>
              </w:tc>
              <w:tc>
                <w:tcPr>
                  <w:tcW w:w="958" w:type="dxa"/>
                  <w:tcBorders>
                    <w:tl2br w:val="nil"/>
                    <w:tr2bl w:val="nil"/>
                  </w:tcBorders>
                  <w:shd w:val="clear" w:color="auto" w:fill="auto"/>
                  <w:vAlign w:val="center"/>
                </w:tcPr>
                <w:p w14:paraId="23EF3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1A47C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16</w:t>
                  </w:r>
                </w:p>
              </w:tc>
              <w:tc>
                <w:tcPr>
                  <w:tcW w:w="765" w:type="dxa"/>
                  <w:tcBorders>
                    <w:tl2br w:val="nil"/>
                    <w:tr2bl w:val="nil"/>
                  </w:tcBorders>
                  <w:shd w:val="clear" w:color="auto" w:fill="auto"/>
                  <w:vAlign w:val="center"/>
                </w:tcPr>
                <w:p w14:paraId="5B463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16</w:t>
                  </w:r>
                </w:p>
              </w:tc>
              <w:tc>
                <w:tcPr>
                  <w:tcW w:w="840" w:type="dxa"/>
                  <w:tcBorders>
                    <w:tl2br w:val="nil"/>
                    <w:tr2bl w:val="nil"/>
                  </w:tcBorders>
                  <w:shd w:val="clear" w:color="auto" w:fill="auto"/>
                  <w:vAlign w:val="center"/>
                </w:tcPr>
                <w:p w14:paraId="446E41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38E5A0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p>
              </w:tc>
            </w:tr>
            <w:tr w14:paraId="5BBB56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75B42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37</w:t>
                  </w:r>
                </w:p>
              </w:tc>
              <w:tc>
                <w:tcPr>
                  <w:tcW w:w="587" w:type="dxa"/>
                  <w:vMerge w:val="continue"/>
                  <w:tcBorders>
                    <w:tl2br w:val="nil"/>
                    <w:tr2bl w:val="nil"/>
                  </w:tcBorders>
                  <w:shd w:val="clear" w:color="auto" w:fill="auto"/>
                  <w:vAlign w:val="center"/>
                </w:tcPr>
                <w:p w14:paraId="34303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30EDFA8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r>
                    <w:rPr>
                      <w:rFonts w:hint="eastAsia" w:ascii="Times New Roman" w:hAnsi="Times New Roman" w:eastAsia="宋体"/>
                      <w:color w:val="auto"/>
                      <w:spacing w:val="0"/>
                      <w:sz w:val="21"/>
                      <w:szCs w:val="21"/>
                      <w:highlight w:val="none"/>
                    </w:rPr>
                    <w:t>自动化外包装系统</w:t>
                  </w:r>
                </w:p>
              </w:tc>
              <w:tc>
                <w:tcPr>
                  <w:tcW w:w="958" w:type="dxa"/>
                  <w:tcBorders>
                    <w:tl2br w:val="nil"/>
                    <w:tr2bl w:val="nil"/>
                  </w:tcBorders>
                  <w:shd w:val="clear" w:color="auto" w:fill="auto"/>
                  <w:vAlign w:val="center"/>
                </w:tcPr>
                <w:p w14:paraId="61D967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5D424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17</w:t>
                  </w:r>
                </w:p>
              </w:tc>
              <w:tc>
                <w:tcPr>
                  <w:tcW w:w="765" w:type="dxa"/>
                  <w:tcBorders>
                    <w:tl2br w:val="nil"/>
                    <w:tr2bl w:val="nil"/>
                  </w:tcBorders>
                  <w:shd w:val="clear" w:color="auto" w:fill="auto"/>
                  <w:vAlign w:val="center"/>
                </w:tcPr>
                <w:p w14:paraId="1C572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17</w:t>
                  </w:r>
                </w:p>
              </w:tc>
              <w:tc>
                <w:tcPr>
                  <w:tcW w:w="840" w:type="dxa"/>
                  <w:tcBorders>
                    <w:tl2br w:val="nil"/>
                    <w:tr2bl w:val="nil"/>
                  </w:tcBorders>
                  <w:shd w:val="clear" w:color="auto" w:fill="auto"/>
                  <w:vAlign w:val="center"/>
                </w:tcPr>
                <w:p w14:paraId="051714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4FFFC0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p>
              </w:tc>
            </w:tr>
            <w:tr w14:paraId="021F0D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16509D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38</w:t>
                  </w:r>
                </w:p>
              </w:tc>
              <w:tc>
                <w:tcPr>
                  <w:tcW w:w="587" w:type="dxa"/>
                  <w:vMerge w:val="continue"/>
                  <w:tcBorders>
                    <w:tl2br w:val="nil"/>
                    <w:tr2bl w:val="nil"/>
                  </w:tcBorders>
                  <w:shd w:val="clear" w:color="auto" w:fill="auto"/>
                  <w:vAlign w:val="center"/>
                </w:tcPr>
                <w:p w14:paraId="0212E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97BBDF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olor w:val="auto"/>
                      <w:spacing w:val="0"/>
                      <w:sz w:val="21"/>
                      <w:szCs w:val="21"/>
                      <w:highlight w:val="none"/>
                    </w:rPr>
                  </w:pPr>
                  <w:r>
                    <w:rPr>
                      <w:rFonts w:hint="eastAsia" w:ascii="Times New Roman" w:hAnsi="Times New Roman" w:eastAsia="宋体"/>
                      <w:color w:val="auto"/>
                      <w:spacing w:val="0"/>
                      <w:sz w:val="21"/>
                      <w:szCs w:val="21"/>
                      <w:highlight w:val="none"/>
                    </w:rPr>
                    <w:t>外包智能仓储系统</w:t>
                  </w:r>
                </w:p>
              </w:tc>
              <w:tc>
                <w:tcPr>
                  <w:tcW w:w="958" w:type="dxa"/>
                  <w:tcBorders>
                    <w:tl2br w:val="nil"/>
                    <w:tr2bl w:val="nil"/>
                  </w:tcBorders>
                  <w:shd w:val="clear" w:color="auto" w:fill="auto"/>
                  <w:vAlign w:val="center"/>
                </w:tcPr>
                <w:p w14:paraId="309F8E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021485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4</w:t>
                  </w:r>
                </w:p>
              </w:tc>
              <w:tc>
                <w:tcPr>
                  <w:tcW w:w="765" w:type="dxa"/>
                  <w:tcBorders>
                    <w:tl2br w:val="nil"/>
                    <w:tr2bl w:val="nil"/>
                  </w:tcBorders>
                  <w:shd w:val="clear" w:color="auto" w:fill="auto"/>
                  <w:vAlign w:val="center"/>
                </w:tcPr>
                <w:p w14:paraId="3F0881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w:t>
                  </w:r>
                </w:p>
              </w:tc>
              <w:tc>
                <w:tcPr>
                  <w:tcW w:w="840" w:type="dxa"/>
                  <w:tcBorders>
                    <w:tl2br w:val="nil"/>
                    <w:tr2bl w:val="nil"/>
                  </w:tcBorders>
                  <w:shd w:val="clear" w:color="auto" w:fill="auto"/>
                  <w:vAlign w:val="center"/>
                </w:tcPr>
                <w:p w14:paraId="52BBA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66CF67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p>
              </w:tc>
            </w:tr>
            <w:tr w14:paraId="04FD6D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11460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39</w:t>
                  </w:r>
                </w:p>
              </w:tc>
              <w:tc>
                <w:tcPr>
                  <w:tcW w:w="587" w:type="dxa"/>
                  <w:vMerge w:val="continue"/>
                  <w:tcBorders>
                    <w:tl2br w:val="nil"/>
                    <w:tr2bl w:val="nil"/>
                  </w:tcBorders>
                  <w:shd w:val="clear" w:color="auto" w:fill="auto"/>
                  <w:vAlign w:val="center"/>
                </w:tcPr>
                <w:p w14:paraId="68374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5DF9B2A">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eastAsia" w:ascii="Times New Roman" w:hAnsi="Times New Roman" w:eastAsia="宋体" w:cs="宋体"/>
                      <w:color w:val="auto"/>
                      <w:spacing w:val="0"/>
                      <w:kern w:val="2"/>
                      <w:sz w:val="21"/>
                      <w:szCs w:val="21"/>
                      <w:highlight w:val="none"/>
                      <w:lang w:val="en-US" w:eastAsia="en-US" w:bidi="ar-SA"/>
                    </w:rPr>
                  </w:pPr>
                  <w:r>
                    <w:rPr>
                      <w:rFonts w:hint="eastAsia" w:ascii="Times New Roman" w:hAnsi="Times New Roman" w:eastAsia="宋体"/>
                      <w:color w:val="auto"/>
                      <w:spacing w:val="0"/>
                      <w:sz w:val="21"/>
                      <w:szCs w:val="21"/>
                      <w:highlight w:val="none"/>
                    </w:rPr>
                    <w:t>手工线一体式压膜切割打标站</w:t>
                  </w:r>
                </w:p>
              </w:tc>
              <w:tc>
                <w:tcPr>
                  <w:tcW w:w="958" w:type="dxa"/>
                  <w:tcBorders>
                    <w:tl2br w:val="nil"/>
                    <w:tr2bl w:val="nil"/>
                  </w:tcBorders>
                  <w:shd w:val="clear" w:color="auto" w:fill="auto"/>
                  <w:vAlign w:val="center"/>
                </w:tcPr>
                <w:p w14:paraId="79468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0CBD9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c>
                <w:tcPr>
                  <w:tcW w:w="765" w:type="dxa"/>
                  <w:tcBorders>
                    <w:tl2br w:val="nil"/>
                    <w:tr2bl w:val="nil"/>
                  </w:tcBorders>
                  <w:shd w:val="clear" w:color="auto" w:fill="auto"/>
                  <w:vAlign w:val="center"/>
                </w:tcPr>
                <w:p w14:paraId="68A82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c>
                <w:tcPr>
                  <w:tcW w:w="840" w:type="dxa"/>
                  <w:tcBorders>
                    <w:tl2br w:val="nil"/>
                    <w:tr2bl w:val="nil"/>
                  </w:tcBorders>
                  <w:shd w:val="clear" w:color="auto" w:fill="auto"/>
                  <w:vAlign w:val="center"/>
                </w:tcPr>
                <w:p w14:paraId="1DA00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773C6F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p>
              </w:tc>
            </w:tr>
            <w:tr w14:paraId="5BBC97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74C0F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40</w:t>
                  </w:r>
                </w:p>
              </w:tc>
              <w:tc>
                <w:tcPr>
                  <w:tcW w:w="587" w:type="dxa"/>
                  <w:vMerge w:val="continue"/>
                  <w:tcBorders>
                    <w:tl2br w:val="nil"/>
                    <w:tr2bl w:val="nil"/>
                  </w:tcBorders>
                  <w:shd w:val="clear" w:color="auto" w:fill="auto"/>
                  <w:vAlign w:val="center"/>
                </w:tcPr>
                <w:p w14:paraId="64C62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62B716D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宋体"/>
                      <w:color w:val="auto"/>
                      <w:spacing w:val="0"/>
                      <w:kern w:val="2"/>
                      <w:sz w:val="21"/>
                      <w:szCs w:val="21"/>
                      <w:highlight w:val="none"/>
                      <w:lang w:val="en-US" w:eastAsia="en-US" w:bidi="ar-SA"/>
                    </w:rPr>
                  </w:pPr>
                  <w:r>
                    <w:rPr>
                      <w:rFonts w:hint="eastAsia" w:ascii="Times New Roman" w:hAnsi="Times New Roman" w:eastAsia="宋体"/>
                      <w:color w:val="auto"/>
                      <w:spacing w:val="0"/>
                      <w:sz w:val="21"/>
                      <w:szCs w:val="21"/>
                      <w:highlight w:val="none"/>
                    </w:rPr>
                    <w:t>多功能工艺装备集成站</w:t>
                  </w:r>
                </w:p>
              </w:tc>
              <w:tc>
                <w:tcPr>
                  <w:tcW w:w="958" w:type="dxa"/>
                  <w:tcBorders>
                    <w:tl2br w:val="nil"/>
                    <w:tr2bl w:val="nil"/>
                  </w:tcBorders>
                  <w:shd w:val="clear" w:color="auto" w:fill="auto"/>
                  <w:vAlign w:val="center"/>
                </w:tcPr>
                <w:p w14:paraId="1B42E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color w:val="auto"/>
                      <w:spacing w:val="0"/>
                      <w:position w:val="1"/>
                      <w:sz w:val="21"/>
                      <w:szCs w:val="21"/>
                      <w:highlight w:val="none"/>
                    </w:rPr>
                    <w:t>定制</w:t>
                  </w:r>
                </w:p>
              </w:tc>
              <w:tc>
                <w:tcPr>
                  <w:tcW w:w="797" w:type="dxa"/>
                  <w:tcBorders>
                    <w:tl2br w:val="nil"/>
                    <w:tr2bl w:val="nil"/>
                  </w:tcBorders>
                  <w:shd w:val="clear" w:color="auto" w:fill="auto"/>
                  <w:vAlign w:val="center"/>
                </w:tcPr>
                <w:p w14:paraId="2C409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16</w:t>
                  </w:r>
                </w:p>
              </w:tc>
              <w:tc>
                <w:tcPr>
                  <w:tcW w:w="765" w:type="dxa"/>
                  <w:tcBorders>
                    <w:tl2br w:val="nil"/>
                    <w:tr2bl w:val="nil"/>
                  </w:tcBorders>
                  <w:shd w:val="clear" w:color="auto" w:fill="auto"/>
                  <w:vAlign w:val="center"/>
                </w:tcPr>
                <w:p w14:paraId="7CA98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16</w:t>
                  </w:r>
                </w:p>
              </w:tc>
              <w:tc>
                <w:tcPr>
                  <w:tcW w:w="840" w:type="dxa"/>
                  <w:tcBorders>
                    <w:tl2br w:val="nil"/>
                    <w:tr2bl w:val="nil"/>
                  </w:tcBorders>
                  <w:shd w:val="clear" w:color="auto" w:fill="auto"/>
                  <w:vAlign w:val="center"/>
                </w:tcPr>
                <w:p w14:paraId="4B2C9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218A7B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rPr>
                      <w:rFonts w:hint="eastAsia" w:ascii="Times New Roman" w:hAnsi="Times New Roman" w:eastAsia="宋体" w:cs="Times New Roman"/>
                      <w:color w:val="auto"/>
                      <w:spacing w:val="0"/>
                      <w:sz w:val="21"/>
                      <w:szCs w:val="21"/>
                      <w:highlight w:val="none"/>
                      <w:lang w:val="en-US" w:eastAsia="zh-CN"/>
                    </w:rPr>
                  </w:pPr>
                </w:p>
              </w:tc>
            </w:tr>
            <w:tr w14:paraId="7F94B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64D0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41</w:t>
                  </w:r>
                </w:p>
              </w:tc>
              <w:tc>
                <w:tcPr>
                  <w:tcW w:w="587" w:type="dxa"/>
                  <w:vMerge w:val="restart"/>
                  <w:tcBorders>
                    <w:top w:val="single" w:color="auto" w:sz="4" w:space="0"/>
                    <w:bottom w:val="single" w:color="000000" w:sz="12" w:space="0"/>
                  </w:tcBorders>
                  <w:shd w:val="clear" w:color="auto" w:fill="auto"/>
                  <w:vAlign w:val="center"/>
                </w:tcPr>
                <w:p w14:paraId="3D082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i w:val="0"/>
                      <w:iCs w:val="0"/>
                      <w:color w:val="auto"/>
                      <w:spacing w:val="0"/>
                      <w:sz w:val="21"/>
                      <w:szCs w:val="21"/>
                      <w:highlight w:val="none"/>
                      <w:u w:val="none"/>
                    </w:rPr>
                    <w:t>实验研发线</w:t>
                  </w:r>
                </w:p>
              </w:tc>
              <w:tc>
                <w:tcPr>
                  <w:tcW w:w="1673" w:type="dxa"/>
                  <w:tcBorders>
                    <w:tl2br w:val="nil"/>
                    <w:tr2bl w:val="nil"/>
                  </w:tcBorders>
                  <w:shd w:val="clear" w:color="auto" w:fill="auto"/>
                  <w:vAlign w:val="center"/>
                </w:tcPr>
                <w:p w14:paraId="25300FC3">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双螺杆挤出系统</w:t>
                  </w:r>
                </w:p>
              </w:tc>
              <w:tc>
                <w:tcPr>
                  <w:tcW w:w="958" w:type="dxa"/>
                  <w:tcBorders>
                    <w:tl2br w:val="nil"/>
                    <w:tr2bl w:val="nil"/>
                  </w:tcBorders>
                  <w:shd w:val="clear" w:color="auto" w:fill="auto"/>
                  <w:vAlign w:val="center"/>
                </w:tcPr>
                <w:p w14:paraId="6576B2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40D</w:t>
                  </w:r>
                </w:p>
              </w:tc>
              <w:tc>
                <w:tcPr>
                  <w:tcW w:w="797" w:type="dxa"/>
                  <w:tcBorders>
                    <w:tl2br w:val="nil"/>
                    <w:tr2bl w:val="nil"/>
                  </w:tcBorders>
                  <w:shd w:val="clear" w:color="auto" w:fill="auto"/>
                  <w:vAlign w:val="center"/>
                </w:tcPr>
                <w:p w14:paraId="2925FD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563EBE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23FC9B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restart"/>
                  <w:tcBorders>
                    <w:tl2br w:val="nil"/>
                    <w:tr2bl w:val="nil"/>
                  </w:tcBorders>
                  <w:shd w:val="clear" w:color="auto" w:fill="auto"/>
                  <w:vAlign w:val="center"/>
                </w:tcPr>
                <w:p w14:paraId="132B33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现有</w:t>
                  </w:r>
                </w:p>
              </w:tc>
            </w:tr>
            <w:tr w14:paraId="40FB88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2354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42</w:t>
                  </w:r>
                </w:p>
              </w:tc>
              <w:tc>
                <w:tcPr>
                  <w:tcW w:w="587" w:type="dxa"/>
                  <w:vMerge w:val="continue"/>
                  <w:tcBorders>
                    <w:top w:val="single" w:color="000000" w:sz="12" w:space="0"/>
                    <w:bottom w:val="single" w:color="000000" w:sz="12" w:space="0"/>
                    <w:tl2br w:val="nil"/>
                    <w:tr2bl w:val="nil"/>
                  </w:tcBorders>
                  <w:shd w:val="clear" w:color="auto" w:fill="auto"/>
                  <w:vAlign w:val="center"/>
                </w:tcPr>
                <w:p w14:paraId="03F23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4E43C24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除湿干燥机</w:t>
                  </w:r>
                </w:p>
              </w:tc>
              <w:tc>
                <w:tcPr>
                  <w:tcW w:w="958" w:type="dxa"/>
                  <w:tcBorders>
                    <w:tl2br w:val="nil"/>
                    <w:tr2bl w:val="nil"/>
                  </w:tcBorders>
                  <w:shd w:val="clear" w:color="auto" w:fill="auto"/>
                  <w:vAlign w:val="center"/>
                </w:tcPr>
                <w:p w14:paraId="1520C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450L</w:t>
                  </w:r>
                </w:p>
              </w:tc>
              <w:tc>
                <w:tcPr>
                  <w:tcW w:w="797" w:type="dxa"/>
                  <w:tcBorders>
                    <w:tl2br w:val="nil"/>
                    <w:tr2bl w:val="nil"/>
                  </w:tcBorders>
                  <w:shd w:val="clear" w:color="auto" w:fill="auto"/>
                  <w:vAlign w:val="center"/>
                </w:tcPr>
                <w:p w14:paraId="5EC72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20A15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693F3D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50C2D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2C479E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182B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43</w:t>
                  </w:r>
                </w:p>
              </w:tc>
              <w:tc>
                <w:tcPr>
                  <w:tcW w:w="587" w:type="dxa"/>
                  <w:vMerge w:val="continue"/>
                  <w:tcBorders>
                    <w:top w:val="single" w:color="000000" w:sz="12" w:space="0"/>
                    <w:bottom w:val="single" w:color="000000" w:sz="12" w:space="0"/>
                    <w:tl2br w:val="nil"/>
                    <w:tr2bl w:val="nil"/>
                  </w:tcBorders>
                  <w:shd w:val="clear" w:color="auto" w:fill="auto"/>
                  <w:vAlign w:val="center"/>
                </w:tcPr>
                <w:p w14:paraId="59A62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CFB456E">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冷却水</w:t>
                  </w:r>
                </w:p>
              </w:tc>
              <w:tc>
                <w:tcPr>
                  <w:tcW w:w="958" w:type="dxa"/>
                  <w:tcBorders>
                    <w:tl2br w:val="nil"/>
                    <w:tr2bl w:val="nil"/>
                  </w:tcBorders>
                  <w:shd w:val="clear" w:color="auto" w:fill="auto"/>
                  <w:vAlign w:val="center"/>
                </w:tcPr>
                <w:p w14:paraId="1774FF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8kw</w:t>
                  </w:r>
                </w:p>
              </w:tc>
              <w:tc>
                <w:tcPr>
                  <w:tcW w:w="797" w:type="dxa"/>
                  <w:tcBorders>
                    <w:tl2br w:val="nil"/>
                    <w:tr2bl w:val="nil"/>
                  </w:tcBorders>
                  <w:shd w:val="clear" w:color="auto" w:fill="auto"/>
                  <w:vAlign w:val="center"/>
                </w:tcPr>
                <w:p w14:paraId="7ABE6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3E27F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43964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0DE86B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13C8D1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54F0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44</w:t>
                  </w:r>
                </w:p>
              </w:tc>
              <w:tc>
                <w:tcPr>
                  <w:tcW w:w="587" w:type="dxa"/>
                  <w:vMerge w:val="continue"/>
                  <w:tcBorders>
                    <w:top w:val="single" w:color="000000" w:sz="12" w:space="0"/>
                    <w:bottom w:val="single" w:color="000000" w:sz="12" w:space="0"/>
                    <w:tl2br w:val="nil"/>
                    <w:tr2bl w:val="nil"/>
                  </w:tcBorders>
                  <w:shd w:val="clear" w:color="auto" w:fill="auto"/>
                  <w:vAlign w:val="center"/>
                </w:tcPr>
                <w:p w14:paraId="13CD0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013C1C7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抽真空封口机</w:t>
                  </w:r>
                </w:p>
              </w:tc>
              <w:tc>
                <w:tcPr>
                  <w:tcW w:w="958" w:type="dxa"/>
                  <w:tcBorders>
                    <w:tl2br w:val="nil"/>
                    <w:tr2bl w:val="nil"/>
                  </w:tcBorders>
                  <w:shd w:val="clear" w:color="auto" w:fill="auto"/>
                  <w:vAlign w:val="center"/>
                </w:tcPr>
                <w:p w14:paraId="5A875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1.75kw</w:t>
                  </w:r>
                </w:p>
              </w:tc>
              <w:tc>
                <w:tcPr>
                  <w:tcW w:w="797" w:type="dxa"/>
                  <w:tcBorders>
                    <w:tl2br w:val="nil"/>
                    <w:tr2bl w:val="nil"/>
                  </w:tcBorders>
                  <w:shd w:val="clear" w:color="auto" w:fill="auto"/>
                  <w:vAlign w:val="center"/>
                </w:tcPr>
                <w:p w14:paraId="5BAD49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2</w:t>
                  </w:r>
                </w:p>
              </w:tc>
              <w:tc>
                <w:tcPr>
                  <w:tcW w:w="765" w:type="dxa"/>
                  <w:tcBorders>
                    <w:tl2br w:val="nil"/>
                    <w:tr2bl w:val="nil"/>
                  </w:tcBorders>
                  <w:shd w:val="clear" w:color="auto" w:fill="auto"/>
                  <w:vAlign w:val="center"/>
                </w:tcPr>
                <w:p w14:paraId="4B8C7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2</w:t>
                  </w:r>
                </w:p>
              </w:tc>
              <w:tc>
                <w:tcPr>
                  <w:tcW w:w="840" w:type="dxa"/>
                  <w:tcBorders>
                    <w:tl2br w:val="nil"/>
                    <w:tr2bl w:val="nil"/>
                  </w:tcBorders>
                  <w:shd w:val="clear" w:color="auto" w:fill="auto"/>
                  <w:vAlign w:val="center"/>
                </w:tcPr>
                <w:p w14:paraId="50B42E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28C8B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3C81E6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29744A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45</w:t>
                  </w:r>
                </w:p>
              </w:tc>
              <w:tc>
                <w:tcPr>
                  <w:tcW w:w="587" w:type="dxa"/>
                  <w:vMerge w:val="continue"/>
                  <w:tcBorders>
                    <w:top w:val="single" w:color="000000" w:sz="12" w:space="0"/>
                    <w:bottom w:val="single" w:color="000000" w:sz="12" w:space="0"/>
                    <w:tl2br w:val="nil"/>
                    <w:tr2bl w:val="nil"/>
                  </w:tcBorders>
                  <w:shd w:val="clear" w:color="auto" w:fill="auto"/>
                  <w:vAlign w:val="center"/>
                </w:tcPr>
                <w:p w14:paraId="2EE66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7A8DBB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标签打印机</w:t>
                  </w:r>
                </w:p>
              </w:tc>
              <w:tc>
                <w:tcPr>
                  <w:tcW w:w="958" w:type="dxa"/>
                  <w:tcBorders>
                    <w:tl2br w:val="nil"/>
                    <w:tr2bl w:val="nil"/>
                  </w:tcBorders>
                  <w:shd w:val="clear" w:color="auto" w:fill="auto"/>
                  <w:vAlign w:val="center"/>
                </w:tcPr>
                <w:p w14:paraId="25F8ED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1.5kw</w:t>
                  </w:r>
                </w:p>
              </w:tc>
              <w:tc>
                <w:tcPr>
                  <w:tcW w:w="797" w:type="dxa"/>
                  <w:tcBorders>
                    <w:tl2br w:val="nil"/>
                    <w:tr2bl w:val="nil"/>
                  </w:tcBorders>
                  <w:shd w:val="clear" w:color="auto" w:fill="auto"/>
                  <w:vAlign w:val="center"/>
                </w:tcPr>
                <w:p w14:paraId="0A131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2</w:t>
                  </w:r>
                </w:p>
              </w:tc>
              <w:tc>
                <w:tcPr>
                  <w:tcW w:w="765" w:type="dxa"/>
                  <w:tcBorders>
                    <w:tl2br w:val="nil"/>
                    <w:tr2bl w:val="nil"/>
                  </w:tcBorders>
                  <w:shd w:val="clear" w:color="auto" w:fill="auto"/>
                  <w:vAlign w:val="center"/>
                </w:tcPr>
                <w:p w14:paraId="31B65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2</w:t>
                  </w:r>
                </w:p>
              </w:tc>
              <w:tc>
                <w:tcPr>
                  <w:tcW w:w="840" w:type="dxa"/>
                  <w:tcBorders>
                    <w:tl2br w:val="nil"/>
                    <w:tr2bl w:val="nil"/>
                  </w:tcBorders>
                  <w:shd w:val="clear" w:color="auto" w:fill="auto"/>
                  <w:vAlign w:val="center"/>
                </w:tcPr>
                <w:p w14:paraId="659F24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010AB6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429D71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A421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46</w:t>
                  </w:r>
                </w:p>
              </w:tc>
              <w:tc>
                <w:tcPr>
                  <w:tcW w:w="587" w:type="dxa"/>
                  <w:vMerge w:val="continue"/>
                  <w:tcBorders>
                    <w:top w:val="single" w:color="000000" w:sz="12" w:space="0"/>
                    <w:bottom w:val="single" w:color="000000" w:sz="12" w:space="0"/>
                    <w:tl2br w:val="nil"/>
                    <w:tr2bl w:val="nil"/>
                  </w:tcBorders>
                  <w:shd w:val="clear" w:color="auto" w:fill="auto"/>
                  <w:vAlign w:val="center"/>
                </w:tcPr>
                <w:p w14:paraId="6DA4D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74B2B004">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裁刀</w:t>
                  </w:r>
                </w:p>
              </w:tc>
              <w:tc>
                <w:tcPr>
                  <w:tcW w:w="958" w:type="dxa"/>
                  <w:tcBorders>
                    <w:tl2br w:val="nil"/>
                    <w:tr2bl w:val="nil"/>
                  </w:tcBorders>
                  <w:shd w:val="clear" w:color="auto" w:fill="auto"/>
                  <w:vAlign w:val="center"/>
                </w:tcPr>
                <w:p w14:paraId="266B93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position w:val="1"/>
                      <w:sz w:val="21"/>
                      <w:szCs w:val="21"/>
                      <w:highlight w:val="none"/>
                    </w:rPr>
                    <w:t>/</w:t>
                  </w:r>
                </w:p>
              </w:tc>
              <w:tc>
                <w:tcPr>
                  <w:tcW w:w="797" w:type="dxa"/>
                  <w:tcBorders>
                    <w:tl2br w:val="nil"/>
                    <w:tr2bl w:val="nil"/>
                  </w:tcBorders>
                  <w:shd w:val="clear" w:color="auto" w:fill="auto"/>
                  <w:vAlign w:val="center"/>
                </w:tcPr>
                <w:p w14:paraId="57F83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7D138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792F7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6E778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7DFDB8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5C2F1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47</w:t>
                  </w:r>
                </w:p>
              </w:tc>
              <w:tc>
                <w:tcPr>
                  <w:tcW w:w="587" w:type="dxa"/>
                  <w:vMerge w:val="continue"/>
                  <w:tcBorders>
                    <w:top w:val="single" w:color="000000" w:sz="12" w:space="0"/>
                    <w:bottom w:val="single" w:color="000000" w:sz="12" w:space="0"/>
                    <w:tl2br w:val="nil"/>
                    <w:tr2bl w:val="nil"/>
                  </w:tcBorders>
                  <w:shd w:val="clear" w:color="auto" w:fill="auto"/>
                  <w:vAlign w:val="center"/>
                </w:tcPr>
                <w:p w14:paraId="619E40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0417CF6A">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分析天平</w:t>
                  </w:r>
                </w:p>
              </w:tc>
              <w:tc>
                <w:tcPr>
                  <w:tcW w:w="958" w:type="dxa"/>
                  <w:tcBorders>
                    <w:tl2br w:val="nil"/>
                    <w:tr2bl w:val="nil"/>
                  </w:tcBorders>
                  <w:shd w:val="clear" w:color="auto" w:fill="auto"/>
                  <w:vAlign w:val="center"/>
                </w:tcPr>
                <w:p w14:paraId="77258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XB-220A</w:t>
                  </w:r>
                </w:p>
              </w:tc>
              <w:tc>
                <w:tcPr>
                  <w:tcW w:w="797" w:type="dxa"/>
                  <w:tcBorders>
                    <w:tl2br w:val="nil"/>
                    <w:tr2bl w:val="nil"/>
                  </w:tcBorders>
                  <w:shd w:val="clear" w:color="auto" w:fill="auto"/>
                  <w:vAlign w:val="center"/>
                </w:tcPr>
                <w:p w14:paraId="14D234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1494B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1D764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667EC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2B0B34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2C5BE3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48</w:t>
                  </w:r>
                </w:p>
              </w:tc>
              <w:tc>
                <w:tcPr>
                  <w:tcW w:w="587" w:type="dxa"/>
                  <w:vMerge w:val="continue"/>
                  <w:tcBorders>
                    <w:top w:val="single" w:color="000000" w:sz="12" w:space="0"/>
                    <w:bottom w:val="single" w:color="000000" w:sz="12" w:space="0"/>
                    <w:tl2br w:val="nil"/>
                    <w:tr2bl w:val="nil"/>
                  </w:tcBorders>
                  <w:shd w:val="clear" w:color="auto" w:fill="auto"/>
                  <w:vAlign w:val="center"/>
                </w:tcPr>
                <w:p w14:paraId="7CDBC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BE45E0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电子秤</w:t>
                  </w:r>
                </w:p>
              </w:tc>
              <w:tc>
                <w:tcPr>
                  <w:tcW w:w="958" w:type="dxa"/>
                  <w:tcBorders>
                    <w:tl2br w:val="nil"/>
                    <w:tr2bl w:val="nil"/>
                  </w:tcBorders>
                  <w:shd w:val="clear" w:color="auto" w:fill="auto"/>
                  <w:vAlign w:val="center"/>
                </w:tcPr>
                <w:p w14:paraId="5A622C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OHAUS</w:t>
                  </w:r>
                </w:p>
              </w:tc>
              <w:tc>
                <w:tcPr>
                  <w:tcW w:w="797" w:type="dxa"/>
                  <w:tcBorders>
                    <w:tl2br w:val="nil"/>
                    <w:tr2bl w:val="nil"/>
                  </w:tcBorders>
                  <w:shd w:val="clear" w:color="auto" w:fill="auto"/>
                  <w:vAlign w:val="center"/>
                </w:tcPr>
                <w:p w14:paraId="4788A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4A9C01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3BBEC0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6CC6E5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4069F5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1ECCEE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49</w:t>
                  </w:r>
                </w:p>
              </w:tc>
              <w:tc>
                <w:tcPr>
                  <w:tcW w:w="587" w:type="dxa"/>
                  <w:vMerge w:val="continue"/>
                  <w:tcBorders>
                    <w:top w:val="single" w:color="000000" w:sz="12" w:space="0"/>
                    <w:bottom w:val="single" w:color="000000" w:sz="12" w:space="0"/>
                    <w:tl2br w:val="nil"/>
                    <w:tr2bl w:val="nil"/>
                  </w:tcBorders>
                  <w:shd w:val="clear" w:color="auto" w:fill="auto"/>
                  <w:vAlign w:val="center"/>
                </w:tcPr>
                <w:p w14:paraId="1A8B1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736BAE64">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磁力加热搅拌机</w:t>
                  </w:r>
                </w:p>
              </w:tc>
              <w:tc>
                <w:tcPr>
                  <w:tcW w:w="958" w:type="dxa"/>
                  <w:tcBorders>
                    <w:tl2br w:val="nil"/>
                    <w:tr2bl w:val="nil"/>
                  </w:tcBorders>
                  <w:shd w:val="clear" w:color="auto" w:fill="auto"/>
                  <w:vAlign w:val="center"/>
                </w:tcPr>
                <w:p w14:paraId="25C65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ZNCL</w:t>
                  </w:r>
                </w:p>
              </w:tc>
              <w:tc>
                <w:tcPr>
                  <w:tcW w:w="797" w:type="dxa"/>
                  <w:tcBorders>
                    <w:tl2br w:val="nil"/>
                    <w:tr2bl w:val="nil"/>
                  </w:tcBorders>
                  <w:shd w:val="clear" w:color="auto" w:fill="auto"/>
                  <w:vAlign w:val="center"/>
                </w:tcPr>
                <w:p w14:paraId="3DF52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42A85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3F2E4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34781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022345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309E8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50</w:t>
                  </w:r>
                </w:p>
              </w:tc>
              <w:tc>
                <w:tcPr>
                  <w:tcW w:w="587" w:type="dxa"/>
                  <w:vMerge w:val="continue"/>
                  <w:tcBorders>
                    <w:top w:val="single" w:color="000000" w:sz="12" w:space="0"/>
                    <w:bottom w:val="single" w:color="000000" w:sz="12" w:space="0"/>
                    <w:tl2br w:val="nil"/>
                    <w:tr2bl w:val="nil"/>
                  </w:tcBorders>
                  <w:shd w:val="clear" w:color="auto" w:fill="auto"/>
                  <w:vAlign w:val="center"/>
                </w:tcPr>
                <w:p w14:paraId="1D83FA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5E7ABC3">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高速搅拌机</w:t>
                  </w:r>
                </w:p>
              </w:tc>
              <w:tc>
                <w:tcPr>
                  <w:tcW w:w="958" w:type="dxa"/>
                  <w:tcBorders>
                    <w:tl2br w:val="nil"/>
                    <w:tr2bl w:val="nil"/>
                  </w:tcBorders>
                  <w:shd w:val="clear" w:color="auto" w:fill="auto"/>
                  <w:vAlign w:val="center"/>
                </w:tcPr>
                <w:p w14:paraId="6C54D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JJ-1</w:t>
                  </w:r>
                </w:p>
              </w:tc>
              <w:tc>
                <w:tcPr>
                  <w:tcW w:w="797" w:type="dxa"/>
                  <w:tcBorders>
                    <w:tl2br w:val="nil"/>
                    <w:tr2bl w:val="nil"/>
                  </w:tcBorders>
                  <w:shd w:val="clear" w:color="auto" w:fill="auto"/>
                  <w:vAlign w:val="center"/>
                </w:tcPr>
                <w:p w14:paraId="6288EB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52E49B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02BF16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5DCB2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6C370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7B2A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51</w:t>
                  </w:r>
                </w:p>
              </w:tc>
              <w:tc>
                <w:tcPr>
                  <w:tcW w:w="587" w:type="dxa"/>
                  <w:vMerge w:val="continue"/>
                  <w:tcBorders>
                    <w:top w:val="single" w:color="000000" w:sz="12" w:space="0"/>
                    <w:bottom w:val="single" w:color="000000" w:sz="12" w:space="0"/>
                    <w:tl2br w:val="nil"/>
                    <w:tr2bl w:val="nil"/>
                  </w:tcBorders>
                  <w:shd w:val="clear" w:color="auto" w:fill="auto"/>
                  <w:vAlign w:val="center"/>
                </w:tcPr>
                <w:p w14:paraId="44D5E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textAlignment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43D1069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宋体"/>
                      <w:color w:val="auto"/>
                      <w:spacing w:val="0"/>
                      <w:kern w:val="2"/>
                      <w:sz w:val="21"/>
                      <w:szCs w:val="21"/>
                      <w:highlight w:val="none"/>
                      <w:lang w:val="en-US" w:eastAsia="en-US" w:bidi="ar-SA"/>
                    </w:rPr>
                  </w:pPr>
                  <w:r>
                    <w:rPr>
                      <w:rFonts w:hint="default" w:ascii="Times New Roman" w:hAnsi="Times New Roman" w:eastAsia="宋体"/>
                      <w:color w:val="auto"/>
                      <w:spacing w:val="0"/>
                      <w:sz w:val="21"/>
                      <w:szCs w:val="21"/>
                      <w:highlight w:val="none"/>
                    </w:rPr>
                    <w:t>烧杯</w:t>
                  </w:r>
                </w:p>
              </w:tc>
              <w:tc>
                <w:tcPr>
                  <w:tcW w:w="958" w:type="dxa"/>
                  <w:tcBorders>
                    <w:tl2br w:val="nil"/>
                    <w:tr2bl w:val="nil"/>
                  </w:tcBorders>
                  <w:shd w:val="clear" w:color="auto" w:fill="auto"/>
                  <w:vAlign w:val="center"/>
                </w:tcPr>
                <w:p w14:paraId="183C4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500ml</w:t>
                  </w:r>
                </w:p>
              </w:tc>
              <w:tc>
                <w:tcPr>
                  <w:tcW w:w="797" w:type="dxa"/>
                  <w:tcBorders>
                    <w:tl2br w:val="nil"/>
                    <w:tr2bl w:val="nil"/>
                  </w:tcBorders>
                  <w:shd w:val="clear" w:color="auto" w:fill="auto"/>
                  <w:vAlign w:val="center"/>
                </w:tcPr>
                <w:p w14:paraId="22460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4</w:t>
                  </w:r>
                </w:p>
              </w:tc>
              <w:tc>
                <w:tcPr>
                  <w:tcW w:w="765" w:type="dxa"/>
                  <w:tcBorders>
                    <w:tl2br w:val="nil"/>
                    <w:tr2bl w:val="nil"/>
                  </w:tcBorders>
                  <w:shd w:val="clear" w:color="auto" w:fill="auto"/>
                  <w:vAlign w:val="center"/>
                </w:tcPr>
                <w:p w14:paraId="24A1E9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4</w:t>
                  </w:r>
                </w:p>
              </w:tc>
              <w:tc>
                <w:tcPr>
                  <w:tcW w:w="840" w:type="dxa"/>
                  <w:tcBorders>
                    <w:tl2br w:val="nil"/>
                    <w:tr2bl w:val="nil"/>
                  </w:tcBorders>
                  <w:shd w:val="clear" w:color="auto" w:fill="auto"/>
                  <w:vAlign w:val="center"/>
                </w:tcPr>
                <w:p w14:paraId="43471A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356AA2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4F5010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FC49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52</w:t>
                  </w:r>
                </w:p>
              </w:tc>
              <w:tc>
                <w:tcPr>
                  <w:tcW w:w="587" w:type="dxa"/>
                  <w:vMerge w:val="continue"/>
                  <w:tcBorders>
                    <w:top w:val="single" w:color="000000" w:sz="12" w:space="0"/>
                    <w:bottom w:val="single" w:color="000000" w:sz="12" w:space="0"/>
                    <w:tl2br w:val="nil"/>
                    <w:tr2bl w:val="nil"/>
                  </w:tcBorders>
                  <w:shd w:val="clear" w:color="auto" w:fill="auto"/>
                  <w:vAlign w:val="center"/>
                </w:tcPr>
                <w:p w14:paraId="6B4F7B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5CA7392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宋体"/>
                      <w:color w:val="auto"/>
                      <w:spacing w:val="0"/>
                      <w:kern w:val="2"/>
                      <w:sz w:val="21"/>
                      <w:szCs w:val="21"/>
                      <w:highlight w:val="none"/>
                      <w:lang w:val="en-US" w:eastAsia="en-US" w:bidi="ar-SA"/>
                    </w:rPr>
                  </w:pPr>
                  <w:r>
                    <w:rPr>
                      <w:rFonts w:hint="default" w:ascii="Times New Roman" w:hAnsi="Times New Roman" w:eastAsia="宋体"/>
                      <w:color w:val="auto"/>
                      <w:spacing w:val="0"/>
                      <w:sz w:val="21"/>
                      <w:szCs w:val="21"/>
                      <w:highlight w:val="none"/>
                    </w:rPr>
                    <w:t>搅拌器</w:t>
                  </w:r>
                </w:p>
              </w:tc>
              <w:tc>
                <w:tcPr>
                  <w:tcW w:w="958" w:type="dxa"/>
                  <w:tcBorders>
                    <w:tl2br w:val="nil"/>
                    <w:tr2bl w:val="nil"/>
                  </w:tcBorders>
                  <w:shd w:val="clear" w:color="auto" w:fill="auto"/>
                  <w:vAlign w:val="center"/>
                </w:tcPr>
                <w:p w14:paraId="00B6287A">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不锈钢</w:t>
                  </w:r>
                  <w:r>
                    <w:rPr>
                      <w:rFonts w:hint="default" w:ascii="Times New Roman" w:hAnsi="Times New Roman" w:eastAsia="宋体" w:cs="Times New Roman"/>
                      <w:color w:val="auto"/>
                      <w:spacing w:val="0"/>
                      <w:sz w:val="21"/>
                      <w:szCs w:val="21"/>
                      <w:highlight w:val="none"/>
                    </w:rPr>
                    <w:t>1L</w:t>
                  </w:r>
                </w:p>
              </w:tc>
              <w:tc>
                <w:tcPr>
                  <w:tcW w:w="797" w:type="dxa"/>
                  <w:tcBorders>
                    <w:tl2br w:val="nil"/>
                    <w:tr2bl w:val="nil"/>
                  </w:tcBorders>
                  <w:shd w:val="clear" w:color="auto" w:fill="auto"/>
                  <w:vAlign w:val="center"/>
                </w:tcPr>
                <w:p w14:paraId="5AEB2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7FFDD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44334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4260B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44D3E6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1D7B4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53</w:t>
                  </w:r>
                </w:p>
              </w:tc>
              <w:tc>
                <w:tcPr>
                  <w:tcW w:w="587" w:type="dxa"/>
                  <w:vMerge w:val="continue"/>
                  <w:tcBorders>
                    <w:top w:val="single" w:color="000000" w:sz="12" w:space="0"/>
                    <w:bottom w:val="single" w:color="000000" w:sz="12" w:space="0"/>
                    <w:tl2br w:val="nil"/>
                    <w:tr2bl w:val="nil"/>
                  </w:tcBorders>
                  <w:shd w:val="clear" w:color="auto" w:fill="auto"/>
                  <w:vAlign w:val="center"/>
                </w:tcPr>
                <w:p w14:paraId="02A6B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31A46F81">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宋体"/>
                      <w:color w:val="auto"/>
                      <w:spacing w:val="0"/>
                      <w:kern w:val="2"/>
                      <w:sz w:val="21"/>
                      <w:szCs w:val="21"/>
                      <w:highlight w:val="none"/>
                      <w:lang w:val="en-US" w:eastAsia="en-US" w:bidi="ar-SA"/>
                    </w:rPr>
                  </w:pPr>
                  <w:r>
                    <w:rPr>
                      <w:rFonts w:hint="default" w:ascii="Times New Roman" w:hAnsi="Times New Roman" w:eastAsia="宋体"/>
                      <w:color w:val="auto"/>
                      <w:spacing w:val="0"/>
                      <w:sz w:val="21"/>
                      <w:szCs w:val="21"/>
                      <w:highlight w:val="none"/>
                    </w:rPr>
                    <w:t>氟离子机</w:t>
                  </w:r>
                </w:p>
              </w:tc>
              <w:tc>
                <w:tcPr>
                  <w:tcW w:w="958" w:type="dxa"/>
                  <w:tcBorders>
                    <w:tl2br w:val="nil"/>
                    <w:tr2bl w:val="nil"/>
                  </w:tcBorders>
                  <w:shd w:val="clear" w:color="auto" w:fill="auto"/>
                  <w:vAlign w:val="center"/>
                </w:tcPr>
                <w:p w14:paraId="329AD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METTLERTOLEDOS220</w:t>
                  </w:r>
                </w:p>
              </w:tc>
              <w:tc>
                <w:tcPr>
                  <w:tcW w:w="797" w:type="dxa"/>
                  <w:tcBorders>
                    <w:tl2br w:val="nil"/>
                    <w:tr2bl w:val="nil"/>
                  </w:tcBorders>
                  <w:shd w:val="clear" w:color="auto" w:fill="auto"/>
                  <w:vAlign w:val="center"/>
                </w:tcPr>
                <w:p w14:paraId="47AE5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30317C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19D32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106C7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1529EC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06E6B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54</w:t>
                  </w:r>
                </w:p>
              </w:tc>
              <w:tc>
                <w:tcPr>
                  <w:tcW w:w="587" w:type="dxa"/>
                  <w:vMerge w:val="continue"/>
                  <w:tcBorders>
                    <w:top w:val="single" w:color="000000" w:sz="12" w:space="0"/>
                    <w:bottom w:val="single" w:color="000000" w:sz="12" w:space="0"/>
                    <w:tl2br w:val="nil"/>
                    <w:tr2bl w:val="nil"/>
                  </w:tcBorders>
                  <w:shd w:val="clear" w:color="auto" w:fill="auto"/>
                  <w:vAlign w:val="center"/>
                </w:tcPr>
                <w:p w14:paraId="4CF98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57DB7487">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宋体"/>
                      <w:color w:val="auto"/>
                      <w:spacing w:val="0"/>
                      <w:kern w:val="2"/>
                      <w:sz w:val="21"/>
                      <w:szCs w:val="21"/>
                      <w:highlight w:val="none"/>
                      <w:lang w:val="en-US" w:eastAsia="en-US" w:bidi="ar-SA"/>
                    </w:rPr>
                  </w:pPr>
                  <w:r>
                    <w:rPr>
                      <w:rFonts w:hint="default" w:ascii="Times New Roman" w:hAnsi="Times New Roman" w:eastAsia="宋体"/>
                      <w:color w:val="auto"/>
                      <w:spacing w:val="0"/>
                      <w:sz w:val="21"/>
                      <w:szCs w:val="21"/>
                      <w:highlight w:val="none"/>
                    </w:rPr>
                    <w:t>百格刀</w:t>
                  </w:r>
                </w:p>
              </w:tc>
              <w:tc>
                <w:tcPr>
                  <w:tcW w:w="958" w:type="dxa"/>
                  <w:tcBorders>
                    <w:tl2br w:val="nil"/>
                    <w:tr2bl w:val="nil"/>
                  </w:tcBorders>
                  <w:shd w:val="clear" w:color="auto" w:fill="auto"/>
                  <w:vAlign w:val="center"/>
                </w:tcPr>
                <w:p w14:paraId="631FE4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position w:val="1"/>
                      <w:sz w:val="21"/>
                      <w:szCs w:val="21"/>
                      <w:highlight w:val="none"/>
                    </w:rPr>
                    <w:t>/</w:t>
                  </w:r>
                </w:p>
              </w:tc>
              <w:tc>
                <w:tcPr>
                  <w:tcW w:w="797" w:type="dxa"/>
                  <w:tcBorders>
                    <w:tl2br w:val="nil"/>
                    <w:tr2bl w:val="nil"/>
                  </w:tcBorders>
                  <w:shd w:val="clear" w:color="auto" w:fill="auto"/>
                  <w:vAlign w:val="center"/>
                </w:tcPr>
                <w:p w14:paraId="4981B3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069364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301A1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1AF24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6204E4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AA0F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56</w:t>
                  </w:r>
                </w:p>
              </w:tc>
              <w:tc>
                <w:tcPr>
                  <w:tcW w:w="587" w:type="dxa"/>
                  <w:vMerge w:val="continue"/>
                  <w:tcBorders>
                    <w:top w:val="single" w:color="000000" w:sz="12" w:space="0"/>
                    <w:bottom w:val="single" w:color="000000" w:sz="12" w:space="0"/>
                    <w:tl2br w:val="nil"/>
                    <w:tr2bl w:val="nil"/>
                  </w:tcBorders>
                  <w:shd w:val="clear" w:color="auto" w:fill="auto"/>
                  <w:vAlign w:val="center"/>
                </w:tcPr>
                <w:p w14:paraId="4D527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ABA95D9">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宋体"/>
                      <w:color w:val="auto"/>
                      <w:spacing w:val="0"/>
                      <w:kern w:val="2"/>
                      <w:sz w:val="21"/>
                      <w:szCs w:val="21"/>
                      <w:highlight w:val="none"/>
                      <w:lang w:val="en-US" w:eastAsia="en-US" w:bidi="ar-SA"/>
                    </w:rPr>
                  </w:pPr>
                  <w:r>
                    <w:rPr>
                      <w:rFonts w:hint="default" w:ascii="Times New Roman" w:hAnsi="Times New Roman" w:eastAsia="宋体"/>
                      <w:color w:val="auto"/>
                      <w:spacing w:val="0"/>
                      <w:sz w:val="21"/>
                      <w:szCs w:val="21"/>
                      <w:highlight w:val="none"/>
                    </w:rPr>
                    <w:t>铅笔硬度计</w:t>
                  </w:r>
                </w:p>
              </w:tc>
              <w:tc>
                <w:tcPr>
                  <w:tcW w:w="958" w:type="dxa"/>
                  <w:tcBorders>
                    <w:tl2br w:val="nil"/>
                    <w:tr2bl w:val="nil"/>
                  </w:tcBorders>
                  <w:shd w:val="clear" w:color="auto" w:fill="auto"/>
                  <w:vAlign w:val="center"/>
                </w:tcPr>
                <w:p w14:paraId="03F8A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QHQ-A</w:t>
                  </w:r>
                </w:p>
              </w:tc>
              <w:tc>
                <w:tcPr>
                  <w:tcW w:w="797" w:type="dxa"/>
                  <w:tcBorders>
                    <w:tl2br w:val="nil"/>
                    <w:tr2bl w:val="nil"/>
                  </w:tcBorders>
                  <w:shd w:val="clear" w:color="auto" w:fill="auto"/>
                  <w:vAlign w:val="center"/>
                </w:tcPr>
                <w:p w14:paraId="6C53E3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13067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04503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2DA3AB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16651E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7751E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57</w:t>
                  </w:r>
                </w:p>
              </w:tc>
              <w:tc>
                <w:tcPr>
                  <w:tcW w:w="587" w:type="dxa"/>
                  <w:vMerge w:val="continue"/>
                  <w:tcBorders>
                    <w:top w:val="single" w:color="000000" w:sz="12" w:space="0"/>
                    <w:bottom w:val="single" w:color="000000" w:sz="12" w:space="0"/>
                    <w:tl2br w:val="nil"/>
                    <w:tr2bl w:val="nil"/>
                  </w:tcBorders>
                  <w:shd w:val="clear" w:color="auto" w:fill="auto"/>
                  <w:vAlign w:val="center"/>
                </w:tcPr>
                <w:p w14:paraId="12C4B4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9903B7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宋体"/>
                      <w:color w:val="auto"/>
                      <w:spacing w:val="0"/>
                      <w:kern w:val="2"/>
                      <w:sz w:val="21"/>
                      <w:szCs w:val="21"/>
                      <w:highlight w:val="none"/>
                      <w:lang w:val="en-US" w:eastAsia="en-US" w:bidi="ar-SA"/>
                    </w:rPr>
                  </w:pPr>
                  <w:r>
                    <w:rPr>
                      <w:rFonts w:hint="default" w:ascii="Times New Roman" w:hAnsi="Times New Roman" w:eastAsia="宋体"/>
                      <w:color w:val="auto"/>
                      <w:spacing w:val="0"/>
                      <w:sz w:val="21"/>
                      <w:szCs w:val="21"/>
                      <w:highlight w:val="none"/>
                    </w:rPr>
                    <w:t>桌面</w:t>
                  </w:r>
                  <w:r>
                    <w:rPr>
                      <w:rFonts w:hint="default" w:ascii="Times New Roman" w:hAnsi="Times New Roman" w:eastAsia="宋体" w:cs="Times New Roman"/>
                      <w:color w:val="auto"/>
                      <w:spacing w:val="0"/>
                      <w:sz w:val="21"/>
                      <w:szCs w:val="21"/>
                      <w:highlight w:val="none"/>
                    </w:rPr>
                    <w:t>3D</w:t>
                  </w:r>
                  <w:r>
                    <w:rPr>
                      <w:rFonts w:hint="default" w:ascii="Times New Roman" w:hAnsi="Times New Roman" w:eastAsia="宋体"/>
                      <w:color w:val="auto"/>
                      <w:spacing w:val="0"/>
                      <w:sz w:val="21"/>
                      <w:szCs w:val="21"/>
                      <w:highlight w:val="none"/>
                    </w:rPr>
                    <w:t>打印机</w:t>
                  </w:r>
                </w:p>
              </w:tc>
              <w:tc>
                <w:tcPr>
                  <w:tcW w:w="958" w:type="dxa"/>
                  <w:tcBorders>
                    <w:tl2br w:val="nil"/>
                    <w:tr2bl w:val="nil"/>
                  </w:tcBorders>
                  <w:shd w:val="clear" w:color="auto" w:fill="auto"/>
                  <w:vAlign w:val="center"/>
                </w:tcPr>
                <w:p w14:paraId="20096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Moonary-S100</w:t>
                  </w:r>
                </w:p>
              </w:tc>
              <w:tc>
                <w:tcPr>
                  <w:tcW w:w="797" w:type="dxa"/>
                  <w:tcBorders>
                    <w:tl2br w:val="nil"/>
                    <w:tr2bl w:val="nil"/>
                  </w:tcBorders>
                  <w:shd w:val="clear" w:color="auto" w:fill="auto"/>
                  <w:vAlign w:val="center"/>
                </w:tcPr>
                <w:p w14:paraId="7B2E8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7E73AD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01363A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0C9CE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62CFA6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B64B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58</w:t>
                  </w:r>
                </w:p>
              </w:tc>
              <w:tc>
                <w:tcPr>
                  <w:tcW w:w="587" w:type="dxa"/>
                  <w:vMerge w:val="continue"/>
                  <w:tcBorders>
                    <w:top w:val="single" w:color="000000" w:sz="12" w:space="0"/>
                    <w:bottom w:val="single" w:color="000000" w:sz="12" w:space="0"/>
                    <w:tl2br w:val="nil"/>
                    <w:tr2bl w:val="nil"/>
                  </w:tcBorders>
                  <w:shd w:val="clear" w:color="auto" w:fill="auto"/>
                  <w:vAlign w:val="center"/>
                </w:tcPr>
                <w:p w14:paraId="606F5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0B719646">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宋体"/>
                      <w:color w:val="auto"/>
                      <w:spacing w:val="0"/>
                      <w:kern w:val="2"/>
                      <w:sz w:val="21"/>
                      <w:szCs w:val="21"/>
                      <w:highlight w:val="none"/>
                      <w:lang w:val="en-US" w:eastAsia="en-US" w:bidi="ar-SA"/>
                    </w:rPr>
                  </w:pPr>
                  <w:r>
                    <w:rPr>
                      <w:rFonts w:hint="default" w:ascii="Times New Roman" w:hAnsi="Times New Roman" w:eastAsia="宋体"/>
                      <w:color w:val="auto"/>
                      <w:spacing w:val="0"/>
                      <w:sz w:val="21"/>
                      <w:szCs w:val="21"/>
                      <w:highlight w:val="none"/>
                    </w:rPr>
                    <w:t>普利生打印机</w:t>
                  </w:r>
                </w:p>
              </w:tc>
              <w:tc>
                <w:tcPr>
                  <w:tcW w:w="958" w:type="dxa"/>
                  <w:tcBorders>
                    <w:tl2br w:val="nil"/>
                    <w:tr2bl w:val="nil"/>
                  </w:tcBorders>
                  <w:shd w:val="clear" w:color="auto" w:fill="auto"/>
                  <w:vAlign w:val="center"/>
                </w:tcPr>
                <w:p w14:paraId="0C1558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RPZD6</w:t>
                  </w:r>
                </w:p>
              </w:tc>
              <w:tc>
                <w:tcPr>
                  <w:tcW w:w="797" w:type="dxa"/>
                  <w:tcBorders>
                    <w:tl2br w:val="nil"/>
                    <w:tr2bl w:val="nil"/>
                  </w:tcBorders>
                  <w:shd w:val="clear" w:color="auto" w:fill="auto"/>
                  <w:vAlign w:val="center"/>
                </w:tcPr>
                <w:p w14:paraId="3D29DA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1B7FE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7DD90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03F949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23997A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097867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59</w:t>
                  </w:r>
                </w:p>
              </w:tc>
              <w:tc>
                <w:tcPr>
                  <w:tcW w:w="587" w:type="dxa"/>
                  <w:vMerge w:val="continue"/>
                  <w:tcBorders>
                    <w:top w:val="single" w:color="000000" w:sz="12" w:space="0"/>
                    <w:bottom w:val="single" w:color="000000" w:sz="12" w:space="0"/>
                    <w:tl2br w:val="nil"/>
                    <w:tr2bl w:val="nil"/>
                  </w:tcBorders>
                  <w:shd w:val="clear" w:color="auto" w:fill="auto"/>
                  <w:vAlign w:val="center"/>
                </w:tcPr>
                <w:p w14:paraId="0EC40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3EFCBA08">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宋体"/>
                      <w:color w:val="auto"/>
                      <w:spacing w:val="0"/>
                      <w:kern w:val="2"/>
                      <w:sz w:val="21"/>
                      <w:szCs w:val="21"/>
                      <w:highlight w:val="none"/>
                      <w:lang w:val="en-US" w:eastAsia="en-US" w:bidi="ar-SA"/>
                    </w:rPr>
                  </w:pPr>
                  <w:r>
                    <w:rPr>
                      <w:rFonts w:hint="default" w:ascii="Times New Roman" w:hAnsi="Times New Roman" w:eastAsia="宋体"/>
                      <w:color w:val="auto"/>
                      <w:spacing w:val="0"/>
                      <w:sz w:val="21"/>
                      <w:szCs w:val="21"/>
                      <w:highlight w:val="none"/>
                    </w:rPr>
                    <w:t>超声波清洗机</w:t>
                  </w:r>
                </w:p>
              </w:tc>
              <w:tc>
                <w:tcPr>
                  <w:tcW w:w="958" w:type="dxa"/>
                  <w:tcBorders>
                    <w:tl2br w:val="nil"/>
                    <w:tr2bl w:val="nil"/>
                  </w:tcBorders>
                  <w:shd w:val="clear" w:color="auto" w:fill="auto"/>
                  <w:vAlign w:val="center"/>
                </w:tcPr>
                <w:p w14:paraId="725F78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CH-06BM</w:t>
                  </w:r>
                </w:p>
              </w:tc>
              <w:tc>
                <w:tcPr>
                  <w:tcW w:w="797" w:type="dxa"/>
                  <w:tcBorders>
                    <w:tl2br w:val="nil"/>
                    <w:tr2bl w:val="nil"/>
                  </w:tcBorders>
                  <w:shd w:val="clear" w:color="auto" w:fill="auto"/>
                  <w:vAlign w:val="center"/>
                </w:tcPr>
                <w:p w14:paraId="095368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7B1BB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36CCA1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05CA43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7C4CE2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0C4E2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60</w:t>
                  </w:r>
                </w:p>
              </w:tc>
              <w:tc>
                <w:tcPr>
                  <w:tcW w:w="587" w:type="dxa"/>
                  <w:vMerge w:val="continue"/>
                  <w:tcBorders>
                    <w:top w:val="single" w:color="000000" w:sz="12" w:space="0"/>
                    <w:bottom w:val="single" w:color="000000" w:sz="12" w:space="0"/>
                    <w:tl2br w:val="nil"/>
                    <w:tr2bl w:val="nil"/>
                  </w:tcBorders>
                  <w:shd w:val="clear" w:color="auto" w:fill="auto"/>
                  <w:vAlign w:val="center"/>
                </w:tcPr>
                <w:p w14:paraId="16CC6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371A893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烘箱</w:t>
                  </w:r>
                </w:p>
              </w:tc>
              <w:tc>
                <w:tcPr>
                  <w:tcW w:w="958" w:type="dxa"/>
                  <w:tcBorders>
                    <w:tl2br w:val="nil"/>
                    <w:tr2bl w:val="nil"/>
                  </w:tcBorders>
                  <w:shd w:val="clear" w:color="auto" w:fill="auto"/>
                  <w:vAlign w:val="center"/>
                </w:tcPr>
                <w:p w14:paraId="1FD6B5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DHG101-3B</w:t>
                  </w:r>
                </w:p>
              </w:tc>
              <w:tc>
                <w:tcPr>
                  <w:tcW w:w="797" w:type="dxa"/>
                  <w:tcBorders>
                    <w:tl2br w:val="nil"/>
                    <w:tr2bl w:val="nil"/>
                  </w:tcBorders>
                  <w:shd w:val="clear" w:color="auto" w:fill="auto"/>
                  <w:vAlign w:val="center"/>
                </w:tcPr>
                <w:p w14:paraId="49A8B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60891C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11FB38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33135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40826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2916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61</w:t>
                  </w:r>
                </w:p>
              </w:tc>
              <w:tc>
                <w:tcPr>
                  <w:tcW w:w="587" w:type="dxa"/>
                  <w:vMerge w:val="continue"/>
                  <w:tcBorders>
                    <w:top w:val="single" w:color="000000" w:sz="12" w:space="0"/>
                    <w:bottom w:val="single" w:color="000000" w:sz="12" w:space="0"/>
                    <w:tl2br w:val="nil"/>
                    <w:tr2bl w:val="nil"/>
                  </w:tcBorders>
                  <w:shd w:val="clear" w:color="auto" w:fill="auto"/>
                  <w:vAlign w:val="center"/>
                </w:tcPr>
                <w:p w14:paraId="353D9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67F72C9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紫外固化机</w:t>
                  </w:r>
                </w:p>
              </w:tc>
              <w:tc>
                <w:tcPr>
                  <w:tcW w:w="958" w:type="dxa"/>
                  <w:tcBorders>
                    <w:tl2br w:val="nil"/>
                    <w:tr2bl w:val="nil"/>
                  </w:tcBorders>
                  <w:shd w:val="clear" w:color="auto" w:fill="auto"/>
                  <w:vAlign w:val="center"/>
                </w:tcPr>
                <w:p w14:paraId="4B3BE5F9">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定制</w:t>
                  </w:r>
                  <w:r>
                    <w:rPr>
                      <w:rFonts w:hint="default" w:ascii="Times New Roman" w:hAnsi="Times New Roman" w:eastAsia="宋体" w:cs="Times New Roman"/>
                      <w:color w:val="auto"/>
                      <w:spacing w:val="0"/>
                      <w:sz w:val="21"/>
                      <w:szCs w:val="21"/>
                      <w:highlight w:val="none"/>
                    </w:rPr>
                    <w:t>-N/A</w:t>
                  </w:r>
                </w:p>
              </w:tc>
              <w:tc>
                <w:tcPr>
                  <w:tcW w:w="797" w:type="dxa"/>
                  <w:tcBorders>
                    <w:tl2br w:val="nil"/>
                    <w:tr2bl w:val="nil"/>
                  </w:tcBorders>
                  <w:shd w:val="clear" w:color="auto" w:fill="auto"/>
                  <w:vAlign w:val="center"/>
                </w:tcPr>
                <w:p w14:paraId="754E0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2CF62B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0FB69D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6926C6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6C0DD7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524F4D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62</w:t>
                  </w:r>
                </w:p>
              </w:tc>
              <w:tc>
                <w:tcPr>
                  <w:tcW w:w="587" w:type="dxa"/>
                  <w:vMerge w:val="continue"/>
                  <w:tcBorders>
                    <w:top w:val="single" w:color="000000" w:sz="12" w:space="0"/>
                    <w:bottom w:val="single" w:color="000000" w:sz="12" w:space="0"/>
                    <w:tl2br w:val="nil"/>
                    <w:tr2bl w:val="nil"/>
                  </w:tcBorders>
                  <w:shd w:val="clear" w:color="auto" w:fill="auto"/>
                  <w:vAlign w:val="center"/>
                </w:tcPr>
                <w:p w14:paraId="181E3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7494F549">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3D</w:t>
                  </w:r>
                  <w:r>
                    <w:rPr>
                      <w:rFonts w:hint="default" w:ascii="Times New Roman" w:hAnsi="Times New Roman" w:eastAsia="宋体"/>
                      <w:color w:val="auto"/>
                      <w:spacing w:val="0"/>
                      <w:sz w:val="21"/>
                      <w:szCs w:val="21"/>
                      <w:highlight w:val="none"/>
                    </w:rPr>
                    <w:t>打印机</w:t>
                  </w:r>
                </w:p>
              </w:tc>
              <w:tc>
                <w:tcPr>
                  <w:tcW w:w="958" w:type="dxa"/>
                  <w:tcBorders>
                    <w:tl2br w:val="nil"/>
                    <w:tr2bl w:val="nil"/>
                  </w:tcBorders>
                  <w:shd w:val="clear" w:color="auto" w:fill="auto"/>
                  <w:vAlign w:val="center"/>
                </w:tcPr>
                <w:p w14:paraId="46325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RPZD6C</w:t>
                  </w:r>
                </w:p>
              </w:tc>
              <w:tc>
                <w:tcPr>
                  <w:tcW w:w="797" w:type="dxa"/>
                  <w:tcBorders>
                    <w:tl2br w:val="nil"/>
                    <w:tr2bl w:val="nil"/>
                  </w:tcBorders>
                  <w:shd w:val="clear" w:color="auto" w:fill="auto"/>
                  <w:vAlign w:val="center"/>
                </w:tcPr>
                <w:p w14:paraId="7DE3A2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7463CC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45108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65C4B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40A0A2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700DA0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63</w:t>
                  </w:r>
                </w:p>
              </w:tc>
              <w:tc>
                <w:tcPr>
                  <w:tcW w:w="587" w:type="dxa"/>
                  <w:vMerge w:val="continue"/>
                  <w:tcBorders>
                    <w:top w:val="single" w:color="000000" w:sz="12" w:space="0"/>
                    <w:bottom w:val="single" w:color="000000" w:sz="12" w:space="0"/>
                    <w:tl2br w:val="nil"/>
                    <w:tr2bl w:val="nil"/>
                  </w:tcBorders>
                  <w:shd w:val="clear" w:color="auto" w:fill="auto"/>
                  <w:vAlign w:val="center"/>
                </w:tcPr>
                <w:p w14:paraId="0983EB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08E6CB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光固化后处理机</w:t>
                  </w:r>
                </w:p>
              </w:tc>
              <w:tc>
                <w:tcPr>
                  <w:tcW w:w="958" w:type="dxa"/>
                  <w:tcBorders>
                    <w:tl2br w:val="nil"/>
                    <w:tr2bl w:val="nil"/>
                  </w:tcBorders>
                  <w:shd w:val="clear" w:color="auto" w:fill="auto"/>
                  <w:vAlign w:val="center"/>
                </w:tcPr>
                <w:p w14:paraId="32A1A73E">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定制机</w:t>
                  </w:r>
                </w:p>
              </w:tc>
              <w:tc>
                <w:tcPr>
                  <w:tcW w:w="797" w:type="dxa"/>
                  <w:tcBorders>
                    <w:tl2br w:val="nil"/>
                    <w:tr2bl w:val="nil"/>
                  </w:tcBorders>
                  <w:shd w:val="clear" w:color="auto" w:fill="auto"/>
                  <w:vAlign w:val="center"/>
                </w:tcPr>
                <w:p w14:paraId="71152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30411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04EBE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35E796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6DE2D2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8A180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64</w:t>
                  </w:r>
                </w:p>
              </w:tc>
              <w:tc>
                <w:tcPr>
                  <w:tcW w:w="587" w:type="dxa"/>
                  <w:vMerge w:val="continue"/>
                  <w:tcBorders>
                    <w:top w:val="single" w:color="000000" w:sz="12" w:space="0"/>
                    <w:bottom w:val="single" w:color="000000" w:sz="12" w:space="0"/>
                    <w:tl2br w:val="nil"/>
                    <w:tr2bl w:val="nil"/>
                  </w:tcBorders>
                  <w:shd w:val="clear" w:color="auto" w:fill="auto"/>
                  <w:vAlign w:val="center"/>
                </w:tcPr>
                <w:p w14:paraId="2537E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713830FC">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后处理甩干机</w:t>
                  </w:r>
                </w:p>
              </w:tc>
              <w:tc>
                <w:tcPr>
                  <w:tcW w:w="958" w:type="dxa"/>
                  <w:tcBorders>
                    <w:tl2br w:val="nil"/>
                    <w:tr2bl w:val="nil"/>
                  </w:tcBorders>
                  <w:shd w:val="clear" w:color="auto" w:fill="auto"/>
                  <w:vAlign w:val="center"/>
                </w:tcPr>
                <w:p w14:paraId="12150B33">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定制机</w:t>
                  </w:r>
                </w:p>
              </w:tc>
              <w:tc>
                <w:tcPr>
                  <w:tcW w:w="797" w:type="dxa"/>
                  <w:tcBorders>
                    <w:tl2br w:val="nil"/>
                    <w:tr2bl w:val="nil"/>
                  </w:tcBorders>
                  <w:shd w:val="clear" w:color="auto" w:fill="auto"/>
                  <w:vAlign w:val="center"/>
                </w:tcPr>
                <w:p w14:paraId="7CE51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4B166C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05B982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2FD9F3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791ECD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093D0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65</w:t>
                  </w:r>
                </w:p>
              </w:tc>
              <w:tc>
                <w:tcPr>
                  <w:tcW w:w="587" w:type="dxa"/>
                  <w:vMerge w:val="continue"/>
                  <w:tcBorders>
                    <w:top w:val="single" w:color="000000" w:sz="12" w:space="0"/>
                    <w:bottom w:val="single" w:color="000000" w:sz="12" w:space="0"/>
                    <w:tl2br w:val="nil"/>
                    <w:tr2bl w:val="nil"/>
                  </w:tcBorders>
                  <w:shd w:val="clear" w:color="auto" w:fill="auto"/>
                  <w:vAlign w:val="center"/>
                </w:tcPr>
                <w:p w14:paraId="00AE52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B66989A">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自动压膜机</w:t>
                  </w:r>
                </w:p>
              </w:tc>
              <w:tc>
                <w:tcPr>
                  <w:tcW w:w="958" w:type="dxa"/>
                  <w:tcBorders>
                    <w:tl2br w:val="nil"/>
                    <w:tr2bl w:val="nil"/>
                  </w:tcBorders>
                  <w:shd w:val="clear" w:color="auto" w:fill="auto"/>
                  <w:vAlign w:val="center"/>
                </w:tcPr>
                <w:p w14:paraId="2E81FB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ZS-2440</w:t>
                  </w:r>
                </w:p>
              </w:tc>
              <w:tc>
                <w:tcPr>
                  <w:tcW w:w="797" w:type="dxa"/>
                  <w:tcBorders>
                    <w:tl2br w:val="nil"/>
                    <w:tr2bl w:val="nil"/>
                  </w:tcBorders>
                  <w:shd w:val="clear" w:color="auto" w:fill="auto"/>
                  <w:vAlign w:val="center"/>
                </w:tcPr>
                <w:p w14:paraId="75D12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410E4C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23A35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7A91B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32BECC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747C4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67</w:t>
                  </w:r>
                </w:p>
              </w:tc>
              <w:tc>
                <w:tcPr>
                  <w:tcW w:w="587" w:type="dxa"/>
                  <w:vMerge w:val="continue"/>
                  <w:tcBorders>
                    <w:top w:val="single" w:color="000000" w:sz="12" w:space="0"/>
                    <w:bottom w:val="single" w:color="000000" w:sz="12" w:space="0"/>
                    <w:tl2br w:val="nil"/>
                    <w:tr2bl w:val="nil"/>
                  </w:tcBorders>
                  <w:shd w:val="clear" w:color="auto" w:fill="auto"/>
                  <w:vAlign w:val="center"/>
                </w:tcPr>
                <w:p w14:paraId="747E1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6BD05013">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eastAsia" w:ascii="Times New Roman" w:hAnsi="Times New Roman" w:eastAsia="宋体"/>
                      <w:color w:val="auto"/>
                      <w:spacing w:val="0"/>
                      <w:sz w:val="21"/>
                      <w:szCs w:val="21"/>
                      <w:highlight w:val="none"/>
                      <w:lang w:val="en-US" w:eastAsia="zh-CN"/>
                    </w:rPr>
                  </w:pPr>
                  <w:r>
                    <w:rPr>
                      <w:rFonts w:hint="default" w:ascii="Times New Roman" w:hAnsi="Times New Roman" w:eastAsia="宋体"/>
                      <w:color w:val="auto"/>
                      <w:spacing w:val="0"/>
                      <w:sz w:val="21"/>
                      <w:szCs w:val="21"/>
                      <w:highlight w:val="none"/>
                    </w:rPr>
                    <w:t>自动打标切割机</w:t>
                  </w:r>
                  <w:r>
                    <w:rPr>
                      <w:rFonts w:hint="eastAsia" w:ascii="Times New Roman" w:hAnsi="Times New Roman" w:eastAsia="宋体"/>
                      <w:color w:val="auto"/>
                      <w:spacing w:val="0"/>
                      <w:sz w:val="21"/>
                      <w:szCs w:val="21"/>
                      <w:highlight w:val="none"/>
                      <w:lang w:val="en-US" w:eastAsia="zh-CN"/>
                    </w:rPr>
                    <w:t>-五轴激光切割装备</w:t>
                  </w:r>
                </w:p>
              </w:tc>
              <w:tc>
                <w:tcPr>
                  <w:tcW w:w="958" w:type="dxa"/>
                  <w:tcBorders>
                    <w:tl2br w:val="nil"/>
                    <w:tr2bl w:val="nil"/>
                  </w:tcBorders>
                  <w:shd w:val="clear" w:color="auto" w:fill="auto"/>
                  <w:vAlign w:val="center"/>
                </w:tcPr>
                <w:p w14:paraId="5E440F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c>
                <w:tcPr>
                  <w:tcW w:w="797" w:type="dxa"/>
                  <w:tcBorders>
                    <w:tl2br w:val="nil"/>
                    <w:tr2bl w:val="nil"/>
                  </w:tcBorders>
                  <w:shd w:val="clear" w:color="auto" w:fill="auto"/>
                  <w:vAlign w:val="center"/>
                </w:tcPr>
                <w:p w14:paraId="77A3B8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765" w:type="dxa"/>
                  <w:tcBorders>
                    <w:tl2br w:val="nil"/>
                    <w:tr2bl w:val="nil"/>
                  </w:tcBorders>
                  <w:shd w:val="clear" w:color="auto" w:fill="auto"/>
                  <w:vAlign w:val="center"/>
                </w:tcPr>
                <w:p w14:paraId="6DFE8D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840" w:type="dxa"/>
                  <w:tcBorders>
                    <w:tl2br w:val="nil"/>
                    <w:tr2bl w:val="nil"/>
                  </w:tcBorders>
                  <w:shd w:val="clear" w:color="auto" w:fill="auto"/>
                  <w:vAlign w:val="center"/>
                </w:tcPr>
                <w:p w14:paraId="3B6EE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lang w:val="en-US" w:eastAsia="zh-CN"/>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33475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2967D6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35F9A2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0"/>
                      <w:sz w:val="21"/>
                      <w:szCs w:val="21"/>
                      <w:highlight w:val="none"/>
                      <w:u w:val="none"/>
                      <w:lang w:val="en-US" w:eastAsia="zh-CN" w:bidi="ar"/>
                    </w:rPr>
                    <w:t>68</w:t>
                  </w:r>
                </w:p>
              </w:tc>
              <w:tc>
                <w:tcPr>
                  <w:tcW w:w="587" w:type="dxa"/>
                  <w:vMerge w:val="continue"/>
                  <w:tcBorders>
                    <w:top w:val="single" w:color="000000" w:sz="12" w:space="0"/>
                    <w:bottom w:val="single" w:color="000000" w:sz="12" w:space="0"/>
                    <w:tl2br w:val="nil"/>
                    <w:tr2bl w:val="nil"/>
                  </w:tcBorders>
                  <w:shd w:val="clear" w:color="auto" w:fill="auto"/>
                  <w:vAlign w:val="center"/>
                </w:tcPr>
                <w:p w14:paraId="25D57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64AA00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自动研磨机</w:t>
                  </w:r>
                </w:p>
              </w:tc>
              <w:tc>
                <w:tcPr>
                  <w:tcW w:w="958" w:type="dxa"/>
                  <w:tcBorders>
                    <w:tl2br w:val="nil"/>
                    <w:tr2bl w:val="nil"/>
                  </w:tcBorders>
                  <w:shd w:val="clear" w:color="auto" w:fill="auto"/>
                  <w:vAlign w:val="center"/>
                </w:tcPr>
                <w:p w14:paraId="6372F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GS1480</w:t>
                  </w:r>
                </w:p>
              </w:tc>
              <w:tc>
                <w:tcPr>
                  <w:tcW w:w="797" w:type="dxa"/>
                  <w:tcBorders>
                    <w:tl2br w:val="nil"/>
                    <w:tr2bl w:val="nil"/>
                  </w:tcBorders>
                  <w:shd w:val="clear" w:color="auto" w:fill="auto"/>
                  <w:vAlign w:val="center"/>
                </w:tcPr>
                <w:p w14:paraId="49704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1CD4B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6B3A2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73666A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5B023E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762BD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69</w:t>
                  </w:r>
                </w:p>
              </w:tc>
              <w:tc>
                <w:tcPr>
                  <w:tcW w:w="587" w:type="dxa"/>
                  <w:vMerge w:val="continue"/>
                  <w:tcBorders>
                    <w:top w:val="single" w:color="000000" w:sz="12" w:space="0"/>
                    <w:bottom w:val="single" w:color="000000" w:sz="12" w:space="0"/>
                    <w:tl2br w:val="nil"/>
                    <w:tr2bl w:val="nil"/>
                  </w:tcBorders>
                  <w:shd w:val="clear" w:color="auto" w:fill="auto"/>
                  <w:vAlign w:val="center"/>
                </w:tcPr>
                <w:p w14:paraId="4CC2F6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357F57A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olor w:val="auto"/>
                      <w:spacing w:val="0"/>
                      <w:sz w:val="21"/>
                      <w:szCs w:val="21"/>
                      <w:highlight w:val="none"/>
                    </w:rPr>
                    <w:t>自动清洗机</w:t>
                  </w:r>
                </w:p>
              </w:tc>
              <w:tc>
                <w:tcPr>
                  <w:tcW w:w="958" w:type="dxa"/>
                  <w:tcBorders>
                    <w:tl2br w:val="nil"/>
                    <w:tr2bl w:val="nil"/>
                  </w:tcBorders>
                  <w:shd w:val="clear" w:color="auto" w:fill="auto"/>
                  <w:vAlign w:val="center"/>
                </w:tcPr>
                <w:p w14:paraId="4A1D7D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pacing w:val="0"/>
                      <w:sz w:val="21"/>
                      <w:szCs w:val="21"/>
                      <w:highlight w:val="none"/>
                    </w:rPr>
                    <w:t>ND-0105</w:t>
                  </w:r>
                </w:p>
              </w:tc>
              <w:tc>
                <w:tcPr>
                  <w:tcW w:w="797" w:type="dxa"/>
                  <w:tcBorders>
                    <w:tl2br w:val="nil"/>
                    <w:tr2bl w:val="nil"/>
                  </w:tcBorders>
                  <w:shd w:val="clear" w:color="auto" w:fill="auto"/>
                  <w:vAlign w:val="center"/>
                </w:tcPr>
                <w:p w14:paraId="5427B2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sz w:val="21"/>
                      <w:szCs w:val="21"/>
                      <w:highlight w:val="none"/>
                      <w:u w:val="none"/>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2C755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7795D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sz w:val="21"/>
                      <w:szCs w:val="21"/>
                      <w:highlight w:val="none"/>
                      <w:u w:val="none"/>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54D62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566A5A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7FA92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70</w:t>
                  </w:r>
                </w:p>
              </w:tc>
              <w:tc>
                <w:tcPr>
                  <w:tcW w:w="587" w:type="dxa"/>
                  <w:vMerge w:val="continue"/>
                  <w:tcBorders>
                    <w:top w:val="single" w:color="000000" w:sz="12" w:space="0"/>
                    <w:bottom w:val="single" w:color="000000" w:sz="12" w:space="0"/>
                    <w:tl2br w:val="nil"/>
                    <w:tr2bl w:val="nil"/>
                  </w:tcBorders>
                  <w:shd w:val="clear" w:color="auto" w:fill="auto"/>
                  <w:vAlign w:val="center"/>
                </w:tcPr>
                <w:p w14:paraId="74F08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25B482D5">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olor w:val="auto"/>
                      <w:spacing w:val="0"/>
                      <w:sz w:val="21"/>
                      <w:szCs w:val="21"/>
                      <w:highlight w:val="none"/>
                    </w:rPr>
                    <w:t>自动分拣内包机</w:t>
                  </w:r>
                </w:p>
              </w:tc>
              <w:tc>
                <w:tcPr>
                  <w:tcW w:w="958" w:type="dxa"/>
                  <w:tcBorders>
                    <w:tl2br w:val="nil"/>
                    <w:tr2bl w:val="nil"/>
                  </w:tcBorders>
                  <w:shd w:val="clear" w:color="auto" w:fill="auto"/>
                  <w:vAlign w:val="center"/>
                </w:tcPr>
                <w:p w14:paraId="69EFF3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pacing w:val="0"/>
                      <w:sz w:val="21"/>
                      <w:szCs w:val="21"/>
                      <w:highlight w:val="none"/>
                    </w:rPr>
                    <w:t>SDTS170602</w:t>
                  </w:r>
                </w:p>
              </w:tc>
              <w:tc>
                <w:tcPr>
                  <w:tcW w:w="797" w:type="dxa"/>
                  <w:tcBorders>
                    <w:tl2br w:val="nil"/>
                    <w:tr2bl w:val="nil"/>
                  </w:tcBorders>
                  <w:shd w:val="clear" w:color="auto" w:fill="auto"/>
                  <w:vAlign w:val="center"/>
                </w:tcPr>
                <w:p w14:paraId="5219E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786E8B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2E771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5E70C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4048F9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7EAB4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71</w:t>
                  </w:r>
                </w:p>
              </w:tc>
              <w:tc>
                <w:tcPr>
                  <w:tcW w:w="587" w:type="dxa"/>
                  <w:vMerge w:val="continue"/>
                  <w:tcBorders>
                    <w:top w:val="single" w:color="000000" w:sz="12" w:space="0"/>
                    <w:bottom w:val="single" w:color="000000" w:sz="12" w:space="0"/>
                    <w:tl2br w:val="nil"/>
                    <w:tr2bl w:val="nil"/>
                  </w:tcBorders>
                  <w:shd w:val="clear" w:color="auto" w:fill="auto"/>
                  <w:vAlign w:val="center"/>
                </w:tcPr>
                <w:p w14:paraId="600E5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1E0E4D3B">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olor w:val="auto"/>
                      <w:spacing w:val="0"/>
                      <w:sz w:val="21"/>
                      <w:szCs w:val="21"/>
                      <w:highlight w:val="none"/>
                    </w:rPr>
                    <w:t>生物力学测试平台</w:t>
                  </w:r>
                </w:p>
              </w:tc>
              <w:tc>
                <w:tcPr>
                  <w:tcW w:w="958" w:type="dxa"/>
                  <w:tcBorders>
                    <w:tl2br w:val="nil"/>
                    <w:tr2bl w:val="nil"/>
                  </w:tcBorders>
                  <w:shd w:val="clear" w:color="auto" w:fill="auto"/>
                  <w:vAlign w:val="center"/>
                </w:tcPr>
                <w:p w14:paraId="490BAEC9">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olor w:val="auto"/>
                      <w:spacing w:val="0"/>
                      <w:sz w:val="21"/>
                      <w:szCs w:val="21"/>
                      <w:highlight w:val="none"/>
                    </w:rPr>
                    <w:t>定制</w:t>
                  </w:r>
                </w:p>
              </w:tc>
              <w:tc>
                <w:tcPr>
                  <w:tcW w:w="797" w:type="dxa"/>
                  <w:tcBorders>
                    <w:tl2br w:val="nil"/>
                    <w:tr2bl w:val="nil"/>
                  </w:tcBorders>
                  <w:shd w:val="clear" w:color="auto" w:fill="auto"/>
                  <w:vAlign w:val="center"/>
                </w:tcPr>
                <w:p w14:paraId="76CCE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2</w:t>
                  </w:r>
                </w:p>
              </w:tc>
              <w:tc>
                <w:tcPr>
                  <w:tcW w:w="765" w:type="dxa"/>
                  <w:tcBorders>
                    <w:tl2br w:val="nil"/>
                    <w:tr2bl w:val="nil"/>
                  </w:tcBorders>
                  <w:shd w:val="clear" w:color="auto" w:fill="auto"/>
                  <w:vAlign w:val="center"/>
                </w:tcPr>
                <w:p w14:paraId="4F365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2</w:t>
                  </w:r>
                </w:p>
              </w:tc>
              <w:tc>
                <w:tcPr>
                  <w:tcW w:w="840" w:type="dxa"/>
                  <w:tcBorders>
                    <w:tl2br w:val="nil"/>
                    <w:tr2bl w:val="nil"/>
                  </w:tcBorders>
                  <w:shd w:val="clear" w:color="auto" w:fill="auto"/>
                  <w:vAlign w:val="center"/>
                </w:tcPr>
                <w:p w14:paraId="577F1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7EE1F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66A4F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217EB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72</w:t>
                  </w:r>
                </w:p>
              </w:tc>
              <w:tc>
                <w:tcPr>
                  <w:tcW w:w="587" w:type="dxa"/>
                  <w:vMerge w:val="continue"/>
                  <w:tcBorders>
                    <w:top w:val="single" w:color="000000" w:sz="12" w:space="0"/>
                    <w:bottom w:val="single" w:color="000000" w:sz="12" w:space="0"/>
                    <w:tl2br w:val="nil"/>
                    <w:tr2bl w:val="nil"/>
                  </w:tcBorders>
                  <w:shd w:val="clear" w:color="auto" w:fill="auto"/>
                  <w:vAlign w:val="center"/>
                </w:tcPr>
                <w:p w14:paraId="1317DF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5D5D3B52">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olor w:val="auto"/>
                      <w:spacing w:val="0"/>
                      <w:sz w:val="21"/>
                      <w:szCs w:val="21"/>
                      <w:highlight w:val="none"/>
                    </w:rPr>
                    <w:t>电子万能试验机</w:t>
                  </w:r>
                </w:p>
              </w:tc>
              <w:tc>
                <w:tcPr>
                  <w:tcW w:w="958" w:type="dxa"/>
                  <w:tcBorders>
                    <w:tl2br w:val="nil"/>
                    <w:tr2bl w:val="nil"/>
                  </w:tcBorders>
                  <w:shd w:val="clear" w:color="auto" w:fill="auto"/>
                  <w:vAlign w:val="center"/>
                </w:tcPr>
                <w:p w14:paraId="1D7997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pacing w:val="0"/>
                      <w:sz w:val="21"/>
                      <w:szCs w:val="21"/>
                      <w:highlight w:val="none"/>
                    </w:rPr>
                    <w:t>QJ-210A</w:t>
                  </w:r>
                </w:p>
              </w:tc>
              <w:tc>
                <w:tcPr>
                  <w:tcW w:w="797" w:type="dxa"/>
                  <w:tcBorders>
                    <w:tl2br w:val="nil"/>
                    <w:tr2bl w:val="nil"/>
                  </w:tcBorders>
                  <w:shd w:val="clear" w:color="auto" w:fill="auto"/>
                  <w:vAlign w:val="center"/>
                </w:tcPr>
                <w:p w14:paraId="2DD731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78B1F7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260107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1144B2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r w14:paraId="395D42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62" w:type="dxa"/>
                  <w:tcBorders>
                    <w:tl2br w:val="nil"/>
                    <w:tr2bl w:val="nil"/>
                  </w:tcBorders>
                  <w:shd w:val="clear" w:color="auto" w:fill="auto"/>
                  <w:vAlign w:val="center"/>
                </w:tcPr>
                <w:p w14:paraId="6E49A4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2"/>
                      <w:sz w:val="21"/>
                      <w:szCs w:val="21"/>
                      <w:highlight w:val="none"/>
                      <w:u w:val="none"/>
                      <w:lang w:val="en-US" w:eastAsia="zh-CN" w:bidi="ar-SA"/>
                    </w:rPr>
                  </w:pPr>
                  <w:r>
                    <w:rPr>
                      <w:rFonts w:hint="eastAsia" w:ascii="Times New Roman" w:hAnsi="Times New Roman" w:eastAsia="宋体" w:cs="Times New Roman"/>
                      <w:i w:val="0"/>
                      <w:iCs w:val="0"/>
                      <w:color w:val="auto"/>
                      <w:spacing w:val="0"/>
                      <w:kern w:val="2"/>
                      <w:sz w:val="21"/>
                      <w:szCs w:val="21"/>
                      <w:highlight w:val="none"/>
                      <w:u w:val="none"/>
                      <w:lang w:val="en-US" w:eastAsia="zh-CN" w:bidi="ar-SA"/>
                    </w:rPr>
                    <w:t>30</w:t>
                  </w:r>
                </w:p>
              </w:tc>
              <w:tc>
                <w:tcPr>
                  <w:tcW w:w="587" w:type="dxa"/>
                  <w:vMerge w:val="continue"/>
                  <w:tcBorders>
                    <w:top w:val="single" w:color="000000" w:sz="12" w:space="0"/>
                    <w:bottom w:val="single" w:color="000000" w:sz="12" w:space="0"/>
                    <w:tl2br w:val="nil"/>
                    <w:tr2bl w:val="nil"/>
                  </w:tcBorders>
                  <w:shd w:val="clear" w:color="auto" w:fill="auto"/>
                  <w:vAlign w:val="center"/>
                </w:tcPr>
                <w:p w14:paraId="746EF8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sz w:val="21"/>
                      <w:szCs w:val="21"/>
                      <w:highlight w:val="none"/>
                      <w:u w:val="none"/>
                    </w:rPr>
                  </w:pPr>
                </w:p>
              </w:tc>
              <w:tc>
                <w:tcPr>
                  <w:tcW w:w="1673" w:type="dxa"/>
                  <w:tcBorders>
                    <w:tl2br w:val="nil"/>
                    <w:tr2bl w:val="nil"/>
                  </w:tcBorders>
                  <w:shd w:val="clear" w:color="auto" w:fill="auto"/>
                  <w:vAlign w:val="center"/>
                </w:tcPr>
                <w:p w14:paraId="01AE88CF">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pacing w:val="0"/>
                      <w:sz w:val="21"/>
                      <w:szCs w:val="21"/>
                      <w:highlight w:val="none"/>
                    </w:rPr>
                    <w:t>Instron</w:t>
                  </w:r>
                  <w:r>
                    <w:rPr>
                      <w:rFonts w:hint="default" w:ascii="Times New Roman" w:hAnsi="Times New Roman" w:eastAsia="宋体"/>
                      <w:color w:val="auto"/>
                      <w:spacing w:val="0"/>
                      <w:sz w:val="21"/>
                      <w:szCs w:val="21"/>
                      <w:highlight w:val="none"/>
                    </w:rPr>
                    <w:t>万能试验机</w:t>
                  </w:r>
                </w:p>
              </w:tc>
              <w:tc>
                <w:tcPr>
                  <w:tcW w:w="958" w:type="dxa"/>
                  <w:tcBorders>
                    <w:tl2br w:val="nil"/>
                    <w:tr2bl w:val="nil"/>
                  </w:tcBorders>
                  <w:shd w:val="clear" w:color="auto" w:fill="auto"/>
                  <w:vAlign w:val="center"/>
                </w:tcPr>
                <w:p w14:paraId="41A30FDD">
                  <w:pPr>
                    <w:pStyle w:val="3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pacing w:val="0"/>
                      <w:sz w:val="21"/>
                      <w:szCs w:val="21"/>
                      <w:highlight w:val="none"/>
                    </w:rPr>
                    <w:t>5943</w:t>
                  </w:r>
                  <w:r>
                    <w:rPr>
                      <w:rFonts w:hint="default" w:ascii="Times New Roman" w:hAnsi="Times New Roman" w:eastAsia="宋体"/>
                      <w:color w:val="auto"/>
                      <w:spacing w:val="0"/>
                      <w:sz w:val="21"/>
                      <w:szCs w:val="21"/>
                      <w:highlight w:val="none"/>
                    </w:rPr>
                    <w:t>（</w:t>
                  </w:r>
                  <w:r>
                    <w:rPr>
                      <w:rFonts w:hint="default" w:ascii="Times New Roman" w:hAnsi="Times New Roman" w:eastAsia="宋体" w:cs="Times New Roman"/>
                      <w:color w:val="auto"/>
                      <w:spacing w:val="0"/>
                      <w:sz w:val="21"/>
                      <w:szCs w:val="21"/>
                      <w:highlight w:val="none"/>
                    </w:rPr>
                    <w:t>1KN</w:t>
                  </w:r>
                  <w:r>
                    <w:rPr>
                      <w:rFonts w:hint="default" w:ascii="Times New Roman" w:hAnsi="Times New Roman" w:eastAsia="宋体"/>
                      <w:color w:val="auto"/>
                      <w:spacing w:val="0"/>
                      <w:sz w:val="21"/>
                      <w:szCs w:val="21"/>
                      <w:highlight w:val="none"/>
                    </w:rPr>
                    <w:t>）</w:t>
                  </w:r>
                </w:p>
              </w:tc>
              <w:tc>
                <w:tcPr>
                  <w:tcW w:w="797" w:type="dxa"/>
                  <w:tcBorders>
                    <w:tl2br w:val="nil"/>
                    <w:tr2bl w:val="nil"/>
                  </w:tcBorders>
                  <w:shd w:val="clear" w:color="auto" w:fill="auto"/>
                  <w:vAlign w:val="center"/>
                </w:tcPr>
                <w:p w14:paraId="23A18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1</w:t>
                  </w:r>
                </w:p>
              </w:tc>
              <w:tc>
                <w:tcPr>
                  <w:tcW w:w="765" w:type="dxa"/>
                  <w:tcBorders>
                    <w:tl2br w:val="nil"/>
                    <w:tr2bl w:val="nil"/>
                  </w:tcBorders>
                  <w:shd w:val="clear" w:color="auto" w:fill="auto"/>
                  <w:vAlign w:val="center"/>
                </w:tcPr>
                <w:p w14:paraId="2DF36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jc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1</w:t>
                  </w:r>
                </w:p>
              </w:tc>
              <w:tc>
                <w:tcPr>
                  <w:tcW w:w="840" w:type="dxa"/>
                  <w:tcBorders>
                    <w:tl2br w:val="nil"/>
                    <w:tr2bl w:val="nil"/>
                  </w:tcBorders>
                  <w:shd w:val="clear" w:color="auto" w:fill="auto"/>
                  <w:vAlign w:val="center"/>
                </w:tcPr>
                <w:p w14:paraId="69CA99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42" w:leftChars="-20" w:right="-42" w:rightChars="-20" w:firstLine="0" w:firstLineChars="0"/>
                    <w:jc w:val="center"/>
                    <w:textAlignment w:val="center"/>
                    <w:rPr>
                      <w:rFonts w:hint="default" w:ascii="Times New Roman" w:hAnsi="Times New Roman" w:eastAsia="宋体" w:cs="Times New Roman"/>
                      <w:i w:val="0"/>
                      <w:iCs w:val="0"/>
                      <w:color w:val="auto"/>
                      <w:spacing w:val="0"/>
                      <w:kern w:val="0"/>
                      <w:sz w:val="21"/>
                      <w:szCs w:val="21"/>
                      <w:highlight w:val="none"/>
                      <w:u w:val="none"/>
                      <w:lang w:val="en-US" w:eastAsia="zh-CN" w:bidi="ar"/>
                    </w:rPr>
                  </w:pPr>
                  <w:r>
                    <w:rPr>
                      <w:rFonts w:hint="eastAsia" w:ascii="Times New Roman" w:hAnsi="Times New Roman" w:eastAsia="宋体" w:cs="Times New Roman"/>
                      <w:i w:val="0"/>
                      <w:iCs w:val="0"/>
                      <w:color w:val="auto"/>
                      <w:spacing w:val="0"/>
                      <w:sz w:val="21"/>
                      <w:szCs w:val="21"/>
                      <w:highlight w:val="none"/>
                      <w:u w:val="none"/>
                      <w:lang w:val="en-US" w:eastAsia="zh-CN"/>
                    </w:rPr>
                    <w:t>0</w:t>
                  </w:r>
                </w:p>
              </w:tc>
              <w:tc>
                <w:tcPr>
                  <w:tcW w:w="2080" w:type="dxa"/>
                  <w:vMerge w:val="continue"/>
                  <w:tcBorders>
                    <w:tl2br w:val="nil"/>
                    <w:tr2bl w:val="nil"/>
                  </w:tcBorders>
                  <w:shd w:val="clear" w:color="auto" w:fill="auto"/>
                  <w:vAlign w:val="center"/>
                </w:tcPr>
                <w:p w14:paraId="2D375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42" w:leftChars="-20" w:right="-42" w:rightChars="-20" w:firstLine="0" w:firstLineChars="0"/>
                    <w:jc w:val="center"/>
                    <w:textAlignment w:val="center"/>
                    <w:rPr>
                      <w:rFonts w:hint="eastAsia" w:ascii="Times New Roman" w:hAnsi="Times New Roman" w:eastAsia="宋体" w:cs="Times New Roman"/>
                      <w:i w:val="0"/>
                      <w:iCs w:val="0"/>
                      <w:color w:val="auto"/>
                      <w:spacing w:val="0"/>
                      <w:sz w:val="21"/>
                      <w:szCs w:val="21"/>
                      <w:highlight w:val="none"/>
                      <w:u w:val="none"/>
                      <w:lang w:val="en-US" w:eastAsia="zh-CN"/>
                    </w:rPr>
                  </w:pPr>
                </w:p>
              </w:tc>
            </w:tr>
          </w:tbl>
          <w:p w14:paraId="70192D4E">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sz w:val="24"/>
                <w:szCs w:val="32"/>
                <w:highlight w:val="none"/>
              </w:rPr>
              <w:t>项目用排水平衡</w:t>
            </w:r>
          </w:p>
          <w:p w14:paraId="680B3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新增用水主要为清洗设备用水和喷淋塔用水</w:t>
            </w:r>
            <w:r>
              <w:rPr>
                <w:rFonts w:hint="default" w:ascii="Times New Roman" w:hAnsi="Times New Roman" w:cs="Times New Roman"/>
                <w:color w:val="auto"/>
                <w:sz w:val="24"/>
                <w:highlight w:val="none"/>
              </w:rPr>
              <w:t>。</w:t>
            </w:r>
          </w:p>
          <w:p w14:paraId="4D062F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s="Times New Roman"/>
                <w:b w:val="0"/>
                <w:bCs w:val="0"/>
                <w:color w:val="auto"/>
                <w:sz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1、</w:t>
            </w:r>
            <w:r>
              <w:rPr>
                <w:rFonts w:hint="eastAsia" w:cs="Times New Roman"/>
                <w:b w:val="0"/>
                <w:bCs w:val="0"/>
                <w:color w:val="auto"/>
                <w:sz w:val="24"/>
                <w:highlight w:val="none"/>
                <w:lang w:val="en-US" w:eastAsia="zh-CN"/>
              </w:rPr>
              <w:t>本项目拟延长3D打印后处理线中甩干工段时长，鉴于设备内部将不可避免地产生树脂残留物积累。为确保设备持续稳定运行并维持工艺标准，企业拟采用自来水对3D打印机和后处理线设备进行定期擦拭，清洗维护。据建设单位提供资料，清洗周期为一月/次，单次设备清洗用水量为1.75t，则全年清洗设备用水量为21t/a。清洗过程中损耗为1t/a（清洗过程中蒸发于空气中），则产生设备清洗废液20t/a。</w:t>
            </w:r>
          </w:p>
          <w:p w14:paraId="64FFBE84">
            <w:pPr>
              <w:pStyle w:val="1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cs="Times New Roman"/>
                <w:b w:val="0"/>
                <w:bCs/>
                <w:color w:val="auto"/>
                <w:sz w:val="24"/>
                <w:highlight w:val="none"/>
                <w:lang w:val="en-US" w:eastAsia="zh-CN"/>
              </w:rPr>
            </w:pPr>
            <w:r>
              <w:rPr>
                <w:rFonts w:hint="eastAsia" w:ascii="Times New Roman" w:hAnsi="Times New Roman" w:eastAsia="宋体" w:cs="Times New Roman"/>
                <w:b w:val="0"/>
                <w:bCs w:val="0"/>
                <w:color w:val="auto"/>
                <w:kern w:val="2"/>
                <w:sz w:val="24"/>
                <w:szCs w:val="24"/>
                <w:highlight w:val="none"/>
                <w:lang w:val="en-US" w:eastAsia="zh-CN" w:bidi="ar-SA"/>
              </w:rPr>
              <w:t>2、</w:t>
            </w:r>
            <w:r>
              <w:rPr>
                <w:rFonts w:hint="eastAsia" w:cs="Times New Roman"/>
                <w:b w:val="0"/>
                <w:bCs w:val="0"/>
                <w:color w:val="auto"/>
                <w:kern w:val="2"/>
                <w:sz w:val="24"/>
                <w:szCs w:val="24"/>
                <w:highlight w:val="none"/>
                <w:lang w:val="en-US" w:eastAsia="zh-CN" w:bidi="ar-SA"/>
              </w:rPr>
              <w:t>本项目产生的</w:t>
            </w:r>
            <w:r>
              <w:rPr>
                <w:rFonts w:hint="default" w:cs="Times New Roman"/>
                <w:b w:val="0"/>
                <w:bCs/>
                <w:color w:val="auto"/>
                <w:sz w:val="24"/>
                <w:highlight w:val="none"/>
                <w:lang w:val="en-US" w:eastAsia="zh-CN"/>
              </w:rPr>
              <w:t>喷涂硅油-</w:t>
            </w:r>
            <w:r>
              <w:rPr>
                <w:rFonts w:hint="eastAsia" w:cs="Times New Roman"/>
                <w:b w:val="0"/>
                <w:bCs/>
                <w:color w:val="auto"/>
                <w:sz w:val="24"/>
                <w:highlight w:val="none"/>
                <w:lang w:val="en-US" w:eastAsia="zh-CN"/>
              </w:rPr>
              <w:t>脱模剂</w:t>
            </w:r>
            <w:r>
              <w:rPr>
                <w:rFonts w:hint="default" w:cs="Times New Roman"/>
                <w:b w:val="0"/>
                <w:bCs/>
                <w:color w:val="auto"/>
                <w:sz w:val="24"/>
                <w:highlight w:val="none"/>
                <w:lang w:val="en-US" w:eastAsia="zh-CN"/>
              </w:rPr>
              <w:t>废气依托现有</w:t>
            </w:r>
            <w:r>
              <w:rPr>
                <w:rFonts w:hint="eastAsia" w:cs="Times New Roman"/>
                <w:b w:val="0"/>
                <w:bCs/>
                <w:color w:val="auto"/>
                <w:sz w:val="24"/>
                <w:highlight w:val="none"/>
                <w:lang w:val="en-US" w:eastAsia="zh-CN"/>
              </w:rPr>
              <w:t>“碱喷淋+水喷淋”设备</w:t>
            </w:r>
            <w:r>
              <w:rPr>
                <w:rFonts w:hint="default" w:cs="Times New Roman"/>
                <w:b w:val="0"/>
                <w:bCs/>
                <w:color w:val="auto"/>
                <w:sz w:val="24"/>
                <w:highlight w:val="none"/>
                <w:lang w:val="en-US" w:eastAsia="zh-CN"/>
              </w:rPr>
              <w:t>进行处理</w:t>
            </w:r>
            <w:r>
              <w:rPr>
                <w:rFonts w:hint="eastAsia" w:cs="Times New Roman"/>
                <w:b w:val="0"/>
                <w:bCs/>
                <w:color w:val="auto"/>
                <w:sz w:val="24"/>
                <w:highlight w:val="none"/>
                <w:lang w:val="en-US" w:eastAsia="zh-CN"/>
              </w:rPr>
              <w:t>。由于本次 技术改造3号楼压膜、喷涂脱模剂工段配套的废气处理设施风量未调整，仅对1、2、4号楼压膜、脱模剂废气处理设施风量进行调整，因此本报告针对1、2、4号楼压膜-脱模剂废气采用的“一级碱喷淋+一级水喷淋”喷淋塔用水量进行重新核算。</w:t>
            </w:r>
          </w:p>
          <w:p w14:paraId="0CB8FD3D">
            <w:pPr>
              <w:pStyle w:val="1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val="en-US" w:eastAsia="zh-CN"/>
              </w:rPr>
              <w:t>本次技术改造后，1、2、4号楼压膜、脱模剂废气处理设施风量调整</w:t>
            </w:r>
            <w:r>
              <w:rPr>
                <w:rFonts w:hint="eastAsia" w:ascii="Times New Roman" w:hAnsi="Times New Roman" w:eastAsia="宋体" w:cs="Times New Roman"/>
                <w:b w:val="0"/>
                <w:bCs/>
                <w:color w:val="auto"/>
                <w:sz w:val="24"/>
                <w:highlight w:val="none"/>
                <w:lang w:val="en-US" w:eastAsia="zh-CN"/>
              </w:rPr>
              <w:t>为</w:t>
            </w:r>
            <w:r>
              <w:rPr>
                <w:rFonts w:hint="eastAsia" w:cs="Times New Roman"/>
                <w:b w:val="0"/>
                <w:bCs/>
                <w:color w:val="auto"/>
                <w:sz w:val="24"/>
                <w:highlight w:val="none"/>
                <w:lang w:val="en-US" w:eastAsia="zh-CN"/>
              </w:rPr>
              <w:t>7500</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/h</w:t>
            </w:r>
            <w:r>
              <w:rPr>
                <w:rFonts w:hint="eastAsia" w:ascii="Times New Roman" w:hAnsi="Times New Roman" w:eastAsia="宋体" w:cs="Times New Roman"/>
                <w:b w:val="0"/>
                <w:bCs/>
                <w:color w:val="auto"/>
                <w:sz w:val="24"/>
                <w:highlight w:val="none"/>
                <w:lang w:val="en-US" w:eastAsia="zh-CN"/>
              </w:rPr>
              <w:t>，工作时间为</w:t>
            </w:r>
            <w:r>
              <w:rPr>
                <w:rFonts w:hint="eastAsia" w:cs="Times New Roman"/>
                <w:b w:val="0"/>
                <w:bCs/>
                <w:color w:val="auto"/>
                <w:sz w:val="24"/>
                <w:highlight w:val="none"/>
                <w:lang w:val="en-US" w:eastAsia="zh-CN"/>
              </w:rPr>
              <w:t>1800</w:t>
            </w:r>
            <w:r>
              <w:rPr>
                <w:rFonts w:hint="eastAsia" w:ascii="Times New Roman" w:hAnsi="Times New Roman" w:eastAsia="宋体" w:cs="Times New Roman"/>
                <w:b w:val="0"/>
                <w:bCs/>
                <w:color w:val="auto"/>
                <w:sz w:val="24"/>
                <w:highlight w:val="none"/>
                <w:lang w:val="en-US" w:eastAsia="zh-CN"/>
              </w:rPr>
              <w:t>h，喷淋塔装置气液比均为2.5L/m</w:t>
            </w:r>
            <w:r>
              <w:rPr>
                <w:rFonts w:hint="eastAsia" w:ascii="Times New Roman" w:hAnsi="Times New Roman" w:eastAsia="宋体" w:cs="Times New Roman"/>
                <w:b w:val="0"/>
                <w:bCs/>
                <w:color w:val="auto"/>
                <w:sz w:val="24"/>
                <w:highlight w:val="none"/>
                <w:vertAlign w:val="superscript"/>
                <w:lang w:val="en-US" w:eastAsia="zh-CN"/>
              </w:rPr>
              <w:t>3</w:t>
            </w:r>
            <w:r>
              <w:rPr>
                <w:rFonts w:hint="eastAsia" w:ascii="Times New Roman" w:hAnsi="Times New Roman" w:eastAsia="宋体" w:cs="Times New Roman"/>
                <w:b w:val="0"/>
                <w:bCs/>
                <w:color w:val="auto"/>
                <w:sz w:val="24"/>
                <w:highlight w:val="none"/>
                <w:lang w:val="en-US" w:eastAsia="zh-CN"/>
              </w:rPr>
              <w:t>，则循环水量为</w:t>
            </w:r>
            <w:r>
              <w:rPr>
                <w:rFonts w:hint="eastAsia" w:cs="Times New Roman"/>
                <w:b w:val="0"/>
                <w:bCs/>
                <w:color w:val="auto"/>
                <w:sz w:val="24"/>
                <w:highlight w:val="none"/>
                <w:lang w:val="en-US" w:eastAsia="zh-CN"/>
              </w:rPr>
              <w:t>101250</w:t>
            </w:r>
            <w:r>
              <w:rPr>
                <w:rFonts w:hint="default"/>
                <w:color w:val="auto"/>
                <w:sz w:val="24"/>
                <w:szCs w:val="24"/>
                <w:highlight w:val="none"/>
              </w:rPr>
              <w:t>m</w:t>
            </w:r>
            <w:r>
              <w:rPr>
                <w:rFonts w:hint="default"/>
                <w:color w:val="auto"/>
                <w:sz w:val="24"/>
                <w:szCs w:val="24"/>
                <w:highlight w:val="none"/>
                <w:vertAlign w:val="superscript"/>
              </w:rPr>
              <w:t>3</w:t>
            </w:r>
            <w:r>
              <w:rPr>
                <w:rFonts w:hint="default"/>
                <w:color w:val="auto"/>
                <w:sz w:val="24"/>
                <w:szCs w:val="24"/>
                <w:highlight w:val="none"/>
              </w:rPr>
              <w:t>/a，</w:t>
            </w:r>
            <w:r>
              <w:rPr>
                <w:rFonts w:hint="eastAsia"/>
                <w:color w:val="auto"/>
                <w:sz w:val="24"/>
                <w:szCs w:val="24"/>
                <w:highlight w:val="none"/>
              </w:rPr>
              <w:t>损耗</w:t>
            </w:r>
            <w:r>
              <w:rPr>
                <w:rFonts w:hint="default"/>
                <w:color w:val="auto"/>
                <w:sz w:val="24"/>
                <w:szCs w:val="24"/>
                <w:highlight w:val="none"/>
              </w:rPr>
              <w:t>约为循环水量的</w:t>
            </w:r>
            <w:r>
              <w:rPr>
                <w:rFonts w:hint="eastAsia"/>
                <w:color w:val="auto"/>
                <w:sz w:val="24"/>
                <w:szCs w:val="24"/>
                <w:highlight w:val="none"/>
              </w:rPr>
              <w:t>3</w:t>
            </w:r>
            <w:r>
              <w:rPr>
                <w:rFonts w:hint="default"/>
                <w:color w:val="auto"/>
                <w:sz w:val="24"/>
                <w:szCs w:val="24"/>
                <w:highlight w:val="none"/>
              </w:rPr>
              <w:t>%，则</w:t>
            </w:r>
            <w:r>
              <w:rPr>
                <w:rFonts w:hint="eastAsia"/>
                <w:color w:val="auto"/>
                <w:sz w:val="24"/>
                <w:szCs w:val="24"/>
                <w:highlight w:val="none"/>
              </w:rPr>
              <w:t>损耗</w:t>
            </w:r>
            <w:r>
              <w:rPr>
                <w:rFonts w:hint="default"/>
                <w:color w:val="auto"/>
                <w:sz w:val="24"/>
                <w:szCs w:val="24"/>
                <w:highlight w:val="none"/>
              </w:rPr>
              <w:t>水量约为</w:t>
            </w:r>
            <w:r>
              <w:rPr>
                <w:rFonts w:hint="eastAsia"/>
                <w:color w:val="auto"/>
                <w:sz w:val="24"/>
                <w:szCs w:val="24"/>
                <w:highlight w:val="none"/>
                <w:lang w:val="en-US" w:eastAsia="zh-CN"/>
              </w:rPr>
              <w:t>3037.5</w:t>
            </w:r>
            <w:r>
              <w:rPr>
                <w:rFonts w:hint="default"/>
                <w:color w:val="auto"/>
                <w:sz w:val="24"/>
                <w:szCs w:val="24"/>
                <w:highlight w:val="none"/>
              </w:rPr>
              <w:t>t/a</w:t>
            </w:r>
            <w:r>
              <w:rPr>
                <w:rFonts w:hint="eastAsia"/>
                <w:color w:val="auto"/>
                <w:sz w:val="24"/>
                <w:szCs w:val="24"/>
                <w:highlight w:val="none"/>
                <w:lang w:eastAsia="zh-CN"/>
              </w:rPr>
              <w:t>；</w:t>
            </w:r>
            <w:r>
              <w:rPr>
                <w:rFonts w:hint="eastAsia" w:ascii="Times New Roman" w:eastAsia="宋体"/>
                <w:color w:val="auto"/>
                <w:sz w:val="24"/>
                <w:szCs w:val="24"/>
                <w:highlight w:val="none"/>
                <w:lang w:val="en-US" w:eastAsia="zh-CN"/>
              </w:rPr>
              <w:t>因此</w:t>
            </w:r>
            <w:r>
              <w:rPr>
                <w:rFonts w:hint="eastAsia"/>
                <w:color w:val="auto"/>
                <w:sz w:val="24"/>
                <w:szCs w:val="24"/>
                <w:highlight w:val="none"/>
                <w:lang w:val="en-US" w:eastAsia="zh-CN"/>
              </w:rPr>
              <w:t>1、2、4</w:t>
            </w:r>
            <w:r>
              <w:rPr>
                <w:rFonts w:hint="eastAsia" w:ascii="Times New Roman" w:eastAsia="宋体"/>
                <w:color w:val="auto"/>
                <w:sz w:val="24"/>
                <w:szCs w:val="24"/>
                <w:highlight w:val="none"/>
                <w:lang w:val="en-US" w:eastAsia="zh-CN"/>
              </w:rPr>
              <w:t>号楼压膜</w:t>
            </w:r>
            <w:r>
              <w:rPr>
                <w:rFonts w:hint="eastAsia"/>
                <w:color w:val="auto"/>
                <w:sz w:val="24"/>
                <w:szCs w:val="24"/>
                <w:highlight w:val="none"/>
                <w:lang w:val="en-US" w:eastAsia="zh-CN"/>
              </w:rPr>
              <w:t>-脱模剂</w:t>
            </w:r>
            <w:r>
              <w:rPr>
                <w:rFonts w:hint="eastAsia" w:ascii="Times New Roman" w:eastAsia="宋体"/>
                <w:color w:val="auto"/>
                <w:sz w:val="24"/>
                <w:szCs w:val="24"/>
                <w:highlight w:val="none"/>
                <w:lang w:val="en-US" w:eastAsia="zh-CN"/>
              </w:rPr>
              <w:t>废气处理设施喷淋塔循环水量</w:t>
            </w:r>
            <w:r>
              <w:rPr>
                <w:rFonts w:hint="eastAsia"/>
                <w:color w:val="auto"/>
                <w:sz w:val="24"/>
                <w:szCs w:val="24"/>
                <w:highlight w:val="none"/>
                <w:lang w:val="en-US" w:eastAsia="zh-CN"/>
              </w:rPr>
              <w:t>101250</w:t>
            </w:r>
            <w:r>
              <w:rPr>
                <w:rFonts w:hint="eastAsia" w:ascii="Times New Roman" w:eastAsia="宋体"/>
                <w:color w:val="auto"/>
                <w:sz w:val="24"/>
                <w:szCs w:val="24"/>
                <w:highlight w:val="none"/>
                <w:lang w:val="en-US" w:eastAsia="zh-CN"/>
              </w:rPr>
              <w:t>t/a，新增用水量</w:t>
            </w:r>
            <w:r>
              <w:rPr>
                <w:rFonts w:hint="eastAsia"/>
                <w:color w:val="auto"/>
                <w:sz w:val="24"/>
                <w:szCs w:val="24"/>
                <w:highlight w:val="none"/>
                <w:lang w:val="en-US" w:eastAsia="zh-CN"/>
              </w:rPr>
              <w:t>3037.5</w:t>
            </w:r>
            <w:r>
              <w:rPr>
                <w:rFonts w:hint="eastAsia" w:ascii="Times New Roman" w:eastAsia="宋体"/>
                <w:color w:val="auto"/>
                <w:sz w:val="24"/>
                <w:szCs w:val="24"/>
                <w:highlight w:val="none"/>
                <w:lang w:val="en-US" w:eastAsia="zh-CN"/>
              </w:rPr>
              <w:t>t/a。由于非甲烷总烃难溶于水且碱液喷淋对其去除效果有限</w:t>
            </w:r>
            <w:r>
              <w:rPr>
                <w:rFonts w:hint="eastAsia"/>
                <w:color w:val="auto"/>
                <w:sz w:val="24"/>
                <w:szCs w:val="24"/>
                <w:highlight w:val="none"/>
                <w:lang w:val="en-US" w:eastAsia="zh-CN"/>
              </w:rPr>
              <w:t>，因此</w:t>
            </w:r>
            <w:r>
              <w:rPr>
                <w:rFonts w:hint="eastAsia" w:ascii="Times New Roman" w:eastAsia="宋体"/>
                <w:color w:val="auto"/>
                <w:sz w:val="24"/>
                <w:szCs w:val="24"/>
                <w:highlight w:val="none"/>
                <w:lang w:val="en-US" w:eastAsia="zh-CN"/>
              </w:rPr>
              <w:t>喷淋装置排水量</w:t>
            </w:r>
            <w:r>
              <w:rPr>
                <w:rFonts w:hint="eastAsia"/>
                <w:color w:val="auto"/>
                <w:sz w:val="24"/>
                <w:szCs w:val="24"/>
                <w:highlight w:val="none"/>
                <w:lang w:val="en-US" w:eastAsia="zh-CN"/>
              </w:rPr>
              <w:t>和排水情况不变，喷淋塔废液量为24t/a。</w:t>
            </w:r>
          </w:p>
          <w:p w14:paraId="69D45B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color w:val="auto"/>
                <w:highlight w:val="none"/>
                <w:lang w:val="en-US" w:eastAsia="zh-CN"/>
              </w:rPr>
            </w:pPr>
            <w:r>
              <w:rPr>
                <w:rFonts w:hint="default" w:ascii="Times New Roman" w:hAnsi="Times New Roman" w:eastAsia="宋体"/>
                <w:color w:val="auto"/>
                <w:highlight w:val="none"/>
              </w:rPr>
              <w:object>
                <v:shape id="_x0000_i1025" o:spt="75" type="#_x0000_t75" style="height:181.5pt;width:362.7pt;" o:ole="t" filled="f" o:preferrelative="t" stroked="f" coordsize="21600,21600">
                  <v:path/>
                  <v:fill on="f" focussize="0,0"/>
                  <v:stroke on="f"/>
                  <v:imagedata r:id="rId10" cropleft="-174f" croptop="25803f" cropright="37044f" cropbottom="28762f" o:title=""/>
                  <o:lock v:ext="edit" aspectratio="t"/>
                  <w10:wrap type="none"/>
                  <w10:anchorlock/>
                </v:shape>
                <o:OLEObject Type="Embed" ProgID="Visio.Drawing.11" ShapeID="_x0000_i1025" DrawAspect="Content" ObjectID="_1468075725" r:id="rId9">
                  <o:LockedField>false</o:LockedField>
                </o:OLEObject>
              </w:object>
            </w:r>
          </w:p>
          <w:p w14:paraId="0B26B6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sz w:val="24"/>
                <w:szCs w:val="32"/>
                <w:highlight w:val="none"/>
                <w:lang w:val="en-US" w:eastAsia="zh-CN"/>
              </w:rPr>
            </w:pPr>
            <w:r>
              <w:rPr>
                <w:rFonts w:hint="eastAsia" w:ascii="Times New Roman" w:hAnsi="Times New Roman" w:eastAsia="宋体" w:cs="Times New Roman"/>
                <w:b/>
                <w:bCs/>
                <w:color w:val="auto"/>
                <w:sz w:val="24"/>
                <w:szCs w:val="32"/>
                <w:highlight w:val="none"/>
                <w:lang w:val="en-US" w:eastAsia="zh-CN"/>
              </w:rPr>
              <w:t>图2-</w:t>
            </w:r>
            <w:r>
              <w:rPr>
                <w:rFonts w:hint="eastAsia" w:cs="Times New Roman"/>
                <w:b/>
                <w:bCs/>
                <w:color w:val="auto"/>
                <w:sz w:val="24"/>
                <w:szCs w:val="32"/>
                <w:highlight w:val="none"/>
                <w:lang w:val="en-US" w:eastAsia="zh-CN"/>
              </w:rPr>
              <w:t>1</w:t>
            </w:r>
            <w:r>
              <w:rPr>
                <w:rFonts w:hint="eastAsia" w:ascii="Times New Roman" w:hAnsi="Times New Roman" w:eastAsia="宋体" w:cs="Times New Roman"/>
                <w:b/>
                <w:bCs/>
                <w:color w:val="auto"/>
                <w:sz w:val="24"/>
                <w:szCs w:val="32"/>
                <w:highlight w:val="none"/>
                <w:lang w:val="en-US" w:eastAsia="zh-CN"/>
              </w:rPr>
              <w:t xml:space="preserve"> 本项目水量平衡图</w:t>
            </w:r>
            <w:r>
              <w:rPr>
                <w:rFonts w:hint="eastAsia" w:ascii="Times New Roman" w:hAnsi="Times New Roman" w:eastAsia="宋体" w:cs="Times New Roman"/>
                <w:b/>
                <w:bCs/>
                <w:color w:val="auto"/>
                <w:sz w:val="24"/>
                <w:szCs w:val="32"/>
                <w:highlight w:val="none"/>
                <w:lang w:eastAsia="zh-CN"/>
              </w:rPr>
              <w:t>（t/a）</w:t>
            </w:r>
          </w:p>
          <w:p w14:paraId="4576C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本项目建成后全厂的水量平衡情况详见下图。</w:t>
            </w:r>
          </w:p>
          <w:p w14:paraId="6C31A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object>
                <v:shape id="_x0000_i1026" o:spt="75" type="#_x0000_t75" style="height:614.6pt;width:391.55pt;" o:ole="t" filled="f" o:preferrelative="t" stroked="f" coordsize="21600,21600">
                  <v:path/>
                  <v:fill on="f" focussize="0,0"/>
                  <v:stroke on="f"/>
                  <v:imagedata r:id="rId12" cropleft="2943f" croptop="1336f" cropright="21324f" cropbottom="14645f" o:title=""/>
                  <o:lock v:ext="edit" aspectratio="t"/>
                  <w10:wrap type="none"/>
                  <w10:anchorlock/>
                </v:shape>
                <o:OLEObject Type="Embed" ProgID="Visio.Drawing.11" ShapeID="_x0000_i1026" DrawAspect="Content" ObjectID="_1468075726" r:id="rId11">
                  <o:LockedField>false</o:LockedField>
                </o:OLEObject>
              </w:object>
            </w:r>
          </w:p>
          <w:p w14:paraId="03318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sz w:val="24"/>
                <w:szCs w:val="32"/>
                <w:highlight w:val="none"/>
                <w:lang w:val="en-US" w:eastAsia="zh-CN"/>
              </w:rPr>
            </w:pPr>
            <w:r>
              <w:rPr>
                <w:rFonts w:hint="eastAsia" w:ascii="Times New Roman" w:hAnsi="Times New Roman" w:eastAsia="宋体" w:cs="Times New Roman"/>
                <w:b/>
                <w:bCs/>
                <w:color w:val="auto"/>
                <w:sz w:val="24"/>
                <w:szCs w:val="32"/>
                <w:highlight w:val="none"/>
                <w:lang w:val="en-US" w:eastAsia="zh-CN"/>
              </w:rPr>
              <w:t>图2-</w:t>
            </w:r>
            <w:r>
              <w:rPr>
                <w:rFonts w:hint="eastAsia" w:cs="Times New Roman"/>
                <w:b/>
                <w:bCs/>
                <w:color w:val="auto"/>
                <w:sz w:val="24"/>
                <w:szCs w:val="32"/>
                <w:highlight w:val="none"/>
                <w:lang w:val="en-US" w:eastAsia="zh-CN"/>
              </w:rPr>
              <w:t>2</w:t>
            </w:r>
            <w:r>
              <w:rPr>
                <w:rFonts w:hint="eastAsia" w:ascii="Times New Roman" w:hAnsi="Times New Roman" w:eastAsia="宋体" w:cs="Times New Roman"/>
                <w:b/>
                <w:bCs/>
                <w:color w:val="auto"/>
                <w:sz w:val="24"/>
                <w:szCs w:val="32"/>
                <w:highlight w:val="none"/>
                <w:lang w:val="en-US" w:eastAsia="zh-CN"/>
              </w:rPr>
              <w:t xml:space="preserve"> 本项目建成后全厂水量平衡图</w:t>
            </w:r>
            <w:r>
              <w:rPr>
                <w:rFonts w:hint="eastAsia" w:ascii="Times New Roman" w:hAnsi="Times New Roman" w:eastAsia="宋体" w:cs="Times New Roman"/>
                <w:b/>
                <w:bCs/>
                <w:color w:val="auto"/>
                <w:sz w:val="24"/>
                <w:szCs w:val="32"/>
                <w:highlight w:val="none"/>
                <w:lang w:eastAsia="zh-CN"/>
              </w:rPr>
              <w:t>（t/a）</w:t>
            </w:r>
          </w:p>
          <w:p w14:paraId="2F7DCB82">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32"/>
                <w:highlight w:val="none"/>
              </w:rPr>
            </w:pP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bCs/>
                <w:color w:val="auto"/>
                <w:kern w:val="2"/>
                <w:sz w:val="24"/>
                <w:szCs w:val="24"/>
                <w:highlight w:val="none"/>
                <w:lang w:val="en-US" w:eastAsia="zh-CN" w:bidi="ar-SA"/>
              </w:rPr>
              <w:t>8、</w:t>
            </w:r>
            <w:r>
              <w:rPr>
                <w:rFonts w:hint="default" w:ascii="Times New Roman" w:hAnsi="Times New Roman" w:eastAsia="宋体" w:cs="Times New Roman"/>
                <w:b/>
                <w:bCs/>
                <w:color w:val="auto"/>
                <w:sz w:val="24"/>
                <w:szCs w:val="32"/>
                <w:highlight w:val="none"/>
                <w:lang w:val="en-US" w:eastAsia="zh-CN"/>
              </w:rPr>
              <w:t>劳动定员及工作制度</w:t>
            </w:r>
          </w:p>
          <w:p w14:paraId="39B48E76">
            <w:pPr>
              <w:pStyle w:val="11"/>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劳动定员：本项目不新增员工，从现有员工中调配</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劳动定员2000人。</w:t>
            </w:r>
          </w:p>
          <w:p w14:paraId="3D3651C1">
            <w:pPr>
              <w:pStyle w:val="11"/>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工作制度：</w:t>
            </w:r>
            <w:r>
              <w:rPr>
                <w:rFonts w:hint="eastAsia" w:ascii="Times New Roman" w:hAnsi="Times New Roman" w:eastAsia="宋体" w:cs="Times New Roman"/>
                <w:color w:val="auto"/>
                <w:sz w:val="24"/>
                <w:szCs w:val="24"/>
                <w:highlight w:val="none"/>
                <w:lang w:val="en-US" w:eastAsia="zh-CN"/>
              </w:rPr>
              <w:t>年工作300天，三班运行制（每班8小时），</w:t>
            </w:r>
            <w:r>
              <w:rPr>
                <w:rFonts w:hint="eastAsia" w:cs="Times New Roman"/>
                <w:color w:val="auto"/>
                <w:sz w:val="24"/>
                <w:szCs w:val="24"/>
                <w:highlight w:val="none"/>
                <w:lang w:val="en-US" w:eastAsia="zh-CN"/>
              </w:rPr>
              <w:t>全厂</w:t>
            </w:r>
            <w:r>
              <w:rPr>
                <w:rFonts w:hint="eastAsia" w:ascii="Times New Roman" w:hAnsi="Times New Roman" w:eastAsia="宋体" w:cs="Times New Roman"/>
                <w:color w:val="auto"/>
                <w:sz w:val="24"/>
                <w:szCs w:val="24"/>
                <w:highlight w:val="none"/>
                <w:lang w:val="en-US" w:eastAsia="zh-CN"/>
              </w:rPr>
              <w:t>年工作时间7200小时</w:t>
            </w:r>
            <w:r>
              <w:rPr>
                <w:rFonts w:hint="eastAsia" w:cs="Times New Roman"/>
                <w:color w:val="auto"/>
                <w:sz w:val="24"/>
                <w:szCs w:val="24"/>
                <w:highlight w:val="none"/>
                <w:lang w:val="en-US" w:eastAsia="zh-CN"/>
              </w:rPr>
              <w:t>。本项目喷涂硅油-脱模剂工作时间为1800h；精细抛光工作时间为1500h</w:t>
            </w:r>
            <w:r>
              <w:rPr>
                <w:rFonts w:hint="eastAsia" w:ascii="Times New Roman" w:hAnsi="Times New Roman" w:eastAsia="宋体" w:cs="Times New Roman"/>
                <w:color w:val="auto"/>
                <w:sz w:val="24"/>
                <w:szCs w:val="24"/>
                <w:highlight w:val="none"/>
                <w:lang w:val="en-US" w:eastAsia="zh-CN"/>
              </w:rPr>
              <w:t>。</w:t>
            </w:r>
          </w:p>
          <w:p w14:paraId="3085EDFC">
            <w:pPr>
              <w:pStyle w:val="11"/>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olor w:val="auto"/>
                <w:sz w:val="24"/>
                <w:highlight w:val="none"/>
              </w:rPr>
            </w:pPr>
            <w:r>
              <w:rPr>
                <w:rFonts w:hint="default" w:ascii="Times New Roman" w:hAnsi="Times New Roman" w:eastAsia="宋体" w:cs="Times New Roman"/>
                <w:color w:val="auto"/>
                <w:sz w:val="24"/>
                <w:szCs w:val="24"/>
                <w:highlight w:val="none"/>
                <w:lang w:val="en-US" w:eastAsia="zh-CN"/>
              </w:rPr>
              <w:t>生活配套设施：厂内设有食堂，无宿舍及浴室</w:t>
            </w:r>
            <w:r>
              <w:rPr>
                <w:rFonts w:hint="default" w:ascii="Times New Roman" w:hAnsi="Times New Roman" w:eastAsia="宋体"/>
                <w:color w:val="auto"/>
                <w:sz w:val="24"/>
                <w:highlight w:val="none"/>
              </w:rPr>
              <w:t>。</w:t>
            </w:r>
          </w:p>
          <w:p w14:paraId="68634403">
            <w:pPr>
              <w:keepNext w:val="0"/>
              <w:keepLines w:val="0"/>
              <w:numPr>
                <w:ilvl w:val="0"/>
                <w:numId w:val="0"/>
              </w:numPr>
              <w:suppressLineNumbers w:val="0"/>
              <w:spacing w:before="0" w:beforeAutospacing="0" w:after="0" w:afterAutospacing="0" w:line="360" w:lineRule="auto"/>
              <w:ind w:left="0" w:right="0"/>
              <w:jc w:val="left"/>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9、</w:t>
            </w:r>
            <w:r>
              <w:rPr>
                <w:rFonts w:hint="default" w:ascii="Times New Roman" w:hAnsi="Times New Roman" w:eastAsia="宋体" w:cs="Times New Roman"/>
                <w:b/>
                <w:bCs/>
                <w:color w:val="auto"/>
                <w:sz w:val="24"/>
                <w:szCs w:val="32"/>
                <w:highlight w:val="none"/>
                <w:lang w:val="en-US" w:eastAsia="zh-CN"/>
              </w:rPr>
              <w:t>项目地理位置、周围环境及平面布置</w:t>
            </w:r>
          </w:p>
          <w:p w14:paraId="6772716E">
            <w:pPr>
              <w:pStyle w:val="11"/>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本项目位于无锡市新吴区观山路</w:t>
            </w:r>
            <w:r>
              <w:rPr>
                <w:rFonts w:hint="default" w:ascii="Times New Roman" w:hAnsi="Times New Roman" w:eastAsia="宋体"/>
                <w:color w:val="auto"/>
                <w:sz w:val="24"/>
                <w:highlight w:val="none"/>
                <w:lang w:val="en-US" w:eastAsia="zh-CN"/>
              </w:rPr>
              <w:t>36</w:t>
            </w:r>
            <w:r>
              <w:rPr>
                <w:rFonts w:hint="eastAsia" w:ascii="Times New Roman" w:hAnsi="Times New Roman" w:eastAsia="宋体"/>
                <w:color w:val="auto"/>
                <w:sz w:val="24"/>
                <w:highlight w:val="none"/>
                <w:lang w:val="en-US" w:eastAsia="zh-CN"/>
              </w:rPr>
              <w:t>号。厂界东侧为菱湖大道，南侧为观山路，西侧为净慧东道，北侧为华运路，</w:t>
            </w:r>
            <w:r>
              <w:rPr>
                <w:rFonts w:hint="default" w:ascii="Times New Roman" w:hAnsi="Times New Roman" w:eastAsia="宋体"/>
                <w:color w:val="auto"/>
                <w:sz w:val="24"/>
                <w:highlight w:val="none"/>
              </w:rPr>
              <w:t>项目周围500米</w:t>
            </w:r>
            <w:r>
              <w:rPr>
                <w:rFonts w:hint="eastAsia" w:ascii="Times New Roman" w:hAnsi="Times New Roman" w:eastAsia="宋体"/>
                <w:color w:val="auto"/>
                <w:sz w:val="24"/>
                <w:highlight w:val="none"/>
                <w:lang w:eastAsia="zh-CN"/>
              </w:rPr>
              <w:t>范围</w:t>
            </w:r>
            <w:r>
              <w:rPr>
                <w:rFonts w:hint="default" w:ascii="Times New Roman" w:hAnsi="Times New Roman" w:eastAsia="宋体"/>
                <w:color w:val="auto"/>
                <w:sz w:val="24"/>
                <w:highlight w:val="none"/>
              </w:rPr>
              <w:t>内</w:t>
            </w:r>
            <w:r>
              <w:rPr>
                <w:rFonts w:hint="eastAsia" w:ascii="Times New Roman" w:hAnsi="Times New Roman" w:eastAsia="宋体"/>
                <w:color w:val="auto"/>
                <w:sz w:val="24"/>
                <w:highlight w:val="none"/>
                <w:lang w:eastAsia="zh-CN"/>
              </w:rPr>
              <w:t>无</w:t>
            </w:r>
            <w:r>
              <w:rPr>
                <w:rFonts w:hint="default" w:ascii="Times New Roman" w:hAnsi="Times New Roman" w:eastAsia="宋体"/>
                <w:color w:val="auto"/>
                <w:sz w:val="24"/>
                <w:highlight w:val="none"/>
              </w:rPr>
              <w:t>环境敏感</w:t>
            </w:r>
            <w:r>
              <w:rPr>
                <w:rFonts w:hint="eastAsia" w:ascii="Times New Roman" w:hAnsi="Times New Roman" w:eastAsia="宋体"/>
                <w:color w:val="auto"/>
                <w:sz w:val="24"/>
                <w:highlight w:val="none"/>
                <w:lang w:eastAsia="zh-CN"/>
              </w:rPr>
              <w:t>目标。</w:t>
            </w:r>
            <w:r>
              <w:rPr>
                <w:rFonts w:hint="default" w:ascii="Times New Roman" w:hAnsi="Times New Roman" w:eastAsia="宋体"/>
                <w:color w:val="auto"/>
                <w:sz w:val="24"/>
                <w:highlight w:val="none"/>
              </w:rPr>
              <w:t>本项目地理位置见</w:t>
            </w:r>
            <w:r>
              <w:rPr>
                <w:rFonts w:hint="eastAsia" w:ascii="Times New Roman" w:hAnsi="Times New Roman" w:eastAsia="宋体"/>
                <w:color w:val="auto"/>
                <w:sz w:val="24"/>
                <w:highlight w:val="none"/>
                <w:lang w:val="en-US" w:eastAsia="zh-CN"/>
              </w:rPr>
              <w:t>附</w:t>
            </w:r>
            <w:r>
              <w:rPr>
                <w:rFonts w:hint="eastAsia" w:ascii="Times New Roman" w:hAnsi="Times New Roman" w:eastAsia="宋体"/>
                <w:color w:val="auto"/>
                <w:sz w:val="24"/>
                <w:highlight w:val="none"/>
              </w:rPr>
              <w:t>图</w:t>
            </w:r>
            <w:r>
              <w:rPr>
                <w:rFonts w:hint="eastAsia"/>
                <w:color w:val="auto"/>
                <w:sz w:val="24"/>
                <w:highlight w:val="none"/>
                <w:lang w:val="en-US" w:eastAsia="zh-CN"/>
              </w:rPr>
              <w:t>4</w:t>
            </w:r>
            <w:r>
              <w:rPr>
                <w:rFonts w:hint="default" w:ascii="Times New Roman" w:hAnsi="Times New Roman" w:eastAsia="宋体"/>
                <w:color w:val="auto"/>
                <w:sz w:val="24"/>
                <w:highlight w:val="none"/>
              </w:rPr>
              <w:t>，周围环境状况见</w:t>
            </w:r>
            <w:r>
              <w:rPr>
                <w:rFonts w:hint="eastAsia" w:ascii="Times New Roman" w:hAnsi="Times New Roman" w:eastAsia="宋体"/>
                <w:color w:val="auto"/>
                <w:sz w:val="24"/>
                <w:highlight w:val="none"/>
                <w:lang w:val="en-US" w:eastAsia="zh-CN"/>
              </w:rPr>
              <w:t>附</w:t>
            </w:r>
            <w:r>
              <w:rPr>
                <w:rFonts w:hint="default" w:ascii="Times New Roman" w:hAnsi="Times New Roman" w:eastAsia="宋体"/>
                <w:color w:val="auto"/>
                <w:sz w:val="24"/>
                <w:highlight w:val="none"/>
              </w:rPr>
              <w:t>图</w:t>
            </w:r>
            <w:r>
              <w:rPr>
                <w:rFonts w:hint="eastAsia"/>
                <w:color w:val="auto"/>
                <w:sz w:val="24"/>
                <w:highlight w:val="none"/>
                <w:lang w:val="en-US" w:eastAsia="zh-CN"/>
              </w:rPr>
              <w:t>5</w:t>
            </w:r>
            <w:r>
              <w:rPr>
                <w:rFonts w:hint="default" w:ascii="Times New Roman" w:hAnsi="Times New Roman" w:eastAsia="宋体"/>
                <w:color w:val="auto"/>
                <w:sz w:val="24"/>
                <w:highlight w:val="none"/>
              </w:rPr>
              <w:t>。</w:t>
            </w:r>
          </w:p>
          <w:p w14:paraId="226FE2BF">
            <w:pPr>
              <w:pStyle w:val="11"/>
              <w:keepNext w:val="0"/>
              <w:keepLines w:val="0"/>
              <w:suppressLineNumbers w:val="0"/>
              <w:snapToGrid/>
              <w:spacing w:before="0" w:beforeAutospacing="0" w:after="0" w:afterAutospacing="0" w:line="360" w:lineRule="auto"/>
              <w:ind w:left="0" w:firstLine="480" w:firstLineChars="200"/>
              <w:rPr>
                <w:rFonts w:hint="default" w:ascii="Times New Roman" w:hAnsi="Times New Roman" w:eastAsia="宋体" w:cs="Times New Roman"/>
                <w:color w:val="auto"/>
                <w:highlight w:val="none"/>
              </w:rPr>
            </w:pPr>
            <w:r>
              <w:rPr>
                <w:rFonts w:hint="eastAsia" w:ascii="Times New Roman" w:hAnsi="Times New Roman" w:eastAsia="宋体"/>
                <w:color w:val="auto"/>
                <w:sz w:val="24"/>
                <w:highlight w:val="none"/>
                <w:lang w:val="en-US" w:eastAsia="zh-CN"/>
              </w:rPr>
              <w:t>本项目</w:t>
            </w:r>
            <w:r>
              <w:rPr>
                <w:rFonts w:hint="eastAsia"/>
                <w:color w:val="auto"/>
                <w:sz w:val="24"/>
                <w:highlight w:val="none"/>
                <w:lang w:val="en-US" w:eastAsia="zh-CN"/>
              </w:rPr>
              <w:t>隐形矫治器生产线</w:t>
            </w:r>
            <w:r>
              <w:rPr>
                <w:rFonts w:hint="eastAsia" w:ascii="Times New Roman" w:hAnsi="Times New Roman" w:eastAsia="宋体"/>
                <w:color w:val="auto"/>
                <w:sz w:val="24"/>
                <w:highlight w:val="none"/>
                <w:lang w:val="en-US" w:eastAsia="zh-CN"/>
              </w:rPr>
              <w:t>设备主要分布</w:t>
            </w:r>
            <w:r>
              <w:rPr>
                <w:rFonts w:hint="eastAsia"/>
                <w:color w:val="auto"/>
                <w:sz w:val="24"/>
                <w:highlight w:val="none"/>
                <w:lang w:val="en-US" w:eastAsia="zh-CN"/>
              </w:rPr>
              <w:t>于1-4号楼的各层生产车间内</w:t>
            </w:r>
            <w:r>
              <w:rPr>
                <w:rFonts w:hint="eastAsia" w:ascii="Times New Roman" w:hAnsi="Times New Roman" w:eastAsia="宋体"/>
                <w:color w:val="auto"/>
                <w:sz w:val="24"/>
                <w:highlight w:val="none"/>
                <w:lang w:val="en-US" w:eastAsia="zh-CN"/>
              </w:rPr>
              <w:t>，</w:t>
            </w:r>
            <w:r>
              <w:rPr>
                <w:rFonts w:hint="eastAsia"/>
                <w:color w:val="auto"/>
                <w:sz w:val="24"/>
                <w:highlight w:val="none"/>
                <w:lang w:val="en-US" w:eastAsia="zh-CN"/>
              </w:rPr>
              <w:t>医用高分子材料生产线设备主要分布于3号楼的4层车间，</w:t>
            </w:r>
            <w:r>
              <w:rPr>
                <w:rFonts w:hint="eastAsia" w:ascii="Times New Roman" w:hAnsi="Times New Roman" w:eastAsia="宋体"/>
                <w:color w:val="auto"/>
                <w:sz w:val="24"/>
                <w:highlight w:val="none"/>
                <w:lang w:val="en-US" w:eastAsia="zh-CN"/>
              </w:rPr>
              <w:t>与原有生产线相衔接，</w:t>
            </w:r>
            <w:r>
              <w:rPr>
                <w:rFonts w:hint="default" w:ascii="Times New Roman" w:hAnsi="Times New Roman" w:eastAsia="宋体"/>
                <w:color w:val="auto"/>
                <w:sz w:val="24"/>
                <w:highlight w:val="none"/>
              </w:rPr>
              <w:t>各分区的布置规划整齐，方便原辅材料和成品的运输，厂区平面布置较合理。项目</w:t>
            </w:r>
            <w:r>
              <w:rPr>
                <w:rFonts w:hint="eastAsia" w:ascii="Times New Roman" w:hAnsi="Times New Roman" w:eastAsia="宋体"/>
                <w:color w:val="auto"/>
                <w:sz w:val="24"/>
                <w:highlight w:val="none"/>
              </w:rPr>
              <w:t>厂区车间平面布置图及</w:t>
            </w:r>
            <w:r>
              <w:rPr>
                <w:rFonts w:hint="default" w:ascii="Times New Roman" w:hAnsi="Times New Roman" w:eastAsia="宋体"/>
                <w:color w:val="auto"/>
                <w:sz w:val="24"/>
                <w:highlight w:val="none"/>
              </w:rPr>
              <w:t>雨污管网见</w:t>
            </w:r>
            <w:r>
              <w:rPr>
                <w:rFonts w:hint="eastAsia" w:ascii="Times New Roman" w:hAnsi="Times New Roman" w:eastAsia="宋体"/>
                <w:color w:val="auto"/>
                <w:sz w:val="24"/>
                <w:highlight w:val="none"/>
              </w:rPr>
              <w:t>附图</w:t>
            </w:r>
            <w:r>
              <w:rPr>
                <w:rFonts w:hint="eastAsia"/>
                <w:color w:val="auto"/>
                <w:sz w:val="24"/>
                <w:highlight w:val="none"/>
                <w:lang w:val="en-US" w:eastAsia="zh-CN"/>
              </w:rPr>
              <w:t>6</w:t>
            </w:r>
            <w:r>
              <w:rPr>
                <w:rFonts w:hint="default" w:ascii="Times New Roman" w:hAnsi="Times New Roman" w:eastAsia="宋体"/>
                <w:color w:val="auto"/>
                <w:sz w:val="24"/>
                <w:highlight w:val="none"/>
              </w:rPr>
              <w:t>。</w:t>
            </w:r>
          </w:p>
        </w:tc>
      </w:tr>
      <w:tr w14:paraId="01ED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9" w:hRule="atLeast"/>
        </w:trPr>
        <w:tc>
          <w:tcPr>
            <w:tcW w:w="475" w:type="dxa"/>
            <w:vAlign w:val="center"/>
          </w:tcPr>
          <w:p w14:paraId="56133875">
            <w:pPr>
              <w:pStyle w:val="11"/>
              <w:keepNext w:val="0"/>
              <w:keepLines w:val="0"/>
              <w:suppressLineNumbers w:val="0"/>
              <w:spacing w:beforeAutospacing="0" w:afterAutospacing="0"/>
              <w:ind w:lef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工艺流程和产排污环节</w:t>
            </w:r>
          </w:p>
        </w:tc>
        <w:tc>
          <w:tcPr>
            <w:tcW w:w="8871" w:type="dxa"/>
          </w:tcPr>
          <w:p w14:paraId="140DE649">
            <w:pPr>
              <w:pStyle w:val="34"/>
              <w:keepNext w:val="0"/>
              <w:keepLines w:val="0"/>
              <w:suppressLineNumbers w:val="0"/>
              <w:spacing w:before="0" w:beforeAutospacing="0" w:after="0" w:afterAutospacing="0" w:line="360" w:lineRule="auto"/>
              <w:ind w:left="0" w:leftChars="0" w:right="0" w:firstLine="0" w:firstLineChars="0"/>
              <w:rPr>
                <w:rFonts w:hint="eastAsia"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运营期</w:t>
            </w:r>
            <w:r>
              <w:rPr>
                <w:rFonts w:hint="default" w:ascii="Times New Roman" w:hAnsi="Times New Roman" w:eastAsia="宋体" w:cs="Times New Roman"/>
                <w:b/>
                <w:bCs/>
                <w:color w:val="auto"/>
                <w:sz w:val="24"/>
                <w:highlight w:val="none"/>
              </w:rPr>
              <w:t>工艺流程</w:t>
            </w:r>
          </w:p>
          <w:p w14:paraId="47986CD2">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（1）医用高分子材料生产工艺及产污环节</w:t>
            </w:r>
          </w:p>
          <w:p w14:paraId="13B42B0E">
            <w:pPr>
              <w:pStyle w:val="11"/>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color w:val="auto"/>
                <w:highlight w:val="none"/>
                <w:lang w:val="en-US" w:eastAsia="zh-CN"/>
              </w:rPr>
            </w:pPr>
            <w:r>
              <w:rPr>
                <w:rFonts w:hint="default" w:ascii="Segoe UI" w:hAnsi="Segoe UI" w:eastAsia="Segoe UI" w:cs="Segoe UI"/>
                <w:i w:val="0"/>
                <w:iCs w:val="0"/>
                <w:caps w:val="0"/>
                <w:color w:val="auto"/>
                <w:spacing w:val="0"/>
                <w:sz w:val="24"/>
                <w:szCs w:val="24"/>
                <w:highlight w:val="none"/>
                <w:shd w:val="clear" w:fill="FFFFFF"/>
              </w:rPr>
              <w:t>在医用高分子材料生产线上，为</w:t>
            </w:r>
            <w:r>
              <w:rPr>
                <w:rFonts w:hint="eastAsia" w:ascii="Segoe UI" w:hAnsi="Segoe UI" w:eastAsia="宋体" w:cs="Segoe UI"/>
                <w:i w:val="0"/>
                <w:iCs w:val="0"/>
                <w:caps w:val="0"/>
                <w:color w:val="auto"/>
                <w:spacing w:val="0"/>
                <w:sz w:val="24"/>
                <w:szCs w:val="24"/>
                <w:highlight w:val="none"/>
                <w:shd w:val="clear" w:fill="FFFFFF"/>
                <w:lang w:val="en-US" w:eastAsia="zh-CN"/>
              </w:rPr>
              <w:t>实现物料的专配专搅</w:t>
            </w:r>
            <w:r>
              <w:rPr>
                <w:rFonts w:hint="default" w:ascii="Segoe UI" w:hAnsi="Segoe UI" w:eastAsia="Segoe UI" w:cs="Segoe UI"/>
                <w:i w:val="0"/>
                <w:iCs w:val="0"/>
                <w:caps w:val="0"/>
                <w:color w:val="auto"/>
                <w:spacing w:val="0"/>
                <w:sz w:val="24"/>
                <w:szCs w:val="24"/>
                <w:highlight w:val="none"/>
                <w:shd w:val="clear" w:fill="FFFFFF"/>
              </w:rPr>
              <w:t>，</w:t>
            </w:r>
            <w:r>
              <w:rPr>
                <w:rFonts w:hint="default" w:ascii="Segoe UI" w:hAnsi="Segoe UI" w:eastAsia="Segoe UI" w:cs="Segoe UI"/>
                <w:i w:val="0"/>
                <w:iCs w:val="0"/>
                <w:caps w:val="0"/>
                <w:color w:val="auto"/>
                <w:spacing w:val="0"/>
                <w:sz w:val="24"/>
                <w:szCs w:val="24"/>
                <w:highlight w:val="none"/>
                <w:shd w:val="clear" w:fill="FFFFFF"/>
                <w:lang w:val="en-US" w:eastAsia="zh-CN"/>
              </w:rPr>
              <w:t>利用交替使用机制减少设备连续运转负荷</w:t>
            </w:r>
            <w:r>
              <w:rPr>
                <w:rFonts w:hint="eastAsia" w:ascii="Segoe UI" w:hAnsi="Segoe UI" w:eastAsia="Segoe UI" w:cs="Segoe UI"/>
                <w:i w:val="0"/>
                <w:iCs w:val="0"/>
                <w:caps w:val="0"/>
                <w:color w:val="auto"/>
                <w:spacing w:val="0"/>
                <w:sz w:val="24"/>
                <w:szCs w:val="24"/>
                <w:highlight w:val="none"/>
                <w:shd w:val="clear" w:fill="FFFFFF"/>
                <w:lang w:val="en-US" w:eastAsia="zh-CN"/>
              </w:rPr>
              <w:t>，</w:t>
            </w:r>
            <w:r>
              <w:rPr>
                <w:rFonts w:hint="eastAsia" w:ascii="Segoe UI" w:hAnsi="Segoe UI" w:eastAsia="宋体" w:cs="Segoe UI"/>
                <w:i w:val="0"/>
                <w:iCs w:val="0"/>
                <w:caps w:val="0"/>
                <w:color w:val="auto"/>
                <w:spacing w:val="0"/>
                <w:sz w:val="24"/>
                <w:szCs w:val="24"/>
                <w:highlight w:val="none"/>
                <w:shd w:val="clear" w:fill="FFFFFF"/>
                <w:lang w:val="en-US" w:eastAsia="zh-CN"/>
              </w:rPr>
              <w:t>拟</w:t>
            </w:r>
            <w:r>
              <w:rPr>
                <w:rFonts w:hint="default" w:ascii="Segoe UI" w:hAnsi="Segoe UI" w:eastAsia="Segoe UI" w:cs="Segoe UI"/>
                <w:i w:val="0"/>
                <w:iCs w:val="0"/>
                <w:caps w:val="0"/>
                <w:color w:val="auto"/>
                <w:spacing w:val="0"/>
                <w:sz w:val="24"/>
                <w:szCs w:val="24"/>
                <w:highlight w:val="none"/>
                <w:shd w:val="clear" w:fill="FFFFFF"/>
              </w:rPr>
              <w:t>增加一台搅拌机。新增设备投用后，两台搅拌机可根据原料类型、配比及工艺要求进行</w:t>
            </w:r>
            <w:r>
              <w:rPr>
                <w:rFonts w:hint="eastAsia" w:ascii="Segoe UI" w:hAnsi="Segoe UI" w:eastAsia="宋体" w:cs="Segoe UI"/>
                <w:i w:val="0"/>
                <w:iCs w:val="0"/>
                <w:caps w:val="0"/>
                <w:color w:val="auto"/>
                <w:spacing w:val="0"/>
                <w:sz w:val="24"/>
                <w:szCs w:val="24"/>
                <w:highlight w:val="none"/>
                <w:shd w:val="clear" w:fill="FFFFFF"/>
                <w:lang w:val="en-US" w:eastAsia="zh-CN"/>
              </w:rPr>
              <w:t>交替</w:t>
            </w:r>
            <w:r>
              <w:rPr>
                <w:rFonts w:hint="default" w:ascii="Segoe UI" w:hAnsi="Segoe UI" w:eastAsia="Segoe UI" w:cs="Segoe UI"/>
                <w:i w:val="0"/>
                <w:iCs w:val="0"/>
                <w:caps w:val="0"/>
                <w:color w:val="auto"/>
                <w:spacing w:val="0"/>
                <w:sz w:val="24"/>
                <w:szCs w:val="24"/>
                <w:highlight w:val="none"/>
                <w:shd w:val="clear" w:fill="FFFFFF"/>
              </w:rPr>
              <w:t>作业，既能避免交叉污染，又可利用交替使用机制减少设备连续运转负荷。由于此次</w:t>
            </w:r>
            <w:r>
              <w:rPr>
                <w:rFonts w:hint="eastAsia" w:ascii="Segoe UI" w:hAnsi="Segoe UI" w:eastAsia="宋体" w:cs="Segoe UI"/>
                <w:i w:val="0"/>
                <w:iCs w:val="0"/>
                <w:caps w:val="0"/>
                <w:color w:val="auto"/>
                <w:spacing w:val="0"/>
                <w:sz w:val="24"/>
                <w:szCs w:val="24"/>
                <w:highlight w:val="none"/>
                <w:shd w:val="clear" w:fill="FFFFFF"/>
                <w:lang w:val="en-US" w:eastAsia="zh-CN"/>
              </w:rPr>
              <w:t>技术改造</w:t>
            </w:r>
            <w:r>
              <w:rPr>
                <w:rFonts w:hint="default" w:ascii="Segoe UI" w:hAnsi="Segoe UI" w:eastAsia="Segoe UI" w:cs="Segoe UI"/>
                <w:i w:val="0"/>
                <w:iCs w:val="0"/>
                <w:caps w:val="0"/>
                <w:color w:val="auto"/>
                <w:spacing w:val="0"/>
                <w:sz w:val="24"/>
                <w:szCs w:val="24"/>
                <w:highlight w:val="none"/>
                <w:shd w:val="clear" w:fill="FFFFFF"/>
              </w:rPr>
              <w:t>过程中，医用高分子材料的原辅材料投入量维持不变，产品种类与产能亦未发生变化，基于物料衡算及产污原理分析，该</w:t>
            </w:r>
            <w:r>
              <w:rPr>
                <w:rFonts w:hint="eastAsia" w:ascii="Segoe UI" w:hAnsi="Segoe UI" w:eastAsia="宋体" w:cs="Segoe UI"/>
                <w:i w:val="0"/>
                <w:iCs w:val="0"/>
                <w:caps w:val="0"/>
                <w:color w:val="auto"/>
                <w:spacing w:val="0"/>
                <w:sz w:val="24"/>
                <w:szCs w:val="24"/>
                <w:highlight w:val="none"/>
                <w:shd w:val="clear" w:fill="FFFFFF"/>
                <w:lang w:val="en-US" w:eastAsia="zh-CN"/>
              </w:rPr>
              <w:t>技术改造</w:t>
            </w:r>
            <w:r>
              <w:rPr>
                <w:rFonts w:hint="default" w:ascii="Segoe UI" w:hAnsi="Segoe UI" w:eastAsia="Segoe UI" w:cs="Segoe UI"/>
                <w:i w:val="0"/>
                <w:iCs w:val="0"/>
                <w:caps w:val="0"/>
                <w:color w:val="auto"/>
                <w:spacing w:val="0"/>
                <w:sz w:val="24"/>
                <w:szCs w:val="24"/>
                <w:highlight w:val="none"/>
                <w:shd w:val="clear" w:fill="FFFFFF"/>
              </w:rPr>
              <w:t>项目的产污环节及产污情况与现有项目一致，不存在新增产污情况，可依托现有项目的环保设施进行污染物处理与排放管控。</w:t>
            </w:r>
          </w:p>
          <w:p w14:paraId="5F640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object>
                <v:shape id="_x0000_i1027" o:spt="75" type="#_x0000_t75" style="height:167.9pt;width:386.9pt;" o:ole="t" filled="f" o:preferrelative="t" stroked="f" coordsize="21600,21600">
                  <v:path/>
                  <v:fill on="f" focussize="0,0"/>
                  <v:stroke on="f"/>
                  <v:imagedata r:id="rId14" croptop="3195f" cropright="28512f" cropbottom="39521f" o:title=""/>
                  <o:lock v:ext="edit" aspectratio="t"/>
                  <w10:wrap type="none"/>
                  <w10:anchorlock/>
                </v:shape>
                <o:OLEObject Type="Embed" ProgID="Visio.Drawing.11" ShapeID="_x0000_i1027" DrawAspect="Content" ObjectID="_1468075727" r:id="rId13">
                  <o:LockedField>false</o:LockedField>
                </o:OLEObject>
              </w:object>
            </w:r>
          </w:p>
          <w:p w14:paraId="3CB26E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图2-</w:t>
            </w: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 xml:space="preserve"> 医用高分子材料生产工艺流程及产污环节</w:t>
            </w:r>
          </w:p>
          <w:p w14:paraId="1195D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（2）隐形矫治器生产线工艺及产污环节</w:t>
            </w:r>
          </w:p>
          <w:p w14:paraId="0B6112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olor w:val="auto"/>
                <w:sz w:val="24"/>
                <w:highlight w:val="none"/>
                <w:lang w:val="en-US" w:eastAsia="zh-CN"/>
              </w:rPr>
            </w:pPr>
            <w:r>
              <w:rPr>
                <w:rFonts w:hint="default" w:ascii="Times New Roman" w:hAnsi="Times New Roman" w:eastAsia="宋体" w:cs="Segoe UI"/>
                <w:i w:val="0"/>
                <w:iCs w:val="0"/>
                <w:caps w:val="0"/>
                <w:color w:val="auto"/>
                <w:spacing w:val="0"/>
                <w:sz w:val="24"/>
                <w:szCs w:val="24"/>
                <w:highlight w:val="none"/>
                <w:shd w:val="clear" w:fill="FFFFFF"/>
              </w:rPr>
              <w:t>本项目基于现有隐形矫治器生产线设备基础实施智能化升级</w:t>
            </w:r>
            <w:r>
              <w:rPr>
                <w:rFonts w:hint="eastAsia" w:ascii="Times New Roman" w:hAnsi="Times New Roman" w:eastAsia="宋体" w:cs="Calibri"/>
                <w:color w:val="auto"/>
                <w:sz w:val="24"/>
                <w:highlight w:val="none"/>
                <w:lang w:val="en-US" w:eastAsia="zh-CN"/>
              </w:rPr>
              <w:t>，淘汰一部分落后设备，新增相应数量的新型压膜装置、双机器人切割装置、半自动打标切割装置、新型分拣系统装置、AGV智能系统搬运装置。特别说明，本次改造中该部分设备升级不涉及生产工艺变更，无新增污染物产生。</w:t>
            </w:r>
            <w:r>
              <w:rPr>
                <w:rFonts w:hint="eastAsia" w:cs="Calibri"/>
                <w:color w:val="auto"/>
                <w:sz w:val="24"/>
                <w:highlight w:val="none"/>
                <w:lang w:val="en-US" w:eastAsia="zh-CN"/>
              </w:rPr>
              <w:t>同时，</w:t>
            </w:r>
            <w:r>
              <w:rPr>
                <w:rFonts w:hint="default" w:ascii="Segoe UI" w:hAnsi="Segoe UI" w:eastAsia="Segoe UI" w:cs="Segoe UI"/>
                <w:i w:val="0"/>
                <w:iCs w:val="0"/>
                <w:caps w:val="0"/>
                <w:color w:val="auto"/>
                <w:spacing w:val="0"/>
                <w:sz w:val="24"/>
                <w:szCs w:val="24"/>
                <w:highlight w:val="none"/>
              </w:rPr>
              <w:t>本项目</w:t>
            </w:r>
            <w:r>
              <w:rPr>
                <w:rFonts w:hint="eastAsia" w:ascii="Segoe UI" w:hAnsi="Segoe UI" w:eastAsia="宋体" w:cs="Segoe UI"/>
                <w:i w:val="0"/>
                <w:iCs w:val="0"/>
                <w:caps w:val="0"/>
                <w:color w:val="auto"/>
                <w:spacing w:val="0"/>
                <w:sz w:val="24"/>
                <w:szCs w:val="24"/>
                <w:highlight w:val="none"/>
                <w:lang w:val="en-US" w:eastAsia="zh-CN"/>
              </w:rPr>
              <w:t>拟</w:t>
            </w:r>
            <w:r>
              <w:rPr>
                <w:rFonts w:hint="default" w:ascii="Segoe UI" w:hAnsi="Segoe UI" w:eastAsia="Segoe UI" w:cs="Segoe UI"/>
                <w:i w:val="0"/>
                <w:iCs w:val="0"/>
                <w:caps w:val="0"/>
                <w:color w:val="auto"/>
                <w:spacing w:val="0"/>
                <w:sz w:val="24"/>
                <w:szCs w:val="24"/>
                <w:highlight w:val="none"/>
              </w:rPr>
              <w:t>优化3D打印后处理</w:t>
            </w:r>
            <w:r>
              <w:rPr>
                <w:rFonts w:hint="eastAsia" w:ascii="Segoe UI" w:hAnsi="Segoe UI" w:eastAsia="宋体" w:cs="Segoe UI"/>
                <w:i w:val="0"/>
                <w:iCs w:val="0"/>
                <w:caps w:val="0"/>
                <w:color w:val="auto"/>
                <w:spacing w:val="0"/>
                <w:sz w:val="24"/>
                <w:szCs w:val="24"/>
                <w:highlight w:val="none"/>
                <w:lang w:val="en-US" w:eastAsia="zh-CN"/>
              </w:rPr>
              <w:t>线</w:t>
            </w:r>
            <w:r>
              <w:rPr>
                <w:rFonts w:hint="default" w:ascii="Segoe UI" w:hAnsi="Segoe UI" w:eastAsia="Segoe UI" w:cs="Segoe UI"/>
                <w:i w:val="0"/>
                <w:iCs w:val="0"/>
                <w:caps w:val="0"/>
                <w:color w:val="auto"/>
                <w:spacing w:val="0"/>
                <w:sz w:val="24"/>
                <w:szCs w:val="24"/>
                <w:highlight w:val="none"/>
              </w:rPr>
              <w:t>，取消清洗环节。为保障产品质量的稳定性，企业将通过延长前道甩干工序的时长，以确保有效清除牙模表面残留树脂。</w:t>
            </w:r>
            <w:r>
              <w:rPr>
                <w:rFonts w:hint="eastAsia" w:ascii="Times New Roman" w:hAnsi="Times New Roman" w:eastAsia="宋体" w:cs="Times New Roman"/>
                <w:color w:val="auto"/>
                <w:sz w:val="24"/>
                <w:szCs w:val="24"/>
                <w:highlight w:val="none"/>
                <w:lang w:val="en-US" w:eastAsia="zh-CN"/>
              </w:rPr>
              <w:t>并在手工脱模环节增加喷涂硅油-脱模剂步骤，利用硅油-脱模剂的润滑性便于工人手工脱模。为提升产品佩戴舒适度，购置新型抛光机，在现有抛光的基础上进行二次精细抛光。</w:t>
            </w:r>
            <w:r>
              <w:rPr>
                <w:rFonts w:hint="eastAsia" w:ascii="Times New Roman" w:hAnsi="Times New Roman" w:eastAsia="宋体" w:cs="Calibri"/>
                <w:color w:val="auto"/>
                <w:sz w:val="24"/>
                <w:highlight w:val="none"/>
                <w:lang w:val="en-US" w:eastAsia="zh-CN"/>
              </w:rPr>
              <w:t>隐形矫治器生产线取消后道处理清洗工艺和增加喷涂硅油-脱模剂环节的工艺流程及产污环节如下。</w:t>
            </w:r>
          </w:p>
        </w:tc>
      </w:tr>
    </w:tbl>
    <w:p w14:paraId="7C6E5F79">
      <w:pPr>
        <w:rPr>
          <w:rFonts w:ascii="Times New Roman" w:hAnsi="Times New Roman" w:eastAsia="宋体"/>
          <w:color w:val="auto"/>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5"/>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02"/>
      </w:tblGrid>
      <w:tr w14:paraId="2197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98" w:hRule="atLeast"/>
        </w:trPr>
        <w:tc>
          <w:tcPr>
            <w:tcW w:w="456" w:type="dxa"/>
            <w:vAlign w:val="center"/>
          </w:tcPr>
          <w:p w14:paraId="0414FD03">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s="Times New Roman"/>
                <w:color w:val="auto"/>
                <w:sz w:val="24"/>
                <w:highlight w:val="none"/>
              </w:rPr>
              <w:t>工艺流程和产排污环节</w:t>
            </w:r>
          </w:p>
        </w:tc>
        <w:tc>
          <w:tcPr>
            <w:tcW w:w="8802" w:type="dxa"/>
          </w:tcPr>
          <w:p w14:paraId="6F6B9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ascii="Times New Roman" w:hAnsi="Times New Roman" w:eastAsia="宋体"/>
                <w:color w:val="auto"/>
                <w:highlight w:val="none"/>
              </w:rPr>
            </w:pPr>
            <w:r>
              <w:rPr>
                <w:rFonts w:hint="default" w:ascii="Times New Roman" w:hAnsi="Times New Roman" w:eastAsia="宋体"/>
                <w:color w:val="auto"/>
                <w:highlight w:val="none"/>
              </w:rPr>
              <w:object>
                <v:shape id="_x0000_i1028" o:spt="75" type="#_x0000_t75" style="height:431.3pt;width:378.3pt;" o:ole="t" filled="f" o:preferrelative="t" stroked="f" coordsize="21600,21600">
                  <v:path/>
                  <v:fill on="f" focussize="0,0"/>
                  <v:stroke on="f"/>
                  <v:imagedata r:id="rId16" cropleft="474f" croptop="4719f" cropright="15779f" cropbottom="10556f" o:title=""/>
                  <o:lock v:ext="edit" aspectratio="t"/>
                  <w10:wrap type="none"/>
                  <w10:anchorlock/>
                </v:shape>
                <o:OLEObject Type="Embed" ProgID="Visio.Drawing.11" ShapeID="_x0000_i1028" DrawAspect="Content" ObjectID="_1468075728" r:id="rId15">
                  <o:LockedField>false</o:LockedField>
                </o:OLEObject>
              </w:object>
            </w:r>
          </w:p>
          <w:p w14:paraId="6FEFB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图2-</w:t>
            </w:r>
            <w:r>
              <w:rPr>
                <w:rFonts w:hint="eastAsia"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 xml:space="preserve"> 隐形矫治器生产线工艺流程图及产污环节</w:t>
            </w:r>
          </w:p>
          <w:p w14:paraId="66EED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技术改造部分</w:t>
            </w:r>
            <w:r>
              <w:rPr>
                <w:rFonts w:hint="eastAsia" w:ascii="Times New Roman" w:hAnsi="Times New Roman" w:eastAsia="宋体" w:cs="Times New Roman"/>
                <w:b/>
                <w:bCs/>
                <w:color w:val="auto"/>
                <w:sz w:val="24"/>
                <w:highlight w:val="none"/>
                <w:lang w:val="en-US" w:eastAsia="zh-CN"/>
              </w:rPr>
              <w:t>工艺流程简述</w:t>
            </w:r>
            <w:r>
              <w:rPr>
                <w:rFonts w:hint="eastAsia" w:cs="Times New Roman"/>
                <w:b/>
                <w:bCs/>
                <w:color w:val="auto"/>
                <w:sz w:val="24"/>
                <w:highlight w:val="none"/>
                <w:lang w:val="en-US" w:eastAsia="zh-CN"/>
              </w:rPr>
              <w:t>（其余工艺说明见现有项目部分描述）</w:t>
            </w:r>
            <w:r>
              <w:rPr>
                <w:rFonts w:hint="eastAsia" w:ascii="Times New Roman" w:hAnsi="Times New Roman" w:eastAsia="宋体" w:cs="Times New Roman"/>
                <w:b/>
                <w:bCs/>
                <w:color w:val="auto"/>
                <w:sz w:val="24"/>
                <w:highlight w:val="none"/>
                <w:lang w:val="en-US" w:eastAsia="zh-CN"/>
              </w:rPr>
              <w:t>：</w:t>
            </w:r>
          </w:p>
          <w:p w14:paraId="05261C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喷涂硅油-脱模剂</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val="0"/>
                <w:bCs w:val="0"/>
                <w:color w:val="auto"/>
                <w:sz w:val="24"/>
                <w:highlight w:val="none"/>
                <w:lang w:val="en-US" w:eastAsia="zh-CN"/>
              </w:rPr>
              <w:t>鉴于部分牙模因结构复杂（如具有深覆合、多倒凹等特殊形态）而呈现出脱模困难的问题，为有效解决该难题、提升产品质量与生产效率，</w:t>
            </w:r>
            <w:r>
              <w:rPr>
                <w:rFonts w:hint="eastAsia" w:cs="Times New Roman"/>
                <w:b w:val="0"/>
                <w:bCs w:val="0"/>
                <w:color w:val="auto"/>
                <w:sz w:val="24"/>
                <w:highlight w:val="none"/>
                <w:lang w:val="en-US" w:eastAsia="zh-CN"/>
              </w:rPr>
              <w:t>本项目新增</w:t>
            </w:r>
            <w:r>
              <w:rPr>
                <w:rFonts w:hint="eastAsia" w:ascii="Times New Roman" w:hAnsi="Times New Roman" w:eastAsia="宋体" w:cs="Times New Roman"/>
                <w:b w:val="0"/>
                <w:bCs w:val="0"/>
                <w:color w:val="auto"/>
                <w:sz w:val="24"/>
                <w:highlight w:val="none"/>
                <w:lang w:val="en-US" w:eastAsia="zh-CN"/>
              </w:rPr>
              <w:t>了喷涂硅油-脱模剂环节。脱模剂是一种功能性涂层，其核心作用是通过在牙模表面形成一层致密且稳定的隔离薄膜，有效降低材料间的粘附力。该薄膜通过物理隔离及润滑作用，</w:t>
            </w:r>
            <w:r>
              <w:rPr>
                <w:rFonts w:hint="eastAsia" w:cs="Times New Roman"/>
                <w:b w:val="0"/>
                <w:bCs w:val="0"/>
                <w:color w:val="auto"/>
                <w:sz w:val="24"/>
                <w:highlight w:val="none"/>
                <w:lang w:val="en-US" w:eastAsia="zh-CN"/>
              </w:rPr>
              <w:t>能够</w:t>
            </w:r>
            <w:r>
              <w:rPr>
                <w:rFonts w:hint="eastAsia" w:ascii="Times New Roman" w:hAnsi="Times New Roman" w:eastAsia="宋体" w:cs="Times New Roman"/>
                <w:b w:val="0"/>
                <w:bCs w:val="0"/>
                <w:color w:val="auto"/>
                <w:sz w:val="24"/>
                <w:highlight w:val="none"/>
                <w:lang w:val="en-US" w:eastAsia="zh-CN"/>
              </w:rPr>
              <w:t>显著减少脱模过程中模型与模具间的摩擦阻力，使固化后的牙模能够完整、顺畅地从模具中分离，避免因粘连导致的模型缺损或表面纹理损伤。在具体的喷涂操作上，采用人工手持喷壶的方式，喷壶</w:t>
            </w:r>
            <w:r>
              <w:rPr>
                <w:rFonts w:hint="default" w:ascii="Times New Roman" w:hAnsi="Times New Roman" w:eastAsia="宋体" w:cs="Times New Roman"/>
                <w:b w:val="0"/>
                <w:bCs w:val="0"/>
                <w:color w:val="auto"/>
                <w:sz w:val="24"/>
                <w:szCs w:val="24"/>
                <w:highlight w:val="none"/>
                <w:lang w:val="en-US" w:eastAsia="zh-CN"/>
              </w:rPr>
              <w:t>利用气压</w:t>
            </w:r>
            <w:r>
              <w:rPr>
                <w:rFonts w:hint="eastAsia" w:cs="Times New Roman"/>
                <w:b w:val="0"/>
                <w:bCs w:val="0"/>
                <w:color w:val="auto"/>
                <w:sz w:val="24"/>
                <w:szCs w:val="24"/>
                <w:highlight w:val="none"/>
                <w:lang w:val="en-US" w:eastAsia="zh-CN"/>
              </w:rPr>
              <w:t>将硅油-脱模剂</w:t>
            </w:r>
            <w:r>
              <w:rPr>
                <w:rFonts w:hint="default" w:ascii="Times New Roman" w:hAnsi="Times New Roman" w:eastAsia="宋体" w:cs="Times New Roman"/>
                <w:b w:val="0"/>
                <w:bCs w:val="0"/>
                <w:color w:val="auto"/>
                <w:sz w:val="24"/>
                <w:szCs w:val="24"/>
                <w:highlight w:val="none"/>
                <w:lang w:val="en-US" w:eastAsia="zh-CN"/>
              </w:rPr>
              <w:t>雾化喷出，从而使</w:t>
            </w:r>
            <w:r>
              <w:rPr>
                <w:rFonts w:hint="eastAsia" w:ascii="Times New Roman" w:hAnsi="Times New Roman" w:eastAsia="宋体" w:cs="Times New Roman"/>
                <w:b w:val="0"/>
                <w:bCs w:val="0"/>
                <w:color w:val="auto"/>
                <w:sz w:val="24"/>
                <w:szCs w:val="24"/>
                <w:highlight w:val="none"/>
                <w:lang w:val="en-US" w:eastAsia="zh-CN"/>
              </w:rPr>
              <w:t>硅油-脱模剂</w:t>
            </w:r>
            <w:r>
              <w:rPr>
                <w:rFonts w:hint="default" w:ascii="Times New Roman" w:hAnsi="Times New Roman" w:eastAsia="宋体" w:cs="Times New Roman"/>
                <w:b w:val="0"/>
                <w:bCs w:val="0"/>
                <w:color w:val="auto"/>
                <w:sz w:val="24"/>
                <w:szCs w:val="24"/>
                <w:highlight w:val="none"/>
                <w:lang w:val="en-US" w:eastAsia="zh-CN"/>
              </w:rPr>
              <w:t>均匀涂覆在</w:t>
            </w:r>
            <w:r>
              <w:rPr>
                <w:rFonts w:hint="eastAsia"/>
                <w:color w:val="auto"/>
                <w:sz w:val="24"/>
                <w:szCs w:val="24"/>
                <w:highlight w:val="none"/>
                <w:lang w:val="en-US" w:eastAsia="zh-CN"/>
              </w:rPr>
              <w:t>牙模表面</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单批次可喷涂一盘牙模</w:t>
            </w:r>
            <w:r>
              <w:rPr>
                <w:rFonts w:hint="eastAsia" w:ascii="Times New Roman" w:hAnsi="Times New Roman" w:eastAsia="宋体" w:cs="Times New Roman"/>
                <w:b w:val="0"/>
                <w:bCs w:val="0"/>
                <w:color w:val="auto"/>
                <w:sz w:val="24"/>
                <w:szCs w:val="24"/>
                <w:highlight w:val="none"/>
                <w:lang w:val="en-US" w:eastAsia="zh-CN"/>
              </w:rPr>
              <w:t>，约20只，</w:t>
            </w:r>
            <w:r>
              <w:rPr>
                <w:rFonts w:hint="eastAsia" w:cs="Times New Roman"/>
                <w:b w:val="0"/>
                <w:bCs w:val="0"/>
                <w:color w:val="auto"/>
                <w:sz w:val="24"/>
                <w:szCs w:val="24"/>
                <w:highlight w:val="none"/>
                <w:lang w:val="en-US" w:eastAsia="zh-CN"/>
              </w:rPr>
              <w:t>喷涂时长为</w:t>
            </w:r>
            <w:r>
              <w:rPr>
                <w:rFonts w:hint="eastAsia" w:ascii="Times New Roman" w:hAnsi="Times New Roman" w:eastAsia="宋体" w:cs="Times New Roman"/>
                <w:b w:val="0"/>
                <w:bCs w:val="0"/>
                <w:color w:val="auto"/>
                <w:sz w:val="24"/>
                <w:szCs w:val="24"/>
                <w:highlight w:val="none"/>
                <w:lang w:val="en-US" w:eastAsia="zh-CN"/>
              </w:rPr>
              <w:t>3s左右。</w:t>
            </w:r>
          </w:p>
          <w:p w14:paraId="770BC501">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Segoe UI"/>
                <w:i w:val="0"/>
                <w:iCs w:val="0"/>
                <w:caps w:val="0"/>
                <w:color w:val="auto"/>
                <w:spacing w:val="0"/>
                <w:sz w:val="24"/>
                <w:szCs w:val="24"/>
                <w:highlight w:val="none"/>
                <w:shd w:val="clear" w:fill="FFFFFF"/>
              </w:rPr>
            </w:pPr>
            <w:r>
              <w:rPr>
                <w:rFonts w:hint="default" w:ascii="Times New Roman" w:hAnsi="Times New Roman" w:eastAsia="宋体" w:cs="Segoe UI"/>
                <w:i w:val="0"/>
                <w:iCs w:val="0"/>
                <w:caps w:val="0"/>
                <w:color w:val="auto"/>
                <w:spacing w:val="0"/>
                <w:sz w:val="24"/>
                <w:szCs w:val="24"/>
                <w:highlight w:val="none"/>
                <w:shd w:val="clear" w:fill="FFFFFF"/>
              </w:rPr>
              <w:t>在人工喷涂</w:t>
            </w:r>
            <w:r>
              <w:rPr>
                <w:rFonts w:hint="eastAsia" w:ascii="Times New Roman" w:hAnsi="Times New Roman" w:eastAsia="宋体" w:cs="Segoe UI"/>
                <w:i w:val="0"/>
                <w:iCs w:val="0"/>
                <w:caps w:val="0"/>
                <w:color w:val="auto"/>
                <w:spacing w:val="0"/>
                <w:sz w:val="24"/>
                <w:szCs w:val="24"/>
                <w:highlight w:val="none"/>
                <w:shd w:val="clear" w:fill="FFFFFF"/>
                <w:lang w:eastAsia="zh-CN"/>
              </w:rPr>
              <w:t>硅油-脱模剂</w:t>
            </w:r>
            <w:r>
              <w:rPr>
                <w:rFonts w:hint="default" w:ascii="Times New Roman" w:hAnsi="Times New Roman" w:eastAsia="宋体" w:cs="Segoe UI"/>
                <w:i w:val="0"/>
                <w:iCs w:val="0"/>
                <w:caps w:val="0"/>
                <w:color w:val="auto"/>
                <w:spacing w:val="0"/>
                <w:sz w:val="24"/>
                <w:szCs w:val="24"/>
                <w:highlight w:val="none"/>
                <w:shd w:val="clear" w:fill="FFFFFF"/>
              </w:rPr>
              <w:t>作业时，因</w:t>
            </w:r>
            <w:r>
              <w:rPr>
                <w:rFonts w:hint="eastAsia" w:ascii="Times New Roman" w:hAnsi="Times New Roman" w:eastAsia="宋体" w:cs="Segoe UI"/>
                <w:i w:val="0"/>
                <w:iCs w:val="0"/>
                <w:caps w:val="0"/>
                <w:color w:val="auto"/>
                <w:spacing w:val="0"/>
                <w:sz w:val="24"/>
                <w:szCs w:val="24"/>
                <w:highlight w:val="none"/>
                <w:shd w:val="clear" w:fill="FFFFFF"/>
                <w:lang w:eastAsia="zh-CN"/>
              </w:rPr>
              <w:t>硅油-脱模剂</w:t>
            </w:r>
            <w:r>
              <w:rPr>
                <w:rFonts w:hint="default" w:ascii="Times New Roman" w:hAnsi="Times New Roman" w:eastAsia="宋体" w:cs="Segoe UI"/>
                <w:i w:val="0"/>
                <w:iCs w:val="0"/>
                <w:caps w:val="0"/>
                <w:color w:val="auto"/>
                <w:spacing w:val="0"/>
                <w:sz w:val="24"/>
                <w:szCs w:val="24"/>
                <w:highlight w:val="none"/>
                <w:shd w:val="clear" w:fill="FFFFFF"/>
              </w:rPr>
              <w:t>含有的有机成分以及人工操作难以克服的固有缺陷，</w:t>
            </w:r>
            <w:r>
              <w:rPr>
                <w:rFonts w:hint="eastAsia" w:ascii="Times New Roman" w:hAnsi="Times New Roman" w:eastAsia="宋体" w:cs="Segoe UI"/>
                <w:i w:val="0"/>
                <w:iCs w:val="0"/>
                <w:caps w:val="0"/>
                <w:color w:val="auto"/>
                <w:spacing w:val="0"/>
                <w:sz w:val="24"/>
                <w:szCs w:val="24"/>
                <w:highlight w:val="none"/>
                <w:shd w:val="clear" w:fill="FFFFFF"/>
                <w:lang w:val="en-US" w:eastAsia="zh-CN"/>
              </w:rPr>
              <w:t>会产生有机废气G1以及</w:t>
            </w:r>
            <w:r>
              <w:rPr>
                <w:rFonts w:hint="eastAsia" w:cs="Segoe UI"/>
                <w:i w:val="0"/>
                <w:iCs w:val="0"/>
                <w:caps w:val="0"/>
                <w:color w:val="auto"/>
                <w:spacing w:val="0"/>
                <w:sz w:val="24"/>
                <w:szCs w:val="24"/>
                <w:highlight w:val="none"/>
                <w:shd w:val="clear" w:fill="FFFFFF"/>
                <w:lang w:val="en-US" w:eastAsia="zh-CN"/>
              </w:rPr>
              <w:t>（硅油-脱模剂）废包装桶</w:t>
            </w:r>
            <w:r>
              <w:rPr>
                <w:rFonts w:hint="eastAsia" w:ascii="Times New Roman" w:hAnsi="Times New Roman" w:eastAsia="宋体" w:cs="Segoe UI"/>
                <w:i w:val="0"/>
                <w:iCs w:val="0"/>
                <w:caps w:val="0"/>
                <w:color w:val="auto"/>
                <w:spacing w:val="0"/>
                <w:sz w:val="24"/>
                <w:szCs w:val="24"/>
                <w:highlight w:val="none"/>
                <w:shd w:val="clear" w:fill="FFFFFF"/>
                <w:lang w:val="en-US" w:eastAsia="zh-CN"/>
              </w:rPr>
              <w:t>S1</w:t>
            </w:r>
            <w:r>
              <w:rPr>
                <w:rFonts w:hint="eastAsia" w:cs="Segoe UI"/>
                <w:i w:val="0"/>
                <w:iCs w:val="0"/>
                <w:caps w:val="0"/>
                <w:color w:val="auto"/>
                <w:spacing w:val="0"/>
                <w:sz w:val="24"/>
                <w:szCs w:val="24"/>
                <w:highlight w:val="none"/>
                <w:shd w:val="clear" w:fill="FFFFFF"/>
                <w:lang w:val="en-US" w:eastAsia="zh-CN"/>
              </w:rPr>
              <w:t>、噪声N1。</w:t>
            </w:r>
            <w:r>
              <w:rPr>
                <w:rFonts w:hint="default" w:ascii="Times New Roman" w:hAnsi="Times New Roman" w:eastAsia="宋体" w:cs="Segoe UI"/>
                <w:i w:val="0"/>
                <w:iCs w:val="0"/>
                <w:caps w:val="0"/>
                <w:color w:val="auto"/>
                <w:spacing w:val="0"/>
                <w:sz w:val="24"/>
                <w:szCs w:val="24"/>
                <w:highlight w:val="none"/>
                <w:shd w:val="clear" w:fill="FFFFFF"/>
              </w:rPr>
              <w:t>。</w:t>
            </w:r>
          </w:p>
          <w:p w14:paraId="7E13B165">
            <w:pPr>
              <w:keepNext w:val="0"/>
              <w:keepLines w:val="0"/>
              <w:widowControl/>
              <w:suppressLineNumbers w:val="0"/>
              <w:spacing w:before="0" w:beforeAutospacing="0" w:after="0" w:afterAutospacing="0" w:line="360" w:lineRule="auto"/>
              <w:ind w:left="0" w:right="0" w:firstLine="482" w:firstLineChars="200"/>
              <w:jc w:val="both"/>
              <w:rPr>
                <w:rFonts w:hint="eastAsia" w:ascii="Times New Roman" w:hAnsi="Times New Roman" w:eastAsia="宋体" w:cs="Segoe UI"/>
                <w:b/>
                <w:bCs/>
                <w:i w:val="0"/>
                <w:iCs w:val="0"/>
                <w:caps w:val="0"/>
                <w:color w:val="auto"/>
                <w:spacing w:val="0"/>
                <w:sz w:val="24"/>
                <w:szCs w:val="24"/>
                <w:highlight w:val="none"/>
                <w:shd w:val="clear" w:fill="FFFFFF"/>
                <w:lang w:val="en-US" w:eastAsia="zh-CN"/>
              </w:rPr>
            </w:pPr>
            <w:r>
              <w:rPr>
                <w:rFonts w:hint="eastAsia" w:ascii="Times New Roman" w:hAnsi="Times New Roman" w:eastAsia="宋体" w:cs="Segoe UI"/>
                <w:b/>
                <w:bCs/>
                <w:i w:val="0"/>
                <w:iCs w:val="0"/>
                <w:caps w:val="0"/>
                <w:color w:val="auto"/>
                <w:spacing w:val="0"/>
                <w:sz w:val="24"/>
                <w:szCs w:val="24"/>
                <w:highlight w:val="none"/>
                <w:shd w:val="clear" w:fill="FFFFFF"/>
                <w:lang w:val="en-US" w:eastAsia="zh-CN"/>
              </w:rPr>
              <w:t>抛光：</w:t>
            </w:r>
            <w:r>
              <w:rPr>
                <w:rFonts w:hint="eastAsia" w:ascii="Times New Roman" w:hAnsi="Times New Roman" w:eastAsia="宋体" w:cs="Segoe UI"/>
                <w:b w:val="0"/>
                <w:bCs w:val="0"/>
                <w:i w:val="0"/>
                <w:iCs w:val="0"/>
                <w:caps w:val="0"/>
                <w:color w:val="auto"/>
                <w:spacing w:val="0"/>
                <w:sz w:val="24"/>
                <w:szCs w:val="24"/>
                <w:highlight w:val="none"/>
                <w:shd w:val="clear" w:fill="FFFFFF"/>
                <w:lang w:val="en-US" w:eastAsia="zh-CN"/>
              </w:rPr>
              <w:t>本项目</w:t>
            </w:r>
            <w:r>
              <w:rPr>
                <w:rFonts w:hint="default" w:ascii="Times New Roman" w:hAnsi="Times New Roman" w:eastAsia="宋体" w:cs="Segoe UI"/>
                <w:i w:val="0"/>
                <w:iCs w:val="0"/>
                <w:caps w:val="0"/>
                <w:color w:val="auto"/>
                <w:spacing w:val="0"/>
                <w:sz w:val="24"/>
                <w:szCs w:val="24"/>
                <w:highlight w:val="none"/>
                <w:shd w:val="clear" w:fill="FFFFFF"/>
              </w:rPr>
              <w:t>新购置抛光机，</w:t>
            </w:r>
            <w:r>
              <w:rPr>
                <w:rFonts w:hint="eastAsia" w:ascii="Times New Roman" w:hAnsi="Times New Roman" w:eastAsia="宋体" w:cs="Segoe UI"/>
                <w:i w:val="0"/>
                <w:iCs w:val="0"/>
                <w:caps w:val="0"/>
                <w:color w:val="auto"/>
                <w:spacing w:val="0"/>
                <w:sz w:val="24"/>
                <w:szCs w:val="24"/>
                <w:highlight w:val="none"/>
                <w:shd w:val="clear" w:fill="FFFFFF"/>
                <w:lang w:val="en-US" w:eastAsia="zh-CN"/>
              </w:rPr>
              <w:t>在现有的抛光基础上对聚氨酯膜片进行二次精细抛光，</w:t>
            </w:r>
            <w:r>
              <w:rPr>
                <w:rFonts w:hint="default" w:ascii="Times New Roman" w:hAnsi="Times New Roman" w:eastAsia="宋体" w:cs="Segoe UI"/>
                <w:i w:val="0"/>
                <w:iCs w:val="0"/>
                <w:caps w:val="0"/>
                <w:color w:val="auto"/>
                <w:spacing w:val="0"/>
                <w:sz w:val="24"/>
                <w:szCs w:val="24"/>
                <w:highlight w:val="none"/>
                <w:shd w:val="clear" w:fill="FFFFFF"/>
              </w:rPr>
              <w:t>旨在提升牙套佩戴的舒适性，增强产品的市场竞争力。</w:t>
            </w:r>
            <w:r>
              <w:rPr>
                <w:rFonts w:hint="eastAsia" w:ascii="Times New Roman" w:hAnsi="Times New Roman" w:eastAsia="宋体" w:cs="Segoe UI"/>
                <w:i w:val="0"/>
                <w:iCs w:val="0"/>
                <w:caps w:val="0"/>
                <w:color w:val="auto"/>
                <w:spacing w:val="0"/>
                <w:sz w:val="24"/>
                <w:szCs w:val="24"/>
                <w:highlight w:val="none"/>
                <w:shd w:val="clear" w:fill="FFFFFF"/>
                <w:lang w:val="en-US" w:eastAsia="zh-CN"/>
              </w:rPr>
              <w:t>企业</w:t>
            </w:r>
            <w:r>
              <w:rPr>
                <w:rFonts w:hint="default" w:ascii="Times New Roman" w:hAnsi="Times New Roman" w:eastAsia="宋体" w:cs="Times New Roman"/>
                <w:b w:val="0"/>
                <w:bCs w:val="0"/>
                <w:color w:val="auto"/>
                <w:sz w:val="24"/>
                <w:highlight w:val="none"/>
                <w:lang w:val="en-US" w:eastAsia="zh-CN"/>
              </w:rPr>
              <w:t>专门设置抛光工作台，在各个工位上加装罩子，罩子上仅留双手进出孔洞。人工使用手持式</w:t>
            </w:r>
            <w:r>
              <w:rPr>
                <w:rFonts w:hint="eastAsia" w:ascii="Times New Roman" w:hAnsi="Times New Roman" w:eastAsia="宋体" w:cs="Times New Roman"/>
                <w:b w:val="0"/>
                <w:bCs w:val="0"/>
                <w:color w:val="auto"/>
                <w:sz w:val="24"/>
                <w:highlight w:val="none"/>
                <w:lang w:val="en-US" w:eastAsia="zh-CN"/>
              </w:rPr>
              <w:t>抛光机</w:t>
            </w:r>
            <w:r>
              <w:rPr>
                <w:rFonts w:hint="default" w:ascii="Times New Roman" w:hAnsi="Times New Roman" w:eastAsia="宋体" w:cs="Times New Roman"/>
                <w:b w:val="0"/>
                <w:bCs w:val="0"/>
                <w:color w:val="auto"/>
                <w:sz w:val="24"/>
                <w:highlight w:val="none"/>
                <w:lang w:val="en-US" w:eastAsia="zh-CN"/>
              </w:rPr>
              <w:t>在罩子内部作业，抛光头是由毛毡制成，毛毡耐磨强度高，是理想的抛磨配套产品，能够起到消痕、增亮的作用。该过程产生</w:t>
            </w:r>
            <w:r>
              <w:rPr>
                <w:rFonts w:hint="eastAsia" w:cs="Times New Roman"/>
                <w:b w:val="0"/>
                <w:bCs w:val="0"/>
                <w:color w:val="auto"/>
                <w:sz w:val="24"/>
                <w:highlight w:val="none"/>
                <w:lang w:val="en-US" w:eastAsia="zh-CN"/>
              </w:rPr>
              <w:t>精细</w:t>
            </w:r>
            <w:r>
              <w:rPr>
                <w:rFonts w:hint="default" w:ascii="Times New Roman" w:hAnsi="Times New Roman" w:eastAsia="宋体" w:cs="Times New Roman"/>
                <w:b w:val="0"/>
                <w:bCs w:val="0"/>
                <w:color w:val="auto"/>
                <w:sz w:val="24"/>
                <w:highlight w:val="none"/>
                <w:lang w:val="en-US" w:eastAsia="zh-CN"/>
              </w:rPr>
              <w:t>抛光粉尘</w:t>
            </w:r>
            <w:r>
              <w:rPr>
                <w:rFonts w:hint="eastAsia" w:ascii="Times New Roman" w:hAnsi="Times New Roman" w:eastAsia="宋体" w:cs="Times New Roman"/>
                <w:b w:val="0"/>
                <w:bCs w:val="0"/>
                <w:color w:val="auto"/>
                <w:sz w:val="24"/>
                <w:highlight w:val="none"/>
                <w:lang w:val="en-US" w:eastAsia="zh-CN"/>
              </w:rPr>
              <w:t>G2</w:t>
            </w:r>
            <w:r>
              <w:rPr>
                <w:rFonts w:hint="eastAsia" w:cs="Times New Roman"/>
                <w:b w:val="0"/>
                <w:bCs w:val="0"/>
                <w:color w:val="auto"/>
                <w:sz w:val="24"/>
                <w:highlight w:val="none"/>
                <w:lang w:val="en-US" w:eastAsia="zh-CN"/>
              </w:rPr>
              <w:t>和噪声N2</w:t>
            </w:r>
            <w:r>
              <w:rPr>
                <w:rFonts w:hint="default" w:ascii="Times New Roman" w:hAnsi="Times New Roman" w:eastAsia="宋体" w:cs="Times New Roman"/>
                <w:b w:val="0"/>
                <w:bCs w:val="0"/>
                <w:color w:val="auto"/>
                <w:sz w:val="24"/>
                <w:highlight w:val="none"/>
                <w:lang w:val="en-US" w:eastAsia="zh-CN"/>
              </w:rPr>
              <w:t>。</w:t>
            </w:r>
          </w:p>
          <w:p w14:paraId="61F54817">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其他产污环节：</w:t>
            </w:r>
          </w:p>
          <w:p w14:paraId="2C28FF8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现有项目</w:t>
            </w:r>
            <w:r>
              <w:rPr>
                <w:rFonts w:hint="eastAsia" w:ascii="Times New Roman" w:hAnsi="Times New Roman" w:eastAsia="宋体"/>
                <w:color w:val="auto"/>
                <w:sz w:val="24"/>
                <w:highlight w:val="none"/>
              </w:rPr>
              <w:t>设有</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一级碱喷淋+一级水喷淋+除雾器+二级活性炭吸附装置</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对</w:t>
            </w:r>
            <w:r>
              <w:rPr>
                <w:rFonts w:hint="eastAsia" w:ascii="Times New Roman" w:hAnsi="Times New Roman" w:eastAsia="宋体"/>
                <w:color w:val="auto"/>
                <w:sz w:val="24"/>
                <w:highlight w:val="none"/>
                <w:lang w:val="en-US" w:eastAsia="zh-CN"/>
              </w:rPr>
              <w:t>医用高分子材料生产线的压膜废气</w:t>
            </w:r>
            <w:r>
              <w:rPr>
                <w:rFonts w:hint="eastAsia" w:ascii="Times New Roman" w:hAnsi="Times New Roman" w:eastAsia="宋体"/>
                <w:color w:val="auto"/>
                <w:sz w:val="24"/>
                <w:highlight w:val="none"/>
              </w:rPr>
              <w:t>进行处理，</w:t>
            </w:r>
            <w:r>
              <w:rPr>
                <w:rFonts w:hint="default" w:ascii="Times New Roman" w:hAnsi="Times New Roman" w:eastAsia="宋体" w:cs="Times New Roman"/>
                <w:b w:val="0"/>
                <w:bCs w:val="0"/>
                <w:color w:val="auto"/>
                <w:sz w:val="24"/>
                <w:highlight w:val="none"/>
                <w:lang w:val="en-US" w:eastAsia="zh-CN"/>
              </w:rPr>
              <w:t>本次</w:t>
            </w:r>
            <w:r>
              <w:rPr>
                <w:rFonts w:hint="eastAsia" w:cs="Times New Roman"/>
                <w:b w:val="0"/>
                <w:bCs w:val="0"/>
                <w:color w:val="auto"/>
                <w:sz w:val="24"/>
                <w:highlight w:val="none"/>
                <w:lang w:val="en-US" w:eastAsia="zh-CN"/>
              </w:rPr>
              <w:t>新增的</w:t>
            </w:r>
            <w:r>
              <w:rPr>
                <w:rFonts w:hint="eastAsia" w:ascii="Times New Roman" w:hAnsi="Times New Roman" w:eastAsia="宋体" w:cs="Times New Roman"/>
                <w:b w:val="0"/>
                <w:bCs w:val="0"/>
                <w:color w:val="auto"/>
                <w:sz w:val="24"/>
                <w:highlight w:val="none"/>
                <w:lang w:val="en-US" w:eastAsia="zh-CN"/>
              </w:rPr>
              <w:t>喷涂硅油-脱模剂</w:t>
            </w:r>
            <w:r>
              <w:rPr>
                <w:rFonts w:hint="default" w:ascii="Times New Roman" w:hAnsi="Times New Roman" w:eastAsia="宋体" w:cs="Times New Roman"/>
                <w:b w:val="0"/>
                <w:bCs w:val="0"/>
                <w:color w:val="auto"/>
                <w:sz w:val="24"/>
                <w:highlight w:val="none"/>
                <w:lang w:val="en-US" w:eastAsia="zh-CN"/>
              </w:rPr>
              <w:t>废气并入</w:t>
            </w:r>
            <w:r>
              <w:rPr>
                <w:rFonts w:hint="eastAsia" w:ascii="Times New Roman" w:hAnsi="Times New Roman" w:eastAsia="宋体" w:cs="Times New Roman"/>
                <w:b w:val="0"/>
                <w:bCs w:val="0"/>
                <w:color w:val="auto"/>
                <w:sz w:val="24"/>
                <w:highlight w:val="none"/>
                <w:lang w:val="en-US" w:eastAsia="zh-CN"/>
              </w:rPr>
              <w:t>现有的压膜</w:t>
            </w:r>
            <w:r>
              <w:rPr>
                <w:rFonts w:hint="default" w:ascii="Times New Roman" w:hAnsi="Times New Roman" w:eastAsia="宋体" w:cs="Times New Roman"/>
                <w:b w:val="0"/>
                <w:bCs w:val="0"/>
                <w:color w:val="auto"/>
                <w:sz w:val="24"/>
                <w:highlight w:val="none"/>
                <w:lang w:val="en-US" w:eastAsia="zh-CN"/>
              </w:rPr>
              <w:t>废气处理设施处理，</w:t>
            </w:r>
            <w:r>
              <w:rPr>
                <w:rFonts w:hint="eastAsia" w:cs="Times New Roman"/>
                <w:b w:val="0"/>
                <w:bCs w:val="0"/>
                <w:color w:val="auto"/>
                <w:sz w:val="24"/>
                <w:highlight w:val="none"/>
                <w:lang w:val="en-US" w:eastAsia="zh-CN"/>
              </w:rPr>
              <w:t>由于本项目产生的有机废气难溶于水和碱液，现有的“一级碱喷淋+一级水喷淋”处理设施对非甲烷总烃不具备有效去除能力，因此本次技术改造后喷淋废液量不增加。活性炭更换周期改变、</w:t>
            </w:r>
            <w:r>
              <w:rPr>
                <w:rFonts w:hint="eastAsia" w:ascii="Times New Roman" w:hAnsi="Times New Roman" w:eastAsia="宋体" w:cs="Times New Roman"/>
                <w:b w:val="0"/>
                <w:bCs w:val="0"/>
                <w:color w:val="auto"/>
                <w:sz w:val="24"/>
                <w:highlight w:val="none"/>
                <w:lang w:val="en-US" w:eastAsia="zh-CN"/>
              </w:rPr>
              <w:t>新增</w:t>
            </w:r>
            <w:r>
              <w:rPr>
                <w:rFonts w:hint="default" w:ascii="Times New Roman" w:hAnsi="Times New Roman" w:eastAsia="宋体" w:cs="Times New Roman"/>
                <w:b w:val="0"/>
                <w:bCs w:val="0"/>
                <w:color w:val="auto"/>
                <w:sz w:val="24"/>
                <w:highlight w:val="none"/>
                <w:lang w:val="en-US" w:eastAsia="zh-CN"/>
              </w:rPr>
              <w:t>吸附有机废气量，</w:t>
            </w:r>
            <w:r>
              <w:rPr>
                <w:rFonts w:hint="eastAsia" w:ascii="Times New Roman" w:hAnsi="Times New Roman" w:eastAsia="宋体"/>
                <w:color w:val="auto"/>
                <w:sz w:val="24"/>
                <w:highlight w:val="none"/>
              </w:rPr>
              <w:t>产生废活性炭</w:t>
            </w:r>
            <w:r>
              <w:rPr>
                <w:rFonts w:hint="eastAsia" w:ascii="Times New Roman" w:hAnsi="Times New Roman" w:eastAsia="宋体"/>
                <w:color w:val="auto"/>
                <w:sz w:val="24"/>
                <w:highlight w:val="none"/>
                <w:lang w:val="en-US" w:eastAsia="zh-CN"/>
              </w:rPr>
              <w:t>S2</w:t>
            </w:r>
            <w:r>
              <w:rPr>
                <w:rFonts w:hint="eastAsia"/>
                <w:color w:val="auto"/>
                <w:sz w:val="24"/>
                <w:highlight w:val="none"/>
                <w:lang w:val="en-US" w:eastAsia="zh-CN"/>
              </w:rPr>
              <w:t>。</w:t>
            </w:r>
          </w:p>
          <w:p w14:paraId="0A475BDB">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olor w:val="auto"/>
                <w:sz w:val="24"/>
                <w:highlight w:val="none"/>
              </w:rPr>
            </w:pPr>
            <w:r>
              <w:rPr>
                <w:rFonts w:hint="eastAsia" w:ascii="Times New Roman" w:hAnsi="Times New Roman" w:eastAsia="宋体" w:cs="Times New Roman"/>
                <w:color w:val="auto"/>
                <w:kern w:val="0"/>
                <w:sz w:val="24"/>
                <w:szCs w:val="20"/>
                <w:highlight w:val="none"/>
                <w:lang w:val="en-US" w:eastAsia="zh-CN" w:bidi="ar-SA"/>
              </w:rPr>
              <w:t>（2）</w:t>
            </w:r>
            <w:r>
              <w:rPr>
                <w:rFonts w:hint="eastAsia" w:cs="Times New Roman"/>
                <w:color w:val="auto"/>
                <w:kern w:val="0"/>
                <w:sz w:val="24"/>
                <w:szCs w:val="20"/>
                <w:highlight w:val="none"/>
                <w:lang w:val="en-US" w:eastAsia="zh-CN" w:bidi="ar-SA"/>
              </w:rPr>
              <w:t>现有项目</w:t>
            </w:r>
            <w:r>
              <w:rPr>
                <w:rFonts w:hint="eastAsia" w:ascii="Times New Roman" w:hAnsi="Times New Roman" w:eastAsia="宋体"/>
                <w:color w:val="auto"/>
                <w:sz w:val="24"/>
                <w:highlight w:val="none"/>
              </w:rPr>
              <w:t>设有</w:t>
            </w:r>
            <w:r>
              <w:rPr>
                <w:rFonts w:hint="eastAsia" w:ascii="Times New Roman" w:hAnsi="Times New Roman" w:eastAsia="宋体"/>
                <w:color w:val="auto"/>
                <w:sz w:val="24"/>
                <w:highlight w:val="none"/>
                <w:lang w:eastAsia="zh-CN"/>
              </w:rPr>
              <w:t>“</w:t>
            </w:r>
            <w:r>
              <w:rPr>
                <w:rFonts w:hint="eastAsia"/>
                <w:color w:val="auto"/>
                <w:sz w:val="24"/>
                <w:highlight w:val="none"/>
                <w:lang w:val="en-US" w:eastAsia="zh-CN"/>
              </w:rPr>
              <w:t>布袋除尘装置</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对</w:t>
            </w:r>
            <w:r>
              <w:rPr>
                <w:rFonts w:hint="eastAsia"/>
                <w:color w:val="auto"/>
                <w:sz w:val="24"/>
                <w:highlight w:val="none"/>
                <w:lang w:val="en-US" w:eastAsia="zh-CN"/>
              </w:rPr>
              <w:t>抛光废气进行处理</w:t>
            </w:r>
            <w:r>
              <w:rPr>
                <w:rFonts w:hint="eastAsia" w:ascii="Times New Roman" w:hAnsi="Times New Roman" w:eastAsia="宋体"/>
                <w:color w:val="auto"/>
                <w:sz w:val="24"/>
                <w:highlight w:val="none"/>
              </w:rPr>
              <w:t>，</w:t>
            </w:r>
            <w:r>
              <w:rPr>
                <w:rFonts w:hint="default" w:ascii="Times New Roman" w:hAnsi="Times New Roman" w:eastAsia="宋体" w:cs="Times New Roman"/>
                <w:b w:val="0"/>
                <w:bCs w:val="0"/>
                <w:color w:val="auto"/>
                <w:sz w:val="24"/>
                <w:highlight w:val="none"/>
                <w:lang w:val="en-US" w:eastAsia="zh-CN"/>
              </w:rPr>
              <w:t>本次</w:t>
            </w:r>
            <w:r>
              <w:rPr>
                <w:rFonts w:hint="eastAsia" w:cs="Times New Roman"/>
                <w:b w:val="0"/>
                <w:bCs w:val="0"/>
                <w:color w:val="auto"/>
                <w:sz w:val="24"/>
                <w:highlight w:val="none"/>
                <w:lang w:val="en-US" w:eastAsia="zh-CN"/>
              </w:rPr>
              <w:t>新增的精细抛光</w:t>
            </w:r>
            <w:r>
              <w:rPr>
                <w:rFonts w:hint="default" w:ascii="Times New Roman" w:hAnsi="Times New Roman" w:eastAsia="宋体" w:cs="Times New Roman"/>
                <w:b w:val="0"/>
                <w:bCs w:val="0"/>
                <w:color w:val="auto"/>
                <w:sz w:val="24"/>
                <w:highlight w:val="none"/>
                <w:lang w:val="en-US" w:eastAsia="zh-CN"/>
              </w:rPr>
              <w:t>废气并入</w:t>
            </w:r>
            <w:r>
              <w:rPr>
                <w:rFonts w:hint="eastAsia" w:ascii="Times New Roman" w:hAnsi="Times New Roman" w:eastAsia="宋体" w:cs="Times New Roman"/>
                <w:b w:val="0"/>
                <w:bCs w:val="0"/>
                <w:color w:val="auto"/>
                <w:sz w:val="24"/>
                <w:highlight w:val="none"/>
                <w:lang w:val="en-US" w:eastAsia="zh-CN"/>
              </w:rPr>
              <w:t>现有的</w:t>
            </w:r>
            <w:r>
              <w:rPr>
                <w:rFonts w:hint="eastAsia" w:cs="Times New Roman"/>
                <w:b w:val="0"/>
                <w:bCs w:val="0"/>
                <w:color w:val="auto"/>
                <w:sz w:val="24"/>
                <w:highlight w:val="none"/>
                <w:lang w:val="en-US" w:eastAsia="zh-CN"/>
              </w:rPr>
              <w:t>抛光</w:t>
            </w:r>
            <w:r>
              <w:rPr>
                <w:rFonts w:hint="default" w:ascii="Times New Roman" w:hAnsi="Times New Roman" w:eastAsia="宋体" w:cs="Times New Roman"/>
                <w:b w:val="0"/>
                <w:bCs w:val="0"/>
                <w:color w:val="auto"/>
                <w:sz w:val="24"/>
                <w:highlight w:val="none"/>
                <w:lang w:val="en-US" w:eastAsia="zh-CN"/>
              </w:rPr>
              <w:t>废气处理设施处理后，</w:t>
            </w:r>
            <w:r>
              <w:rPr>
                <w:rFonts w:hint="eastAsia" w:cs="Times New Roman"/>
                <w:b w:val="0"/>
                <w:bCs w:val="0"/>
                <w:color w:val="auto"/>
                <w:sz w:val="24"/>
                <w:highlight w:val="none"/>
                <w:lang w:val="en-US" w:eastAsia="zh-CN"/>
              </w:rPr>
              <w:t>由于</w:t>
            </w:r>
            <w:r>
              <w:rPr>
                <w:rFonts w:hint="eastAsia" w:ascii="Times New Roman" w:hAnsi="Times New Roman" w:eastAsia="宋体" w:cs="Times New Roman"/>
                <w:b w:val="0"/>
                <w:bCs w:val="0"/>
                <w:color w:val="auto"/>
                <w:sz w:val="24"/>
                <w:highlight w:val="none"/>
                <w:lang w:val="en-US" w:eastAsia="zh-CN"/>
              </w:rPr>
              <w:t>新增</w:t>
            </w:r>
            <w:r>
              <w:rPr>
                <w:rFonts w:hint="default" w:ascii="Times New Roman" w:hAnsi="Times New Roman" w:eastAsia="宋体" w:cs="Times New Roman"/>
                <w:b w:val="0"/>
                <w:bCs w:val="0"/>
                <w:color w:val="auto"/>
                <w:sz w:val="24"/>
                <w:highlight w:val="none"/>
                <w:lang w:val="en-US" w:eastAsia="zh-CN"/>
              </w:rPr>
              <w:t>吸附</w:t>
            </w:r>
            <w:r>
              <w:rPr>
                <w:rFonts w:hint="eastAsia" w:cs="Times New Roman"/>
                <w:b w:val="0"/>
                <w:bCs w:val="0"/>
                <w:color w:val="auto"/>
                <w:sz w:val="24"/>
                <w:highlight w:val="none"/>
                <w:lang w:val="en-US" w:eastAsia="zh-CN"/>
              </w:rPr>
              <w:t>颗粒物</w:t>
            </w:r>
            <w:r>
              <w:rPr>
                <w:rFonts w:hint="default" w:ascii="Times New Roman" w:hAnsi="Times New Roman" w:eastAsia="宋体" w:cs="Times New Roman"/>
                <w:b w:val="0"/>
                <w:bCs w:val="0"/>
                <w:color w:val="auto"/>
                <w:sz w:val="24"/>
                <w:highlight w:val="none"/>
                <w:lang w:val="en-US" w:eastAsia="zh-CN"/>
              </w:rPr>
              <w:t>量，</w:t>
            </w:r>
            <w:r>
              <w:rPr>
                <w:rFonts w:hint="eastAsia" w:ascii="Times New Roman" w:hAnsi="Times New Roman" w:eastAsia="宋体"/>
                <w:color w:val="auto"/>
                <w:sz w:val="24"/>
                <w:highlight w:val="none"/>
              </w:rPr>
              <w:t>产生</w:t>
            </w:r>
            <w:r>
              <w:rPr>
                <w:rFonts w:hint="eastAsia"/>
                <w:color w:val="auto"/>
                <w:sz w:val="24"/>
                <w:highlight w:val="none"/>
                <w:lang w:val="en-US" w:eastAsia="zh-CN"/>
              </w:rPr>
              <w:t>废布袋</w:t>
            </w:r>
            <w:r>
              <w:rPr>
                <w:rFonts w:hint="eastAsia" w:ascii="Times New Roman" w:hAnsi="Times New Roman" w:eastAsia="宋体"/>
                <w:color w:val="auto"/>
                <w:sz w:val="24"/>
                <w:highlight w:val="none"/>
                <w:lang w:val="en-US" w:eastAsia="zh-CN"/>
              </w:rPr>
              <w:t>S</w:t>
            </w:r>
            <w:r>
              <w:rPr>
                <w:rFonts w:hint="eastAsia"/>
                <w:color w:val="auto"/>
                <w:sz w:val="24"/>
                <w:highlight w:val="none"/>
                <w:lang w:val="en-US" w:eastAsia="zh-CN"/>
              </w:rPr>
              <w:t>3和收集粉尘S4</w:t>
            </w:r>
            <w:r>
              <w:rPr>
                <w:rFonts w:hint="eastAsia" w:ascii="Times New Roman" w:hAnsi="Times New Roman" w:eastAsia="宋体"/>
                <w:color w:val="auto"/>
                <w:sz w:val="24"/>
                <w:highlight w:val="none"/>
              </w:rPr>
              <w:t>。</w:t>
            </w:r>
          </w:p>
          <w:p w14:paraId="11667E4D">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）本项目新增危险废物（包括废活性炭、（硅油-脱模剂）废包装桶）将依托现有危险废物仓库贮存，</w:t>
            </w:r>
            <w:r>
              <w:rPr>
                <w:rFonts w:hint="eastAsia"/>
                <w:color w:val="auto"/>
                <w:sz w:val="24"/>
                <w:highlight w:val="none"/>
                <w:lang w:val="en-US" w:eastAsia="zh-CN"/>
              </w:rPr>
              <w:t>故产生危险废物仓库废气</w:t>
            </w:r>
            <w:r>
              <w:rPr>
                <w:rFonts w:hint="eastAsia"/>
                <w:color w:val="auto"/>
                <w:sz w:val="24"/>
                <w:highlight w:val="none"/>
                <w:lang w:eastAsia="zh-CN"/>
              </w:rPr>
              <w:t>。新增危险废物均采用密闭封盖贮存方式，且贮存过程中保持原包装完整，暂存量较少并以密封桶装/袋装形式存放，废气散发量极小，故本次评价未对</w:t>
            </w:r>
            <w:r>
              <w:rPr>
                <w:rFonts w:hint="eastAsia"/>
                <w:color w:val="auto"/>
                <w:sz w:val="24"/>
                <w:highlight w:val="none"/>
                <w:lang w:val="en-US" w:eastAsia="zh-CN"/>
              </w:rPr>
              <w:t>新增的危险废物仓库</w:t>
            </w:r>
            <w:r>
              <w:rPr>
                <w:rFonts w:hint="eastAsia"/>
                <w:color w:val="auto"/>
                <w:sz w:val="24"/>
                <w:highlight w:val="none"/>
                <w:lang w:eastAsia="zh-CN"/>
              </w:rPr>
              <w:t>废气产生量进行定量核算。危险废物仓库产生</w:t>
            </w:r>
            <w:r>
              <w:rPr>
                <w:rFonts w:hint="eastAsia" w:ascii="Times New Roman" w:hAnsi="Times New Roman" w:eastAsia="宋体" w:cs="Times New Roman"/>
                <w:color w:val="auto"/>
                <w:sz w:val="24"/>
                <w:highlight w:val="none"/>
                <w:lang w:eastAsia="zh-CN"/>
              </w:rPr>
              <w:t>的废气将依托现有"二级活性炭吸附装置"进行处理，最终通过车间无组织排放。</w:t>
            </w:r>
          </w:p>
          <w:p w14:paraId="6B176C6E">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本项目新增一台搅拌机，搅拌机运行工作中产生噪声N3。</w:t>
            </w:r>
          </w:p>
          <w:p w14:paraId="4A89C51F">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（5）本项目采用润滑油和自来水进行设备维护，此过程产生废润滑油S5、设备清洗废液S6。</w:t>
            </w:r>
          </w:p>
          <w:p w14:paraId="5A07C83C">
            <w:pPr>
              <w:pStyle w:val="8"/>
              <w:keepNext w:val="0"/>
              <w:keepLines w:val="0"/>
              <w:suppressLineNumbers w:val="0"/>
              <w:adjustRightInd w:val="0"/>
              <w:spacing w:before="0" w:beforeAutospacing="0" w:after="0" w:afterAutospacing="0"/>
              <w:ind w:left="0" w:right="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2、污染物产生及排放情况</w:t>
            </w:r>
          </w:p>
          <w:p w14:paraId="3B5729EF">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290FA750">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183ADA03">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562BDF72">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Calibri"/>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 xml:space="preserve">7  </w:t>
            </w:r>
            <w:r>
              <w:rPr>
                <w:rFonts w:hint="eastAsia" w:ascii="Times New Roman" w:hAnsi="Times New Roman" w:eastAsia="宋体" w:cs="Calibri"/>
                <w:b/>
                <w:bCs/>
                <w:color w:val="auto"/>
                <w:sz w:val="24"/>
                <w:highlight w:val="none"/>
              </w:rPr>
              <w:t>主要产污环节和排污特征</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53"/>
              <w:gridCol w:w="656"/>
              <w:gridCol w:w="1448"/>
              <w:gridCol w:w="1521"/>
              <w:gridCol w:w="611"/>
              <w:gridCol w:w="3896"/>
            </w:tblGrid>
            <w:tr w14:paraId="5B00E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tcBorders>
                    <w:tl2br w:val="nil"/>
                    <w:tr2bl w:val="nil"/>
                  </w:tcBorders>
                  <w:vAlign w:val="center"/>
                </w:tcPr>
                <w:p w14:paraId="1C33C8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类别</w:t>
                  </w:r>
                </w:p>
              </w:tc>
              <w:tc>
                <w:tcPr>
                  <w:tcW w:w="382" w:type="pct"/>
                  <w:tcBorders>
                    <w:tl2br w:val="nil"/>
                    <w:tr2bl w:val="nil"/>
                  </w:tcBorders>
                  <w:vAlign w:val="center"/>
                </w:tcPr>
                <w:p w14:paraId="686D1C2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代码</w:t>
                  </w:r>
                </w:p>
              </w:tc>
              <w:tc>
                <w:tcPr>
                  <w:tcW w:w="843" w:type="pct"/>
                  <w:tcBorders>
                    <w:tl2br w:val="nil"/>
                    <w:tr2bl w:val="nil"/>
                  </w:tcBorders>
                  <w:vAlign w:val="center"/>
                </w:tcPr>
                <w:p w14:paraId="318BBA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产生点</w:t>
                  </w:r>
                </w:p>
              </w:tc>
              <w:tc>
                <w:tcPr>
                  <w:tcW w:w="885" w:type="pct"/>
                  <w:tcBorders>
                    <w:tl2br w:val="nil"/>
                    <w:tr2bl w:val="nil"/>
                  </w:tcBorders>
                  <w:vAlign w:val="center"/>
                </w:tcPr>
                <w:p w14:paraId="702D57E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污染物</w:t>
                  </w:r>
                </w:p>
              </w:tc>
              <w:tc>
                <w:tcPr>
                  <w:tcW w:w="355" w:type="pct"/>
                  <w:tcBorders>
                    <w:tl2br w:val="nil"/>
                    <w:tr2bl w:val="nil"/>
                  </w:tcBorders>
                  <w:vAlign w:val="center"/>
                </w:tcPr>
                <w:p w14:paraId="083C30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特征</w:t>
                  </w:r>
                </w:p>
              </w:tc>
              <w:tc>
                <w:tcPr>
                  <w:tcW w:w="2269" w:type="pct"/>
                  <w:tcBorders>
                    <w:tl2br w:val="nil"/>
                    <w:tr2bl w:val="nil"/>
                  </w:tcBorders>
                  <w:vAlign w:val="center"/>
                </w:tcPr>
                <w:p w14:paraId="10D3D4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去向</w:t>
                  </w:r>
                </w:p>
              </w:tc>
            </w:tr>
            <w:tr w14:paraId="0C4BD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63" w:type="pct"/>
                  <w:vMerge w:val="restart"/>
                  <w:tcBorders>
                    <w:tl2br w:val="nil"/>
                    <w:tr2bl w:val="nil"/>
                  </w:tcBorders>
                  <w:vAlign w:val="center"/>
                </w:tcPr>
                <w:p w14:paraId="1D106C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废气</w:t>
                  </w:r>
                </w:p>
              </w:tc>
              <w:tc>
                <w:tcPr>
                  <w:tcW w:w="382" w:type="pct"/>
                  <w:vMerge w:val="restart"/>
                  <w:tcBorders>
                    <w:tl2br w:val="nil"/>
                    <w:tr2bl w:val="nil"/>
                  </w:tcBorders>
                  <w:vAlign w:val="center"/>
                </w:tcPr>
                <w:p w14:paraId="4FAEC6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G1</w:t>
                  </w:r>
                </w:p>
              </w:tc>
              <w:tc>
                <w:tcPr>
                  <w:tcW w:w="843" w:type="pct"/>
                  <w:tcBorders>
                    <w:tl2br w:val="nil"/>
                    <w:tr2bl w:val="nil"/>
                  </w:tcBorders>
                  <w:vAlign w:val="center"/>
                </w:tcPr>
                <w:p w14:paraId="0B1A30D2">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3号楼喷涂硅油-脱模剂废气</w:t>
                  </w:r>
                </w:p>
              </w:tc>
              <w:tc>
                <w:tcPr>
                  <w:tcW w:w="885" w:type="pct"/>
                  <w:tcBorders>
                    <w:tl2br w:val="nil"/>
                    <w:tr2bl w:val="nil"/>
                  </w:tcBorders>
                  <w:vAlign w:val="center"/>
                </w:tcPr>
                <w:p w14:paraId="2490F5F4">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w:t>
                  </w:r>
                </w:p>
              </w:tc>
              <w:tc>
                <w:tcPr>
                  <w:tcW w:w="355" w:type="pct"/>
                  <w:tcBorders>
                    <w:tl2br w:val="nil"/>
                    <w:tr2bl w:val="nil"/>
                  </w:tcBorders>
                  <w:vAlign w:val="center"/>
                </w:tcPr>
                <w:p w14:paraId="40C3E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517E9DFF">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经“一级碱喷淋+一级水喷淋+除雾器+二级活性炭吸附装置”处理后通过28m高排气筒FQ07排放</w:t>
                  </w:r>
                </w:p>
              </w:tc>
            </w:tr>
            <w:tr w14:paraId="34539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263" w:type="pct"/>
                  <w:vMerge w:val="continue"/>
                  <w:tcBorders>
                    <w:tl2br w:val="nil"/>
                    <w:tr2bl w:val="nil"/>
                  </w:tcBorders>
                  <w:vAlign w:val="center"/>
                </w:tcPr>
                <w:p w14:paraId="4446C20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rPr>
                  </w:pPr>
                </w:p>
              </w:tc>
              <w:tc>
                <w:tcPr>
                  <w:tcW w:w="382" w:type="pct"/>
                  <w:vMerge w:val="continue"/>
                  <w:tcBorders>
                    <w:tl2br w:val="nil"/>
                    <w:tr2bl w:val="nil"/>
                  </w:tcBorders>
                  <w:vAlign w:val="center"/>
                </w:tcPr>
                <w:p w14:paraId="182772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highlight w:val="none"/>
                      <w:lang w:val="en-US" w:eastAsia="zh-CN"/>
                    </w:rPr>
                  </w:pPr>
                </w:p>
              </w:tc>
              <w:tc>
                <w:tcPr>
                  <w:tcW w:w="843" w:type="pct"/>
                  <w:tcBorders>
                    <w:tl2br w:val="nil"/>
                    <w:tr2bl w:val="nil"/>
                  </w:tcBorders>
                  <w:vAlign w:val="center"/>
                </w:tcPr>
                <w:p w14:paraId="06196DBF">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1号楼喷涂硅油-脱模剂废气</w:t>
                  </w:r>
                </w:p>
              </w:tc>
              <w:tc>
                <w:tcPr>
                  <w:tcW w:w="885" w:type="pct"/>
                  <w:tcBorders>
                    <w:tl2br w:val="nil"/>
                    <w:tr2bl w:val="nil"/>
                  </w:tcBorders>
                  <w:vAlign w:val="center"/>
                </w:tcPr>
                <w:p w14:paraId="6ADC6A1C">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w:t>
                  </w:r>
                </w:p>
              </w:tc>
              <w:tc>
                <w:tcPr>
                  <w:tcW w:w="355" w:type="pct"/>
                  <w:tcBorders>
                    <w:tl2br w:val="nil"/>
                    <w:tr2bl w:val="nil"/>
                  </w:tcBorders>
                  <w:vAlign w:val="center"/>
                </w:tcPr>
                <w:p w14:paraId="1E06F8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4BDEE0DD">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经“一级碱喷淋+一级水喷淋+除雾器+二级活性炭吸附装置”处理后通过28m高排气筒FQ09排放</w:t>
                  </w:r>
                </w:p>
              </w:tc>
            </w:tr>
            <w:tr w14:paraId="03BFC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2BEB2AD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rPr>
                  </w:pPr>
                </w:p>
              </w:tc>
              <w:tc>
                <w:tcPr>
                  <w:tcW w:w="382" w:type="pct"/>
                  <w:vMerge w:val="continue"/>
                  <w:tcBorders>
                    <w:tl2br w:val="nil"/>
                    <w:tr2bl w:val="nil"/>
                  </w:tcBorders>
                  <w:vAlign w:val="center"/>
                </w:tcPr>
                <w:p w14:paraId="003034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highlight w:val="none"/>
                      <w:lang w:val="en-US" w:eastAsia="zh-CN"/>
                    </w:rPr>
                  </w:pPr>
                </w:p>
              </w:tc>
              <w:tc>
                <w:tcPr>
                  <w:tcW w:w="843" w:type="pct"/>
                  <w:tcBorders>
                    <w:tl2br w:val="nil"/>
                    <w:tr2bl w:val="nil"/>
                  </w:tcBorders>
                  <w:vAlign w:val="center"/>
                </w:tcPr>
                <w:p w14:paraId="76A94DB0">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2号楼喷涂硅油-脱模剂废气</w:t>
                  </w:r>
                </w:p>
              </w:tc>
              <w:tc>
                <w:tcPr>
                  <w:tcW w:w="885" w:type="pct"/>
                  <w:tcBorders>
                    <w:tl2br w:val="nil"/>
                    <w:tr2bl w:val="nil"/>
                  </w:tcBorders>
                  <w:vAlign w:val="center"/>
                </w:tcPr>
                <w:p w14:paraId="5D09AB37">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w:t>
                  </w:r>
                </w:p>
              </w:tc>
              <w:tc>
                <w:tcPr>
                  <w:tcW w:w="355" w:type="pct"/>
                  <w:tcBorders>
                    <w:tl2br w:val="nil"/>
                    <w:tr2bl w:val="nil"/>
                  </w:tcBorders>
                  <w:vAlign w:val="center"/>
                </w:tcPr>
                <w:p w14:paraId="463C77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75ADB73B">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经“一级碱喷淋+一级水喷淋+除雾器+二级活性炭吸附装置”处理后通过28m高排气筒FQ10排放</w:t>
                  </w:r>
                </w:p>
              </w:tc>
            </w:tr>
            <w:tr w14:paraId="16213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3649C8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rPr>
                  </w:pPr>
                </w:p>
              </w:tc>
              <w:tc>
                <w:tcPr>
                  <w:tcW w:w="382" w:type="pct"/>
                  <w:vMerge w:val="continue"/>
                  <w:tcBorders>
                    <w:tl2br w:val="nil"/>
                    <w:tr2bl w:val="nil"/>
                  </w:tcBorders>
                  <w:vAlign w:val="center"/>
                </w:tcPr>
                <w:p w14:paraId="3EFBE0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highlight w:val="none"/>
                      <w:lang w:val="en-US" w:eastAsia="zh-CN"/>
                    </w:rPr>
                  </w:pPr>
                </w:p>
              </w:tc>
              <w:tc>
                <w:tcPr>
                  <w:tcW w:w="843" w:type="pct"/>
                  <w:tcBorders>
                    <w:tl2br w:val="nil"/>
                    <w:tr2bl w:val="nil"/>
                  </w:tcBorders>
                  <w:vAlign w:val="center"/>
                </w:tcPr>
                <w:p w14:paraId="1BF8D41E">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4号楼喷涂硅油-脱模剂废气</w:t>
                  </w:r>
                </w:p>
              </w:tc>
              <w:tc>
                <w:tcPr>
                  <w:tcW w:w="885" w:type="pct"/>
                  <w:tcBorders>
                    <w:tl2br w:val="nil"/>
                    <w:tr2bl w:val="nil"/>
                  </w:tcBorders>
                  <w:vAlign w:val="center"/>
                </w:tcPr>
                <w:p w14:paraId="148FF41A">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非甲烷总烃</w:t>
                  </w:r>
                </w:p>
              </w:tc>
              <w:tc>
                <w:tcPr>
                  <w:tcW w:w="355" w:type="pct"/>
                  <w:tcBorders>
                    <w:tl2br w:val="nil"/>
                    <w:tr2bl w:val="nil"/>
                  </w:tcBorders>
                  <w:vAlign w:val="center"/>
                </w:tcPr>
                <w:p w14:paraId="7D2742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2CA6F31B">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经“一级碱喷淋+一级水喷淋+除雾器+二级活性炭吸附装置”处理后通过28m高排气筒FQ11排放</w:t>
                  </w:r>
                </w:p>
              </w:tc>
            </w:tr>
            <w:tr w14:paraId="624EC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723D9D1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rPr>
                  </w:pPr>
                </w:p>
              </w:tc>
              <w:tc>
                <w:tcPr>
                  <w:tcW w:w="382" w:type="pct"/>
                  <w:vMerge w:val="restart"/>
                  <w:tcBorders>
                    <w:tl2br w:val="nil"/>
                    <w:tr2bl w:val="nil"/>
                  </w:tcBorders>
                  <w:vAlign w:val="center"/>
                </w:tcPr>
                <w:p w14:paraId="4695DC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G2</w:t>
                  </w:r>
                </w:p>
              </w:tc>
              <w:tc>
                <w:tcPr>
                  <w:tcW w:w="843" w:type="pct"/>
                  <w:tcBorders>
                    <w:tl2br w:val="nil"/>
                    <w:tr2bl w:val="nil"/>
                  </w:tcBorders>
                  <w:vAlign w:val="center"/>
                </w:tcPr>
                <w:p w14:paraId="6D0B49B8">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3号楼</w:t>
                  </w:r>
                  <w:r>
                    <w:rPr>
                      <w:rFonts w:hint="eastAsia" w:ascii="Times New Roman" w:hAnsi="Times New Roman" w:eastAsia="宋体"/>
                      <w:color w:val="auto"/>
                      <w:sz w:val="21"/>
                      <w:szCs w:val="21"/>
                      <w:highlight w:val="none"/>
                      <w:lang w:val="en-US" w:eastAsia="zh-CN"/>
                    </w:rPr>
                    <w:t>抛光废气</w:t>
                  </w:r>
                </w:p>
              </w:tc>
              <w:tc>
                <w:tcPr>
                  <w:tcW w:w="885" w:type="pct"/>
                  <w:tcBorders>
                    <w:tl2br w:val="nil"/>
                    <w:tr2bl w:val="nil"/>
                  </w:tcBorders>
                  <w:vAlign w:val="center"/>
                </w:tcPr>
                <w:p w14:paraId="658458DC">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355" w:type="pct"/>
                  <w:tcBorders>
                    <w:tl2br w:val="nil"/>
                    <w:tr2bl w:val="nil"/>
                  </w:tcBorders>
                  <w:vAlign w:val="center"/>
                </w:tcPr>
                <w:p w14:paraId="1B8F8C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1969D07B">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经“布袋除尘装置”处理后通过28m排气筒FQ08排放</w:t>
                  </w:r>
                </w:p>
              </w:tc>
            </w:tr>
            <w:tr w14:paraId="15B4D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028DF0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rPr>
                  </w:pPr>
                </w:p>
              </w:tc>
              <w:tc>
                <w:tcPr>
                  <w:tcW w:w="382" w:type="pct"/>
                  <w:vMerge w:val="continue"/>
                  <w:tcBorders>
                    <w:tl2br w:val="nil"/>
                    <w:tr2bl w:val="nil"/>
                  </w:tcBorders>
                  <w:vAlign w:val="center"/>
                </w:tcPr>
                <w:p w14:paraId="7052C8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highlight w:val="none"/>
                      <w:lang w:val="en-US" w:eastAsia="zh-CN"/>
                    </w:rPr>
                  </w:pPr>
                </w:p>
              </w:tc>
              <w:tc>
                <w:tcPr>
                  <w:tcW w:w="843" w:type="pct"/>
                  <w:tcBorders>
                    <w:tl2br w:val="nil"/>
                    <w:tr2bl w:val="nil"/>
                  </w:tcBorders>
                  <w:vAlign w:val="center"/>
                </w:tcPr>
                <w:p w14:paraId="11E5C4CA">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1号楼</w:t>
                  </w:r>
                  <w:r>
                    <w:rPr>
                      <w:rFonts w:hint="eastAsia" w:ascii="Times New Roman" w:hAnsi="Times New Roman" w:eastAsia="宋体"/>
                      <w:color w:val="auto"/>
                      <w:sz w:val="21"/>
                      <w:szCs w:val="21"/>
                      <w:highlight w:val="none"/>
                      <w:lang w:val="en-US" w:eastAsia="zh-CN"/>
                    </w:rPr>
                    <w:t>抛光废气</w:t>
                  </w:r>
                </w:p>
              </w:tc>
              <w:tc>
                <w:tcPr>
                  <w:tcW w:w="885" w:type="pct"/>
                  <w:tcBorders>
                    <w:tl2br w:val="nil"/>
                    <w:tr2bl w:val="nil"/>
                  </w:tcBorders>
                  <w:vAlign w:val="center"/>
                </w:tcPr>
                <w:p w14:paraId="0291F9AE">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355" w:type="pct"/>
                  <w:tcBorders>
                    <w:tl2br w:val="nil"/>
                    <w:tr2bl w:val="nil"/>
                  </w:tcBorders>
                  <w:vAlign w:val="center"/>
                </w:tcPr>
                <w:p w14:paraId="4DAA28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33314EF8">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经“布袋除尘装置”处理后通过28m排气筒FQ12排放</w:t>
                  </w:r>
                </w:p>
              </w:tc>
            </w:tr>
            <w:tr w14:paraId="44526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39B6578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rPr>
                  </w:pPr>
                </w:p>
              </w:tc>
              <w:tc>
                <w:tcPr>
                  <w:tcW w:w="382" w:type="pct"/>
                  <w:vMerge w:val="continue"/>
                  <w:tcBorders>
                    <w:tl2br w:val="nil"/>
                    <w:tr2bl w:val="nil"/>
                  </w:tcBorders>
                  <w:vAlign w:val="center"/>
                </w:tcPr>
                <w:p w14:paraId="23BBB3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highlight w:val="none"/>
                      <w:lang w:val="en-US" w:eastAsia="zh-CN"/>
                    </w:rPr>
                  </w:pPr>
                </w:p>
              </w:tc>
              <w:tc>
                <w:tcPr>
                  <w:tcW w:w="843" w:type="pct"/>
                  <w:tcBorders>
                    <w:tl2br w:val="nil"/>
                    <w:tr2bl w:val="nil"/>
                  </w:tcBorders>
                  <w:vAlign w:val="center"/>
                </w:tcPr>
                <w:p w14:paraId="53103FFF">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2号楼</w:t>
                  </w:r>
                  <w:r>
                    <w:rPr>
                      <w:rFonts w:hint="eastAsia" w:ascii="Times New Roman" w:hAnsi="Times New Roman" w:eastAsia="宋体"/>
                      <w:color w:val="auto"/>
                      <w:sz w:val="21"/>
                      <w:szCs w:val="21"/>
                      <w:highlight w:val="none"/>
                      <w:lang w:val="en-US" w:eastAsia="zh-CN"/>
                    </w:rPr>
                    <w:t>抛光废气</w:t>
                  </w:r>
                </w:p>
              </w:tc>
              <w:tc>
                <w:tcPr>
                  <w:tcW w:w="885" w:type="pct"/>
                  <w:tcBorders>
                    <w:tl2br w:val="nil"/>
                    <w:tr2bl w:val="nil"/>
                  </w:tcBorders>
                  <w:vAlign w:val="center"/>
                </w:tcPr>
                <w:p w14:paraId="1FEDE638">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355" w:type="pct"/>
                  <w:tcBorders>
                    <w:tl2br w:val="nil"/>
                    <w:tr2bl w:val="nil"/>
                  </w:tcBorders>
                  <w:vAlign w:val="center"/>
                </w:tcPr>
                <w:p w14:paraId="7E58C0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3F6571D3">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经“布袋除尘装置”处理后通过28m排气筒FQ13排放</w:t>
                  </w:r>
                </w:p>
              </w:tc>
            </w:tr>
            <w:tr w14:paraId="501E0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6FDD367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rPr>
                  </w:pPr>
                </w:p>
              </w:tc>
              <w:tc>
                <w:tcPr>
                  <w:tcW w:w="382" w:type="pct"/>
                  <w:vMerge w:val="continue"/>
                  <w:tcBorders>
                    <w:tl2br w:val="nil"/>
                    <w:tr2bl w:val="nil"/>
                  </w:tcBorders>
                  <w:vAlign w:val="center"/>
                </w:tcPr>
                <w:p w14:paraId="1D4D9F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highlight w:val="none"/>
                      <w:lang w:val="en-US" w:eastAsia="zh-CN"/>
                    </w:rPr>
                  </w:pPr>
                </w:p>
              </w:tc>
              <w:tc>
                <w:tcPr>
                  <w:tcW w:w="843" w:type="pct"/>
                  <w:tcBorders>
                    <w:tl2br w:val="nil"/>
                    <w:tr2bl w:val="nil"/>
                  </w:tcBorders>
                  <w:vAlign w:val="center"/>
                </w:tcPr>
                <w:p w14:paraId="3A1CE95A">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4号楼</w:t>
                  </w:r>
                  <w:r>
                    <w:rPr>
                      <w:rFonts w:hint="eastAsia" w:ascii="Times New Roman" w:hAnsi="Times New Roman" w:eastAsia="宋体"/>
                      <w:color w:val="auto"/>
                      <w:sz w:val="21"/>
                      <w:szCs w:val="21"/>
                      <w:highlight w:val="none"/>
                      <w:lang w:val="en-US" w:eastAsia="zh-CN"/>
                    </w:rPr>
                    <w:t>抛光废气</w:t>
                  </w:r>
                </w:p>
              </w:tc>
              <w:tc>
                <w:tcPr>
                  <w:tcW w:w="885" w:type="pct"/>
                  <w:tcBorders>
                    <w:tl2br w:val="nil"/>
                    <w:tr2bl w:val="nil"/>
                  </w:tcBorders>
                  <w:vAlign w:val="center"/>
                </w:tcPr>
                <w:p w14:paraId="2B389CA1">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颗粒物</w:t>
                  </w:r>
                </w:p>
              </w:tc>
              <w:tc>
                <w:tcPr>
                  <w:tcW w:w="355" w:type="pct"/>
                  <w:tcBorders>
                    <w:tl2br w:val="nil"/>
                    <w:tr2bl w:val="nil"/>
                  </w:tcBorders>
                  <w:vAlign w:val="center"/>
                </w:tcPr>
                <w:p w14:paraId="68E279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104A32E8">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经“布袋除尘装置”处理后通过28m排气筒FQ14排放</w:t>
                  </w:r>
                </w:p>
              </w:tc>
            </w:tr>
            <w:tr w14:paraId="28A2C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restart"/>
                  <w:tcBorders>
                    <w:tl2br w:val="nil"/>
                    <w:tr2bl w:val="nil"/>
                  </w:tcBorders>
                  <w:vAlign w:val="center"/>
                </w:tcPr>
                <w:p w14:paraId="75ADBF2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噪声</w:t>
                  </w:r>
                </w:p>
              </w:tc>
              <w:tc>
                <w:tcPr>
                  <w:tcW w:w="382" w:type="pct"/>
                  <w:tcBorders>
                    <w:tl2br w:val="nil"/>
                    <w:tr2bl w:val="nil"/>
                  </w:tcBorders>
                  <w:vAlign w:val="center"/>
                </w:tcPr>
                <w:p w14:paraId="54E19C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N1</w:t>
                  </w:r>
                </w:p>
              </w:tc>
              <w:tc>
                <w:tcPr>
                  <w:tcW w:w="843" w:type="pct"/>
                  <w:tcBorders>
                    <w:tl2br w:val="nil"/>
                    <w:tr2bl w:val="nil"/>
                  </w:tcBorders>
                  <w:vAlign w:val="center"/>
                </w:tcPr>
                <w:p w14:paraId="1E9AE509">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喷涂硅油-脱模剂</w:t>
                  </w:r>
                </w:p>
              </w:tc>
              <w:tc>
                <w:tcPr>
                  <w:tcW w:w="885" w:type="pct"/>
                  <w:tcBorders>
                    <w:tl2br w:val="nil"/>
                    <w:tr2bl w:val="nil"/>
                  </w:tcBorders>
                  <w:vAlign w:val="center"/>
                </w:tcPr>
                <w:p w14:paraId="13477A5A">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噪声</w:t>
                  </w:r>
                </w:p>
              </w:tc>
              <w:tc>
                <w:tcPr>
                  <w:tcW w:w="355" w:type="pct"/>
                  <w:tcBorders>
                    <w:tl2br w:val="nil"/>
                    <w:tr2bl w:val="nil"/>
                  </w:tcBorders>
                  <w:vAlign w:val="center"/>
                </w:tcPr>
                <w:p w14:paraId="2A928D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22FCC846">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低噪声设备、基础减震</w:t>
                  </w:r>
                </w:p>
              </w:tc>
            </w:tr>
            <w:tr w14:paraId="71E38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63EA7D9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15C382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N2</w:t>
                  </w:r>
                </w:p>
              </w:tc>
              <w:tc>
                <w:tcPr>
                  <w:tcW w:w="843" w:type="pct"/>
                  <w:tcBorders>
                    <w:tl2br w:val="nil"/>
                    <w:tr2bl w:val="nil"/>
                  </w:tcBorders>
                  <w:vAlign w:val="center"/>
                </w:tcPr>
                <w:p w14:paraId="6860BFEC">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新型抛光机</w:t>
                  </w:r>
                </w:p>
              </w:tc>
              <w:tc>
                <w:tcPr>
                  <w:tcW w:w="885" w:type="pct"/>
                  <w:tcBorders>
                    <w:tl2br w:val="nil"/>
                    <w:tr2bl w:val="nil"/>
                  </w:tcBorders>
                  <w:vAlign w:val="center"/>
                </w:tcPr>
                <w:p w14:paraId="658740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噪声</w:t>
                  </w:r>
                </w:p>
              </w:tc>
              <w:tc>
                <w:tcPr>
                  <w:tcW w:w="355" w:type="pct"/>
                  <w:tcBorders>
                    <w:tl2br w:val="nil"/>
                    <w:tr2bl w:val="nil"/>
                  </w:tcBorders>
                  <w:vAlign w:val="center"/>
                </w:tcPr>
                <w:p w14:paraId="3FC02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379EC061">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低噪声设备、基础减震</w:t>
                  </w:r>
                </w:p>
              </w:tc>
            </w:tr>
            <w:tr w14:paraId="1192C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3" w:type="pct"/>
                  <w:vMerge w:val="continue"/>
                  <w:tcBorders>
                    <w:tl2br w:val="nil"/>
                    <w:tr2bl w:val="nil"/>
                  </w:tcBorders>
                  <w:vAlign w:val="center"/>
                </w:tcPr>
                <w:p w14:paraId="074FF5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774286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N3</w:t>
                  </w:r>
                </w:p>
              </w:tc>
              <w:tc>
                <w:tcPr>
                  <w:tcW w:w="843" w:type="pct"/>
                  <w:tcBorders>
                    <w:tl2br w:val="nil"/>
                    <w:tr2bl w:val="nil"/>
                  </w:tcBorders>
                  <w:vAlign w:val="center"/>
                </w:tcPr>
                <w:p w14:paraId="4AD2F036">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搅拌机</w:t>
                  </w:r>
                </w:p>
              </w:tc>
              <w:tc>
                <w:tcPr>
                  <w:tcW w:w="885" w:type="pct"/>
                  <w:tcBorders>
                    <w:tl2br w:val="nil"/>
                    <w:tr2bl w:val="nil"/>
                  </w:tcBorders>
                  <w:vAlign w:val="center"/>
                </w:tcPr>
                <w:p w14:paraId="6366F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噪声</w:t>
                  </w:r>
                </w:p>
              </w:tc>
              <w:tc>
                <w:tcPr>
                  <w:tcW w:w="355" w:type="pct"/>
                  <w:tcBorders>
                    <w:tl2br w:val="nil"/>
                    <w:tr2bl w:val="nil"/>
                  </w:tcBorders>
                  <w:vAlign w:val="center"/>
                </w:tcPr>
                <w:p w14:paraId="77ACFE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00" w:lineRule="atLeast"/>
                    <w:ind w:left="0" w:right="0"/>
                    <w:jc w:val="center"/>
                    <w:textAlignment w:val="auto"/>
                    <w:rPr>
                      <w:rFonts w:hint="eastAsia"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间歇</w:t>
                  </w:r>
                </w:p>
              </w:tc>
              <w:tc>
                <w:tcPr>
                  <w:tcW w:w="2269" w:type="pct"/>
                  <w:tcBorders>
                    <w:tl2br w:val="nil"/>
                    <w:tr2bl w:val="nil"/>
                  </w:tcBorders>
                  <w:vAlign w:val="center"/>
                </w:tcPr>
                <w:p w14:paraId="6139C0F0">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低噪声设备、基础减震</w:t>
                  </w:r>
                </w:p>
              </w:tc>
            </w:tr>
            <w:tr w14:paraId="4B99B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restart"/>
                  <w:tcBorders>
                    <w:tl2br w:val="nil"/>
                    <w:tr2bl w:val="nil"/>
                  </w:tcBorders>
                  <w:vAlign w:val="center"/>
                </w:tcPr>
                <w:p w14:paraId="398E5BC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bCs/>
                      <w:color w:val="auto"/>
                      <w:szCs w:val="21"/>
                      <w:highlight w:val="none"/>
                      <w:lang w:val="en-US" w:eastAsia="zh-CN"/>
                    </w:rPr>
                  </w:pPr>
                  <w:r>
                    <w:rPr>
                      <w:rFonts w:hint="eastAsia"/>
                      <w:bCs/>
                      <w:color w:val="auto"/>
                      <w:szCs w:val="21"/>
                      <w:highlight w:val="none"/>
                      <w:lang w:val="en-US" w:eastAsia="zh-CN"/>
                    </w:rPr>
                    <w:t>固体废物</w:t>
                  </w:r>
                </w:p>
              </w:tc>
              <w:tc>
                <w:tcPr>
                  <w:tcW w:w="382" w:type="pct"/>
                  <w:tcBorders>
                    <w:tl2br w:val="nil"/>
                    <w:tr2bl w:val="nil"/>
                  </w:tcBorders>
                  <w:vAlign w:val="center"/>
                </w:tcPr>
                <w:p w14:paraId="208E12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S1</w:t>
                  </w:r>
                </w:p>
              </w:tc>
              <w:tc>
                <w:tcPr>
                  <w:tcW w:w="843" w:type="pct"/>
                  <w:tcBorders>
                    <w:tl2br w:val="nil"/>
                    <w:tr2bl w:val="nil"/>
                  </w:tcBorders>
                  <w:vAlign w:val="center"/>
                </w:tcPr>
                <w:p w14:paraId="2C41AB3D">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喷涂硅油-脱模剂</w:t>
                  </w:r>
                </w:p>
              </w:tc>
              <w:tc>
                <w:tcPr>
                  <w:tcW w:w="885" w:type="pct"/>
                  <w:tcBorders>
                    <w:tl2br w:val="nil"/>
                    <w:tr2bl w:val="nil"/>
                  </w:tcBorders>
                  <w:vAlign w:val="center"/>
                </w:tcPr>
                <w:p w14:paraId="53FB92D4">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bCs/>
                      <w:color w:val="auto"/>
                      <w:szCs w:val="21"/>
                      <w:highlight w:val="none"/>
                      <w:lang w:val="en-US" w:eastAsia="zh-CN"/>
                    </w:rPr>
                    <w:t>（硅油-脱模剂）废包装桶</w:t>
                  </w:r>
                </w:p>
              </w:tc>
              <w:tc>
                <w:tcPr>
                  <w:tcW w:w="355" w:type="pct"/>
                  <w:tcBorders>
                    <w:tl2br w:val="nil"/>
                    <w:tr2bl w:val="nil"/>
                  </w:tcBorders>
                  <w:vAlign w:val="center"/>
                </w:tcPr>
                <w:p w14:paraId="01360200">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7D730B7B">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270D2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24C994F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5D3BFE9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S2</w:t>
                  </w:r>
                </w:p>
              </w:tc>
              <w:tc>
                <w:tcPr>
                  <w:tcW w:w="843" w:type="pct"/>
                  <w:tcBorders>
                    <w:tl2br w:val="nil"/>
                    <w:tr2bl w:val="nil"/>
                  </w:tcBorders>
                  <w:vAlign w:val="center"/>
                </w:tcPr>
                <w:p w14:paraId="386EE319">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废气处理</w:t>
                  </w:r>
                </w:p>
              </w:tc>
              <w:tc>
                <w:tcPr>
                  <w:tcW w:w="885" w:type="pct"/>
                  <w:tcBorders>
                    <w:tl2br w:val="nil"/>
                    <w:tr2bl w:val="nil"/>
                  </w:tcBorders>
                  <w:vAlign w:val="center"/>
                </w:tcPr>
                <w:p w14:paraId="76F91BC6">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废活性炭</w:t>
                  </w:r>
                </w:p>
              </w:tc>
              <w:tc>
                <w:tcPr>
                  <w:tcW w:w="355" w:type="pct"/>
                  <w:tcBorders>
                    <w:tl2br w:val="nil"/>
                    <w:tr2bl w:val="nil"/>
                  </w:tcBorders>
                  <w:vAlign w:val="center"/>
                </w:tcPr>
                <w:p w14:paraId="284AF52D">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276FDA7D">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委托有资质单位处置</w:t>
                  </w:r>
                </w:p>
              </w:tc>
            </w:tr>
            <w:tr w14:paraId="332D0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6AE8AE6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4065C33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S3</w:t>
                  </w:r>
                </w:p>
              </w:tc>
              <w:tc>
                <w:tcPr>
                  <w:tcW w:w="843" w:type="pct"/>
                  <w:tcBorders>
                    <w:tl2br w:val="nil"/>
                    <w:tr2bl w:val="nil"/>
                  </w:tcBorders>
                  <w:vAlign w:val="center"/>
                </w:tcPr>
                <w:p w14:paraId="18F0F29F">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废气处理</w:t>
                  </w:r>
                </w:p>
              </w:tc>
              <w:tc>
                <w:tcPr>
                  <w:tcW w:w="885" w:type="pct"/>
                  <w:tcBorders>
                    <w:tl2br w:val="nil"/>
                    <w:tr2bl w:val="nil"/>
                  </w:tcBorders>
                  <w:vAlign w:val="center"/>
                </w:tcPr>
                <w:p w14:paraId="0ED5AC8B">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ascii="Times New Roman" w:hAnsi="Times New Roman" w:eastAsia="宋体"/>
                      <w:bCs/>
                      <w:color w:val="auto"/>
                      <w:szCs w:val="21"/>
                      <w:highlight w:val="none"/>
                      <w:lang w:val="en-US" w:eastAsia="zh-CN"/>
                    </w:rPr>
                    <w:t>废布袋</w:t>
                  </w:r>
                </w:p>
              </w:tc>
              <w:tc>
                <w:tcPr>
                  <w:tcW w:w="355" w:type="pct"/>
                  <w:tcBorders>
                    <w:tl2br w:val="nil"/>
                    <w:tr2bl w:val="nil"/>
                  </w:tcBorders>
                  <w:vAlign w:val="center"/>
                </w:tcPr>
                <w:p w14:paraId="03A8C343">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间歇</w:t>
                  </w:r>
                </w:p>
              </w:tc>
              <w:tc>
                <w:tcPr>
                  <w:tcW w:w="2269" w:type="pct"/>
                  <w:tcBorders>
                    <w:tl2br w:val="nil"/>
                    <w:tr2bl w:val="nil"/>
                  </w:tcBorders>
                  <w:vAlign w:val="center"/>
                </w:tcPr>
                <w:p w14:paraId="2BF3FD5A">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收集后外售</w:t>
                  </w:r>
                </w:p>
              </w:tc>
            </w:tr>
            <w:tr w14:paraId="79C32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1D84818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7AF3B7E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S4</w:t>
                  </w:r>
                </w:p>
              </w:tc>
              <w:tc>
                <w:tcPr>
                  <w:tcW w:w="843" w:type="pct"/>
                  <w:tcBorders>
                    <w:tl2br w:val="nil"/>
                    <w:tr2bl w:val="nil"/>
                  </w:tcBorders>
                  <w:vAlign w:val="center"/>
                </w:tcPr>
                <w:p w14:paraId="07D04484">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bCs/>
                      <w:color w:val="auto"/>
                      <w:szCs w:val="21"/>
                      <w:highlight w:val="none"/>
                      <w:lang w:val="en-US" w:eastAsia="zh-CN"/>
                    </w:rPr>
                    <w:t>废气处理</w:t>
                  </w:r>
                </w:p>
              </w:tc>
              <w:tc>
                <w:tcPr>
                  <w:tcW w:w="885" w:type="pct"/>
                  <w:tcBorders>
                    <w:tl2br w:val="nil"/>
                    <w:tr2bl w:val="nil"/>
                  </w:tcBorders>
                  <w:vAlign w:val="center"/>
                </w:tcPr>
                <w:p w14:paraId="60ABDECE">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bCs/>
                      <w:color w:val="auto"/>
                      <w:szCs w:val="21"/>
                      <w:highlight w:val="none"/>
                      <w:lang w:val="en-US" w:eastAsia="zh-CN"/>
                    </w:rPr>
                  </w:pPr>
                  <w:r>
                    <w:rPr>
                      <w:rFonts w:hint="eastAsia"/>
                      <w:bCs/>
                      <w:color w:val="auto"/>
                      <w:szCs w:val="21"/>
                      <w:highlight w:val="none"/>
                      <w:lang w:val="en-US" w:eastAsia="zh-CN"/>
                    </w:rPr>
                    <w:t>粉尘</w:t>
                  </w:r>
                </w:p>
              </w:tc>
              <w:tc>
                <w:tcPr>
                  <w:tcW w:w="355" w:type="pct"/>
                  <w:tcBorders>
                    <w:tl2br w:val="nil"/>
                    <w:tr2bl w:val="nil"/>
                  </w:tcBorders>
                  <w:vAlign w:val="center"/>
                </w:tcPr>
                <w:p w14:paraId="135967E7">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间歇</w:t>
                  </w:r>
                </w:p>
              </w:tc>
              <w:tc>
                <w:tcPr>
                  <w:tcW w:w="2269" w:type="pct"/>
                  <w:tcBorders>
                    <w:tl2br w:val="nil"/>
                    <w:tr2bl w:val="nil"/>
                  </w:tcBorders>
                  <w:vAlign w:val="center"/>
                </w:tcPr>
                <w:p w14:paraId="7199A572">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ascii="Times New Roman" w:hAnsi="Times New Roman" w:eastAsia="宋体"/>
                      <w:color w:val="auto"/>
                      <w:highlight w:val="none"/>
                      <w:lang w:val="en-US" w:eastAsia="zh-CN"/>
                    </w:rPr>
                  </w:pPr>
                  <w:r>
                    <w:rPr>
                      <w:rFonts w:hint="eastAsia"/>
                      <w:color w:val="auto"/>
                      <w:highlight w:val="none"/>
                      <w:lang w:val="en-US" w:eastAsia="zh-CN"/>
                    </w:rPr>
                    <w:t>收集后外售</w:t>
                  </w:r>
                </w:p>
              </w:tc>
            </w:tr>
            <w:tr w14:paraId="210AE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33DF00F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66F6029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S5</w:t>
                  </w:r>
                </w:p>
              </w:tc>
              <w:tc>
                <w:tcPr>
                  <w:tcW w:w="843" w:type="pct"/>
                  <w:tcBorders>
                    <w:tl2br w:val="nil"/>
                    <w:tr2bl w:val="nil"/>
                  </w:tcBorders>
                  <w:vAlign w:val="center"/>
                </w:tcPr>
                <w:p w14:paraId="489E347F">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设备维护</w:t>
                  </w:r>
                </w:p>
              </w:tc>
              <w:tc>
                <w:tcPr>
                  <w:tcW w:w="885" w:type="pct"/>
                  <w:tcBorders>
                    <w:tl2br w:val="nil"/>
                    <w:tr2bl w:val="nil"/>
                  </w:tcBorders>
                  <w:vAlign w:val="center"/>
                </w:tcPr>
                <w:p w14:paraId="6DE0E26A">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废润滑油</w:t>
                  </w:r>
                </w:p>
              </w:tc>
              <w:tc>
                <w:tcPr>
                  <w:tcW w:w="355" w:type="pct"/>
                  <w:tcBorders>
                    <w:tl2br w:val="nil"/>
                    <w:tr2bl w:val="nil"/>
                  </w:tcBorders>
                  <w:vAlign w:val="center"/>
                </w:tcPr>
                <w:p w14:paraId="148AC0EA">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color w:val="auto"/>
                      <w:highlight w:val="none"/>
                      <w:lang w:val="en-US" w:eastAsia="zh-CN"/>
                    </w:rPr>
                  </w:pPr>
                  <w:r>
                    <w:rPr>
                      <w:rFonts w:hint="eastAsia"/>
                      <w:color w:val="auto"/>
                      <w:highlight w:val="none"/>
                      <w:lang w:val="en-US" w:eastAsia="zh-CN"/>
                    </w:rPr>
                    <w:t>间歇</w:t>
                  </w:r>
                </w:p>
              </w:tc>
              <w:tc>
                <w:tcPr>
                  <w:tcW w:w="2269" w:type="pct"/>
                  <w:tcBorders>
                    <w:tl2br w:val="nil"/>
                    <w:tr2bl w:val="nil"/>
                  </w:tcBorders>
                  <w:vAlign w:val="center"/>
                </w:tcPr>
                <w:p w14:paraId="7673E71B">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color w:val="auto"/>
                      <w:highlight w:val="none"/>
                      <w:lang w:val="en-US" w:eastAsia="zh-CN"/>
                    </w:rPr>
                  </w:pPr>
                  <w:r>
                    <w:rPr>
                      <w:rFonts w:hint="eastAsia"/>
                      <w:color w:val="auto"/>
                      <w:highlight w:val="none"/>
                      <w:lang w:val="en-US" w:eastAsia="zh-CN"/>
                    </w:rPr>
                    <w:t>委托有资质单位处置</w:t>
                  </w:r>
                </w:p>
              </w:tc>
            </w:tr>
            <w:tr w14:paraId="71ED4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63" w:type="pct"/>
                  <w:vMerge w:val="continue"/>
                  <w:tcBorders>
                    <w:tl2br w:val="nil"/>
                    <w:tr2bl w:val="nil"/>
                  </w:tcBorders>
                  <w:vAlign w:val="center"/>
                </w:tcPr>
                <w:p w14:paraId="168583A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bCs/>
                      <w:color w:val="auto"/>
                      <w:szCs w:val="21"/>
                      <w:highlight w:val="none"/>
                      <w:lang w:val="en-US" w:eastAsia="zh-CN"/>
                    </w:rPr>
                  </w:pPr>
                </w:p>
              </w:tc>
              <w:tc>
                <w:tcPr>
                  <w:tcW w:w="382" w:type="pct"/>
                  <w:tcBorders>
                    <w:tl2br w:val="nil"/>
                    <w:tr2bl w:val="nil"/>
                  </w:tcBorders>
                  <w:vAlign w:val="center"/>
                </w:tcPr>
                <w:p w14:paraId="6E5698A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S6</w:t>
                  </w:r>
                </w:p>
              </w:tc>
              <w:tc>
                <w:tcPr>
                  <w:tcW w:w="843" w:type="pct"/>
                  <w:tcBorders>
                    <w:tl2br w:val="nil"/>
                    <w:tr2bl w:val="nil"/>
                  </w:tcBorders>
                  <w:vAlign w:val="center"/>
                </w:tcPr>
                <w:p w14:paraId="7E4FBD8C">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right="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设备维护</w:t>
                  </w:r>
                </w:p>
              </w:tc>
              <w:tc>
                <w:tcPr>
                  <w:tcW w:w="885" w:type="pct"/>
                  <w:tcBorders>
                    <w:tl2br w:val="nil"/>
                    <w:tr2bl w:val="nil"/>
                  </w:tcBorders>
                  <w:vAlign w:val="center"/>
                </w:tcPr>
                <w:p w14:paraId="62A24A1B">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leftChars="0" w:right="0" w:rightChars="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设备清洗废液</w:t>
                  </w:r>
                </w:p>
              </w:tc>
              <w:tc>
                <w:tcPr>
                  <w:tcW w:w="355" w:type="pct"/>
                  <w:tcBorders>
                    <w:tl2br w:val="nil"/>
                    <w:tr2bl w:val="nil"/>
                  </w:tcBorders>
                  <w:vAlign w:val="center"/>
                </w:tcPr>
                <w:p w14:paraId="7B591F64">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间歇</w:t>
                  </w:r>
                </w:p>
              </w:tc>
              <w:tc>
                <w:tcPr>
                  <w:tcW w:w="2269" w:type="pct"/>
                  <w:tcBorders>
                    <w:tl2br w:val="nil"/>
                    <w:tr2bl w:val="nil"/>
                  </w:tcBorders>
                  <w:vAlign w:val="center"/>
                </w:tcPr>
                <w:p w14:paraId="293AB6EC">
                  <w:pPr>
                    <w:keepNext w:val="0"/>
                    <w:keepLines w:val="0"/>
                    <w:pageBreakBefore w:val="0"/>
                    <w:widowControl w:val="0"/>
                    <w:suppressLineNumbers w:val="0"/>
                    <w:kinsoku/>
                    <w:wordWrap/>
                    <w:overflowPunct/>
                    <w:topLinePunct w:val="0"/>
                    <w:autoSpaceDE/>
                    <w:autoSpaceDN/>
                    <w:bidi w:val="0"/>
                    <w:spacing w:before="0" w:beforeAutospacing="0" w:after="0" w:afterAutospacing="0" w:line="200" w:lineRule="atLeast"/>
                    <w:ind w:left="0" w:leftChars="0" w:right="0" w:rightChars="0"/>
                    <w:jc w:val="center"/>
                    <w:textAlignment w:val="auto"/>
                    <w:rPr>
                      <w:rFonts w:hint="eastAsia"/>
                      <w:color w:val="auto"/>
                      <w:highlight w:val="none"/>
                      <w:lang w:val="en-US" w:eastAsia="zh-CN"/>
                    </w:rPr>
                  </w:pPr>
                  <w:r>
                    <w:rPr>
                      <w:rFonts w:hint="eastAsia"/>
                      <w:color w:val="auto"/>
                      <w:highlight w:val="none"/>
                      <w:lang w:val="en-US" w:eastAsia="zh-CN"/>
                    </w:rPr>
                    <w:t>委托有资质单位处置</w:t>
                  </w:r>
                </w:p>
              </w:tc>
            </w:tr>
          </w:tbl>
          <w:p w14:paraId="14F5871C">
            <w:pPr>
              <w:pStyle w:val="12"/>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highlight w:val="none"/>
                <w:vertAlign w:val="baseline"/>
              </w:rPr>
            </w:pPr>
          </w:p>
          <w:p w14:paraId="3E6E2452">
            <w:pPr>
              <w:pStyle w:val="12"/>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highlight w:val="none"/>
                <w:vertAlign w:val="baseline"/>
              </w:rPr>
            </w:pPr>
          </w:p>
          <w:p w14:paraId="1CC1A99F">
            <w:pPr>
              <w:pStyle w:val="12"/>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highlight w:val="none"/>
                <w:vertAlign w:val="baseline"/>
              </w:rPr>
            </w:pPr>
          </w:p>
          <w:p w14:paraId="517096F4">
            <w:pPr>
              <w:pStyle w:val="12"/>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highlight w:val="none"/>
                <w:vertAlign w:val="baseline"/>
              </w:rPr>
            </w:pPr>
          </w:p>
          <w:p w14:paraId="355C3C2D">
            <w:pPr>
              <w:pStyle w:val="12"/>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highlight w:val="none"/>
                <w:vertAlign w:val="baseline"/>
              </w:rPr>
            </w:pPr>
          </w:p>
        </w:tc>
      </w:tr>
    </w:tbl>
    <w:p w14:paraId="7ED887FB">
      <w:pPr>
        <w:pStyle w:val="12"/>
        <w:numPr>
          <w:ilvl w:val="0"/>
          <w:numId w:val="0"/>
        </w:numPr>
        <w:tabs>
          <w:tab w:val="clear" w:pos="2040"/>
        </w:tabs>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9566"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9076"/>
      </w:tblGrid>
      <w:tr w14:paraId="1961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0" w:hRule="atLeast"/>
        </w:trPr>
        <w:tc>
          <w:tcPr>
            <w:tcW w:w="490" w:type="dxa"/>
            <w:vAlign w:val="center"/>
          </w:tcPr>
          <w:p w14:paraId="35BD97D8">
            <w:pPr>
              <w:keepNext w:val="0"/>
              <w:keepLines w:val="0"/>
              <w:suppressLineNumbers w:val="0"/>
              <w:spacing w:before="0" w:beforeAutospacing="0" w:after="0" w:afterAutospacing="0"/>
              <w:ind w:left="0" w:right="0"/>
              <w:jc w:val="center"/>
              <w:rPr>
                <w:rFonts w:hint="default" w:ascii="Times New Roman" w:hAnsi="Times New Roman" w:eastAsia="宋体"/>
                <w:color w:val="auto"/>
                <w:sz w:val="24"/>
                <w:szCs w:val="24"/>
                <w:highlight w:val="none"/>
              </w:rPr>
            </w:pPr>
            <w:r>
              <w:rPr>
                <w:rFonts w:hint="default" w:ascii="Times New Roman" w:hAnsi="Times New Roman" w:eastAsia="宋体" w:cs="Calibri"/>
                <w:bCs/>
                <w:color w:val="auto"/>
                <w:sz w:val="24"/>
                <w:highlight w:val="none"/>
              </w:rPr>
              <w:t>与项目有关的原有环境污染问题</w:t>
            </w:r>
          </w:p>
        </w:tc>
        <w:tc>
          <w:tcPr>
            <w:tcW w:w="9076" w:type="dxa"/>
          </w:tcPr>
          <w:p w14:paraId="7E8214F5">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w:t>
            </w:r>
            <w:r>
              <w:rPr>
                <w:rFonts w:hint="eastAsia" w:cs="Times New Roman"/>
                <w:b/>
                <w:bCs/>
                <w:color w:val="auto"/>
                <w:sz w:val="24"/>
                <w:highlight w:val="none"/>
                <w:lang w:val="en-US" w:eastAsia="zh-CN"/>
              </w:rPr>
              <w:t>技术改造</w:t>
            </w:r>
            <w:r>
              <w:rPr>
                <w:rFonts w:hint="default" w:ascii="Times New Roman" w:hAnsi="Times New Roman" w:eastAsia="宋体" w:cs="Times New Roman"/>
                <w:b/>
                <w:bCs/>
                <w:color w:val="auto"/>
                <w:sz w:val="24"/>
                <w:highlight w:val="none"/>
              </w:rPr>
              <w:t>前项目概况</w:t>
            </w:r>
          </w:p>
          <w:p w14:paraId="431F1A7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lang w:val="en-US" w:eastAsia="zh-CN"/>
              </w:rPr>
              <w:t>无锡时代天使生物科技有限公司成立于2018年7月11日</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位于无锡市新吴区观山路36号，是一家专业从事口腔隐形正畸技术研发、隐形矫治器（整形牙套）生产及销售的高新技术企业。</w:t>
            </w:r>
            <w:r>
              <w:rPr>
                <w:rFonts w:hint="eastAsia" w:ascii="Times New Roman" w:hAnsi="Times New Roman" w:eastAsia="宋体" w:cs="Times New Roman"/>
                <w:color w:val="auto"/>
                <w:sz w:val="24"/>
                <w:highlight w:val="none"/>
                <w:lang w:val="en-US" w:eastAsia="zh-CN"/>
              </w:rPr>
              <w:t>公司现有项目核定产能为</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产隐形矫治器</w:t>
            </w:r>
            <w:r>
              <w:rPr>
                <w:rFonts w:hint="eastAsia" w:cs="Times New Roman"/>
                <w:color w:val="auto"/>
                <w:sz w:val="24"/>
                <w:highlight w:val="none"/>
                <w:lang w:val="en-US" w:eastAsia="zh-CN"/>
              </w:rPr>
              <w:t>1亿</w:t>
            </w:r>
            <w:r>
              <w:rPr>
                <w:rFonts w:hint="eastAsia" w:ascii="Times New Roman" w:hAnsi="Times New Roman" w:eastAsia="宋体" w:cs="Times New Roman"/>
                <w:color w:val="auto"/>
                <w:sz w:val="24"/>
                <w:highlight w:val="none"/>
                <w:lang w:val="en-US" w:eastAsia="zh-CN"/>
              </w:rPr>
              <w:t>个/年</w:t>
            </w:r>
            <w:r>
              <w:rPr>
                <w:rFonts w:hint="eastAsia" w:cs="Times New Roman"/>
                <w:color w:val="auto"/>
                <w:sz w:val="24"/>
                <w:highlight w:val="none"/>
                <w:lang w:val="en-US" w:eastAsia="zh-CN"/>
              </w:rPr>
              <w:t>（含</w:t>
            </w:r>
            <w:r>
              <w:rPr>
                <w:rFonts w:hint="eastAsia" w:ascii="Times New Roman" w:hAnsi="Times New Roman" w:eastAsia="宋体" w:cs="Times New Roman"/>
                <w:color w:val="auto"/>
                <w:sz w:val="24"/>
                <w:highlight w:val="none"/>
                <w:lang w:val="en-US" w:eastAsia="zh-CN"/>
              </w:rPr>
              <w:t>医用高分子材料（隐形矫治器原料）510</w:t>
            </w:r>
            <w:r>
              <w:rPr>
                <w:rFonts w:hint="eastAsia" w:cs="Times New Roman"/>
                <w:color w:val="auto"/>
                <w:sz w:val="24"/>
                <w:highlight w:val="none"/>
                <w:lang w:val="en-US" w:eastAsia="zh-CN"/>
              </w:rPr>
              <w:t>吨</w:t>
            </w:r>
            <w:r>
              <w:rPr>
                <w:rFonts w:hint="eastAsia" w:ascii="Times New Roman" w:hAnsi="Times New Roman" w:eastAsia="宋体" w:cs="Times New Roman"/>
                <w:color w:val="auto"/>
                <w:sz w:val="24"/>
                <w:highlight w:val="none"/>
                <w:lang w:val="en-US" w:eastAsia="zh-CN"/>
              </w:rPr>
              <w:t>、防龋齿功能涂层</w:t>
            </w:r>
            <w:r>
              <w:rPr>
                <w:rFonts w:hint="eastAsia" w:cs="Times New Roman"/>
                <w:color w:val="auto"/>
                <w:sz w:val="24"/>
                <w:highlight w:val="none"/>
                <w:lang w:val="en-US" w:eastAsia="zh-CN"/>
              </w:rPr>
              <w:t>（隐形矫治器配件）40000平方米</w:t>
            </w:r>
            <w:r>
              <w:rPr>
                <w:rFonts w:hint="eastAsia" w:ascii="Times New Roman" w:hAnsi="Times New Roman" w:eastAsia="宋体" w:cs="Times New Roman"/>
                <w:color w:val="auto"/>
                <w:sz w:val="24"/>
                <w:highlight w:val="none"/>
                <w:vertAlign w:val="baseline"/>
                <w:lang w:val="en-US" w:eastAsia="zh-CN"/>
              </w:rPr>
              <w:t>、</w:t>
            </w:r>
            <w:r>
              <w:rPr>
                <w:rFonts w:hint="eastAsia" w:cs="Times New Roman"/>
                <w:color w:val="auto"/>
                <w:sz w:val="24"/>
                <w:highlight w:val="none"/>
                <w:vertAlign w:val="baseline"/>
                <w:lang w:val="en-US" w:eastAsia="zh-CN"/>
              </w:rPr>
              <w:t>天使扣（隐形矫治器配件）1亿个）。</w:t>
            </w:r>
          </w:p>
          <w:p w14:paraId="29614E7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s="Times New Roman"/>
                <w:color w:val="auto"/>
                <w:sz w:val="24"/>
                <w:highlight w:val="none"/>
                <w:lang w:val="en-US" w:eastAsia="zh-CN"/>
              </w:rPr>
              <w:t>公司已按照要求取得固定污染源排污许可证，证书编号：91320214MA1WUTF30A002W</w:t>
            </w:r>
            <w:r>
              <w:rPr>
                <w:rFonts w:hint="eastAsia" w:ascii="Times New Roman" w:hAnsi="Times New Roman" w:eastAsia="宋体" w:cs="Times New Roman"/>
                <w:color w:val="auto"/>
                <w:sz w:val="24"/>
                <w:highlight w:val="none"/>
                <w:lang w:val="en-US" w:eastAsia="zh-CN"/>
              </w:rPr>
              <w:t>，有效期限：自2024年10月23日至2029年10月22日止</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详见附件</w:t>
            </w:r>
            <w:r>
              <w:rPr>
                <w:rFonts w:hint="eastAsia" w:cs="Times New Roman"/>
                <w:color w:val="auto"/>
                <w:sz w:val="24"/>
                <w:highlight w:val="none"/>
                <w:lang w:val="en-US" w:eastAsia="zh-CN"/>
              </w:rPr>
              <w:t>5。</w:t>
            </w:r>
            <w:r>
              <w:rPr>
                <w:rFonts w:hint="default" w:ascii="Times New Roman" w:hAnsi="Times New Roman" w:eastAsia="宋体"/>
                <w:color w:val="auto"/>
                <w:sz w:val="24"/>
                <w:highlight w:val="none"/>
              </w:rPr>
              <w:t>企业现有项目环保审批及验收情况见下表。</w:t>
            </w:r>
          </w:p>
          <w:p w14:paraId="19617D09">
            <w:pPr>
              <w:keepNext w:val="0"/>
              <w:keepLines w:val="0"/>
              <w:numPr>
                <w:ilvl w:val="0"/>
                <w:numId w:val="0"/>
              </w:numPr>
              <w:suppressLineNumbers w:val="0"/>
              <w:spacing w:before="0" w:beforeAutospacing="0" w:after="0" w:afterAutospacing="0"/>
              <w:ind w:left="425" w:leftChars="0" w:right="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kern w:val="2"/>
                <w:sz w:val="24"/>
                <w:szCs w:val="24"/>
                <w:highlight w:val="none"/>
                <w:u w:val="none"/>
                <w:lang w:val="en-US" w:eastAsia="zh-CN" w:bidi="ar-SA"/>
              </w:rPr>
              <w:t>表2-</w:t>
            </w:r>
            <w:r>
              <w:rPr>
                <w:rFonts w:hint="eastAsia" w:cs="Times New Roman"/>
                <w:b/>
                <w:color w:val="auto"/>
                <w:kern w:val="2"/>
                <w:sz w:val="24"/>
                <w:szCs w:val="24"/>
                <w:highlight w:val="none"/>
                <w:u w:val="none"/>
                <w:lang w:val="en-US" w:eastAsia="zh-CN" w:bidi="ar-SA"/>
              </w:rPr>
              <w:t>8</w:t>
            </w:r>
            <w:r>
              <w:rPr>
                <w:rFonts w:hint="eastAsia" w:ascii="Times New Roman" w:hAnsi="Times New Roman" w:eastAsia="宋体" w:cs="Times New Roman"/>
                <w:b/>
                <w:color w:val="auto"/>
                <w:kern w:val="2"/>
                <w:sz w:val="24"/>
                <w:szCs w:val="24"/>
                <w:highlight w:val="none"/>
                <w:u w:val="none"/>
                <w:lang w:val="en-US" w:eastAsia="zh-CN" w:bidi="ar-SA"/>
              </w:rPr>
              <w:t xml:space="preserve">  </w:t>
            </w:r>
            <w:r>
              <w:rPr>
                <w:rFonts w:hint="default" w:ascii="Times New Roman" w:hAnsi="Times New Roman" w:eastAsia="宋体" w:cs="Times New Roman"/>
                <w:b/>
                <w:color w:val="auto"/>
                <w:sz w:val="24"/>
                <w:highlight w:val="none"/>
              </w:rPr>
              <w:t>现有项目批复及环保“三同时”竣工验收情况</w:t>
            </w:r>
          </w:p>
          <w:tbl>
            <w:tblPr>
              <w:tblStyle w:val="24"/>
              <w:tblW w:w="868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31"/>
              <w:gridCol w:w="1679"/>
              <w:gridCol w:w="1858"/>
              <w:gridCol w:w="779"/>
              <w:gridCol w:w="967"/>
              <w:gridCol w:w="908"/>
              <w:gridCol w:w="660"/>
              <w:gridCol w:w="1202"/>
            </w:tblGrid>
            <w:tr w14:paraId="4544AA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60" w:hRule="atLeast"/>
                <w:jc w:val="center"/>
              </w:trPr>
              <w:tc>
                <w:tcPr>
                  <w:tcW w:w="363" w:type="pct"/>
                  <w:noWrap w:val="0"/>
                  <w:vAlign w:val="center"/>
                </w:tcPr>
                <w:p w14:paraId="79AFF62F">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序号</w:t>
                  </w:r>
                </w:p>
              </w:tc>
              <w:tc>
                <w:tcPr>
                  <w:tcW w:w="966" w:type="pct"/>
                  <w:noWrap w:val="0"/>
                  <w:vAlign w:val="center"/>
                </w:tcPr>
                <w:p w14:paraId="5891200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项目名称</w:t>
                  </w:r>
                </w:p>
              </w:tc>
              <w:tc>
                <w:tcPr>
                  <w:tcW w:w="1069" w:type="pct"/>
                  <w:noWrap w:val="0"/>
                  <w:vAlign w:val="center"/>
                </w:tcPr>
                <w:p w14:paraId="7F8E616A">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产品设计能力</w:t>
                  </w:r>
                </w:p>
              </w:tc>
              <w:tc>
                <w:tcPr>
                  <w:tcW w:w="448" w:type="pct"/>
                  <w:noWrap w:val="0"/>
                  <w:vAlign w:val="center"/>
                </w:tcPr>
                <w:p w14:paraId="12BF66BD">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环境影响评价审批通过时间</w:t>
                  </w:r>
                </w:p>
              </w:tc>
              <w:tc>
                <w:tcPr>
                  <w:tcW w:w="556" w:type="pct"/>
                  <w:noWrap w:val="0"/>
                  <w:vAlign w:val="center"/>
                </w:tcPr>
                <w:p w14:paraId="6CB3ACD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审批部门</w:t>
                  </w:r>
                </w:p>
              </w:tc>
              <w:tc>
                <w:tcPr>
                  <w:tcW w:w="522" w:type="pct"/>
                  <w:noWrap w:val="0"/>
                  <w:vAlign w:val="center"/>
                </w:tcPr>
                <w:p w14:paraId="30F9E8C6">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“三同时”环保验收通过时间</w:t>
                  </w:r>
                </w:p>
              </w:tc>
              <w:tc>
                <w:tcPr>
                  <w:tcW w:w="380" w:type="pct"/>
                  <w:noWrap w:val="0"/>
                  <w:vAlign w:val="center"/>
                </w:tcPr>
                <w:p w14:paraId="2AED213B">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验收部门</w:t>
                  </w:r>
                </w:p>
              </w:tc>
              <w:tc>
                <w:tcPr>
                  <w:tcW w:w="692" w:type="pct"/>
                  <w:noWrap w:val="0"/>
                  <w:vAlign w:val="center"/>
                </w:tcPr>
                <w:p w14:paraId="2B89C04D">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b/>
                      <w:snapToGrid w:val="0"/>
                      <w:color w:val="auto"/>
                      <w:kern w:val="0"/>
                      <w:szCs w:val="21"/>
                      <w:highlight w:val="none"/>
                      <w:lang w:val="en-US" w:eastAsia="zh-CN"/>
                    </w:rPr>
                  </w:pPr>
                  <w:r>
                    <w:rPr>
                      <w:rFonts w:hint="eastAsia" w:ascii="Times New Roman" w:hAnsi="Times New Roman" w:eastAsia="宋体" w:cs="Times New Roman"/>
                      <w:b/>
                      <w:snapToGrid w:val="0"/>
                      <w:color w:val="auto"/>
                      <w:kern w:val="0"/>
                      <w:szCs w:val="21"/>
                      <w:highlight w:val="none"/>
                      <w:lang w:val="en-US" w:eastAsia="zh-CN"/>
                    </w:rPr>
                    <w:t>验收产能</w:t>
                  </w:r>
                </w:p>
              </w:tc>
            </w:tr>
            <w:tr w14:paraId="4430DA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0" w:hRule="atLeast"/>
                <w:jc w:val="center"/>
              </w:trPr>
              <w:tc>
                <w:tcPr>
                  <w:tcW w:w="363" w:type="pct"/>
                  <w:noWrap w:val="0"/>
                  <w:vAlign w:val="center"/>
                </w:tcPr>
                <w:p w14:paraId="047EAE44">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1</w:t>
                  </w:r>
                </w:p>
              </w:tc>
              <w:tc>
                <w:tcPr>
                  <w:tcW w:w="966" w:type="pct"/>
                  <w:noWrap w:val="0"/>
                  <w:vAlign w:val="center"/>
                </w:tcPr>
                <w:p w14:paraId="4F4DEF8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pacing w:val="-6"/>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无锡时代天使生物科技有限公司</w:t>
                  </w:r>
                  <w:r>
                    <w:rPr>
                      <w:rFonts w:hint="default" w:ascii="Times New Roman" w:hAnsi="Times New Roman" w:eastAsia="宋体" w:cs="Times New Roman"/>
                      <w:color w:val="auto"/>
                      <w:spacing w:val="0"/>
                      <w:w w:val="100"/>
                      <w:kern w:val="0"/>
                      <w:position w:val="0"/>
                      <w:sz w:val="21"/>
                      <w:szCs w:val="21"/>
                      <w:highlight w:val="none"/>
                      <w:lang w:val="en-US" w:eastAsia="zh-CN"/>
                    </w:rPr>
                    <w:t>时代天使创美基地项目</w:t>
                  </w:r>
                </w:p>
              </w:tc>
              <w:tc>
                <w:tcPr>
                  <w:tcW w:w="1069" w:type="pct"/>
                  <w:noWrap w:val="0"/>
                  <w:vAlign w:val="center"/>
                </w:tcPr>
                <w:p w14:paraId="53575613">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整形牙套10000万件/a</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研发新型牙套</w:t>
                  </w:r>
                </w:p>
              </w:tc>
              <w:tc>
                <w:tcPr>
                  <w:tcW w:w="448" w:type="pct"/>
                  <w:noWrap w:val="0"/>
                  <w:vAlign w:val="center"/>
                </w:tcPr>
                <w:p w14:paraId="29EF851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lang w:val="en-US" w:eastAsia="zh-CN"/>
                    </w:rPr>
                    <w:t>2021年3月31日</w:t>
                  </w:r>
                </w:p>
              </w:tc>
              <w:tc>
                <w:tcPr>
                  <w:tcW w:w="556" w:type="pct"/>
                  <w:noWrap w:val="0"/>
                  <w:vAlign w:val="center"/>
                </w:tcPr>
                <w:p w14:paraId="544D793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无锡市行政审批局</w:t>
                  </w:r>
                </w:p>
              </w:tc>
              <w:tc>
                <w:tcPr>
                  <w:tcW w:w="522" w:type="pct"/>
                  <w:tcBorders>
                    <w:right w:val="single" w:color="auto" w:sz="4" w:space="0"/>
                  </w:tcBorders>
                  <w:noWrap w:val="0"/>
                  <w:vAlign w:val="center"/>
                </w:tcPr>
                <w:p w14:paraId="152534A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2022年8月28日</w:t>
                  </w:r>
                </w:p>
              </w:tc>
              <w:tc>
                <w:tcPr>
                  <w:tcW w:w="380" w:type="pct"/>
                  <w:tcBorders>
                    <w:left w:val="single" w:color="auto" w:sz="4" w:space="0"/>
                  </w:tcBorders>
                  <w:noWrap w:val="0"/>
                  <w:vAlign w:val="center"/>
                </w:tcPr>
                <w:p w14:paraId="045EE305">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eastAsia"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snapToGrid w:val="0"/>
                      <w:color w:val="auto"/>
                      <w:spacing w:val="-4"/>
                      <w:kern w:val="0"/>
                      <w:szCs w:val="21"/>
                      <w:highlight w:val="none"/>
                      <w:lang w:val="en-US" w:eastAsia="zh-CN"/>
                    </w:rPr>
                    <w:t>自主验收</w:t>
                  </w:r>
                </w:p>
              </w:tc>
              <w:tc>
                <w:tcPr>
                  <w:tcW w:w="692" w:type="pct"/>
                  <w:tcBorders>
                    <w:left w:val="single" w:color="auto" w:sz="4" w:space="0"/>
                  </w:tcBorders>
                  <w:noWrap w:val="0"/>
                  <w:vAlign w:val="center"/>
                </w:tcPr>
                <w:p w14:paraId="48ECA34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eastAsia"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color w:val="auto"/>
                      <w:spacing w:val="0"/>
                      <w:w w:val="100"/>
                      <w:kern w:val="0"/>
                      <w:position w:val="0"/>
                      <w:sz w:val="21"/>
                      <w:szCs w:val="21"/>
                      <w:highlight w:val="none"/>
                      <w:lang w:val="en-US" w:eastAsia="zh-CN"/>
                    </w:rPr>
                    <w:t>年产隐形矫治器2400万个</w:t>
                  </w:r>
                </w:p>
              </w:tc>
            </w:tr>
            <w:tr w14:paraId="2E4AD5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0" w:hRule="atLeast"/>
                <w:jc w:val="center"/>
              </w:trPr>
              <w:tc>
                <w:tcPr>
                  <w:tcW w:w="363" w:type="pct"/>
                  <w:noWrap w:val="0"/>
                  <w:vAlign w:val="center"/>
                </w:tcPr>
                <w:p w14:paraId="1CFA2D22">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2</w:t>
                  </w:r>
                </w:p>
              </w:tc>
              <w:tc>
                <w:tcPr>
                  <w:tcW w:w="966" w:type="pct"/>
                  <w:noWrap w:val="0"/>
                  <w:vAlign w:val="center"/>
                </w:tcPr>
                <w:p w14:paraId="4617CCB6">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pacing w:val="-6"/>
                      <w:szCs w:val="21"/>
                      <w:highlight w:val="none"/>
                    </w:rPr>
                  </w:pPr>
                  <w:r>
                    <w:rPr>
                      <w:rFonts w:hint="default" w:ascii="Times New Roman" w:hAnsi="Times New Roman" w:eastAsia="宋体" w:cs="Times New Roman"/>
                      <w:color w:val="auto"/>
                      <w:spacing w:val="0"/>
                      <w:w w:val="100"/>
                      <w:kern w:val="0"/>
                      <w:position w:val="0"/>
                      <w:sz w:val="21"/>
                      <w:szCs w:val="21"/>
                      <w:highlight w:val="none"/>
                      <w:lang w:val="en-US" w:eastAsia="zh-CN"/>
                    </w:rPr>
                    <w:t>年产1亿个隐形矫治器技术改造项目</w:t>
                  </w:r>
                </w:p>
              </w:tc>
              <w:tc>
                <w:tcPr>
                  <w:tcW w:w="1069" w:type="pct"/>
                  <w:noWrap w:val="0"/>
                  <w:vAlign w:val="center"/>
                </w:tcPr>
                <w:p w14:paraId="0FC343EB">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隐形矫治器1亿个/年、医用高分子材料510t/年、</w:t>
                  </w:r>
                  <w:r>
                    <w:rPr>
                      <w:rFonts w:hint="eastAsia" w:ascii="Times New Roman" w:hAnsi="Times New Roman" w:eastAsia="宋体" w:cs="Times New Roman"/>
                      <w:snapToGrid w:val="0"/>
                      <w:color w:val="auto"/>
                      <w:spacing w:val="-4"/>
                      <w:kern w:val="0"/>
                      <w:szCs w:val="21"/>
                      <w:highlight w:val="none"/>
                      <w:lang w:val="en-US" w:eastAsia="zh-CN"/>
                    </w:rPr>
                    <w:t>防龋齿功能涂层40000m</w:t>
                  </w:r>
                  <w:r>
                    <w:rPr>
                      <w:rFonts w:hint="eastAsia" w:ascii="Times New Roman" w:hAnsi="Times New Roman" w:eastAsia="宋体" w:cs="Times New Roman"/>
                      <w:snapToGrid w:val="0"/>
                      <w:color w:val="auto"/>
                      <w:spacing w:val="-4"/>
                      <w:kern w:val="0"/>
                      <w:szCs w:val="21"/>
                      <w:highlight w:val="none"/>
                      <w:vertAlign w:val="superscript"/>
                      <w:lang w:val="en-US" w:eastAsia="zh-CN"/>
                    </w:rPr>
                    <w:t>2</w:t>
                  </w:r>
                  <w:r>
                    <w:rPr>
                      <w:rFonts w:hint="eastAsia" w:ascii="Times New Roman" w:hAnsi="Times New Roman" w:eastAsia="宋体" w:cs="Times New Roman"/>
                      <w:snapToGrid w:val="0"/>
                      <w:color w:val="auto"/>
                      <w:spacing w:val="-4"/>
                      <w:kern w:val="0"/>
                      <w:szCs w:val="21"/>
                      <w:highlight w:val="none"/>
                      <w:lang w:val="en-US" w:eastAsia="zh-CN"/>
                    </w:rPr>
                    <w:t>/年、新型隐形矫治器研发、天使扣1亿个/a</w:t>
                  </w:r>
                </w:p>
              </w:tc>
              <w:tc>
                <w:tcPr>
                  <w:tcW w:w="448" w:type="pct"/>
                  <w:noWrap w:val="0"/>
                  <w:vAlign w:val="center"/>
                </w:tcPr>
                <w:p w14:paraId="7F10E6F5">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spacing w:val="-4"/>
                      <w:kern w:val="0"/>
                      <w:szCs w:val="21"/>
                      <w:highlight w:val="none"/>
                      <w:lang w:val="en-US" w:eastAsia="zh-CN"/>
                    </w:rPr>
                    <w:t>2023年6月30日</w:t>
                  </w:r>
                </w:p>
              </w:tc>
              <w:tc>
                <w:tcPr>
                  <w:tcW w:w="556" w:type="pct"/>
                  <w:noWrap w:val="0"/>
                  <w:vAlign w:val="center"/>
                </w:tcPr>
                <w:p w14:paraId="2E0EF51C">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无锡市行政审批局</w:t>
                  </w:r>
                </w:p>
              </w:tc>
              <w:tc>
                <w:tcPr>
                  <w:tcW w:w="522" w:type="pct"/>
                  <w:vMerge w:val="restart"/>
                  <w:tcBorders>
                    <w:right w:val="single" w:color="auto" w:sz="4" w:space="0"/>
                  </w:tcBorders>
                  <w:noWrap w:val="0"/>
                  <w:vAlign w:val="center"/>
                </w:tcPr>
                <w:p w14:paraId="1E0E7D72">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snapToGrid w:val="0"/>
                      <w:color w:val="auto"/>
                      <w:spacing w:val="-4"/>
                      <w:kern w:val="0"/>
                      <w:szCs w:val="21"/>
                      <w:highlight w:val="none"/>
                      <w:lang w:val="en-US" w:eastAsia="zh-CN"/>
                    </w:rPr>
                    <w:t>2024年12月23日</w:t>
                  </w:r>
                </w:p>
              </w:tc>
              <w:tc>
                <w:tcPr>
                  <w:tcW w:w="380" w:type="pct"/>
                  <w:vMerge w:val="restart"/>
                  <w:tcBorders>
                    <w:left w:val="single" w:color="auto" w:sz="4" w:space="0"/>
                  </w:tcBorders>
                  <w:noWrap w:val="0"/>
                  <w:vAlign w:val="center"/>
                </w:tcPr>
                <w:p w14:paraId="4A5B2249">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eastAsia"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snapToGrid w:val="0"/>
                      <w:color w:val="auto"/>
                      <w:spacing w:val="-4"/>
                      <w:kern w:val="0"/>
                      <w:szCs w:val="21"/>
                      <w:highlight w:val="none"/>
                      <w:lang w:val="en-US" w:eastAsia="zh-CN"/>
                    </w:rPr>
                    <w:t>自主验收</w:t>
                  </w:r>
                </w:p>
              </w:tc>
              <w:tc>
                <w:tcPr>
                  <w:tcW w:w="692" w:type="pct"/>
                  <w:vMerge w:val="restart"/>
                  <w:tcBorders>
                    <w:left w:val="single" w:color="auto" w:sz="4" w:space="0"/>
                  </w:tcBorders>
                  <w:noWrap w:val="0"/>
                  <w:vAlign w:val="center"/>
                </w:tcPr>
                <w:p w14:paraId="4CE92DD3">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eastAsia" w:ascii="Times New Roman" w:hAnsi="Times New Roman" w:eastAsia="宋体" w:cs="Times New Roman"/>
                      <w:snapToGrid w:val="0"/>
                      <w:color w:val="auto"/>
                      <w:spacing w:val="-4"/>
                      <w:kern w:val="0"/>
                      <w:szCs w:val="21"/>
                      <w:highlight w:val="none"/>
                      <w:lang w:val="en-US" w:eastAsia="zh-CN"/>
                    </w:rPr>
                  </w:pPr>
                  <w:r>
                    <w:rPr>
                      <w:rFonts w:hint="eastAsia" w:ascii="Times New Roman" w:hAnsi="Times New Roman" w:eastAsia="宋体" w:cs="Times New Roman"/>
                      <w:snapToGrid w:val="0"/>
                      <w:color w:val="auto"/>
                      <w:spacing w:val="-4"/>
                      <w:kern w:val="0"/>
                      <w:szCs w:val="21"/>
                      <w:highlight w:val="none"/>
                      <w:lang w:val="en-US" w:eastAsia="zh-CN"/>
                    </w:rPr>
                    <w:t>年产隐形矫治器8000万个/年、医用高分子材料（隐形矫治器原料）510t/年、防龋齿功能涂层13000m</w:t>
                  </w:r>
                  <w:r>
                    <w:rPr>
                      <w:rFonts w:hint="eastAsia" w:ascii="Times New Roman" w:hAnsi="Times New Roman" w:eastAsia="宋体" w:cs="Times New Roman"/>
                      <w:snapToGrid w:val="0"/>
                      <w:color w:val="auto"/>
                      <w:spacing w:val="-4"/>
                      <w:kern w:val="0"/>
                      <w:szCs w:val="21"/>
                      <w:highlight w:val="none"/>
                      <w:vertAlign w:val="superscript"/>
                      <w:lang w:val="en-US" w:eastAsia="zh-CN"/>
                    </w:rPr>
                    <w:t>2</w:t>
                  </w:r>
                  <w:r>
                    <w:rPr>
                      <w:rFonts w:hint="eastAsia" w:ascii="Times New Roman" w:hAnsi="Times New Roman" w:eastAsia="宋体" w:cs="Times New Roman"/>
                      <w:snapToGrid w:val="0"/>
                      <w:color w:val="auto"/>
                      <w:spacing w:val="-4"/>
                      <w:kern w:val="0"/>
                      <w:szCs w:val="21"/>
                      <w:highlight w:val="none"/>
                      <w:lang w:val="en-US" w:eastAsia="zh-CN"/>
                    </w:rPr>
                    <w:t>/年、新型隐形矫治器研发</w:t>
                  </w:r>
                </w:p>
              </w:tc>
            </w:tr>
            <w:tr w14:paraId="3BAC29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65" w:hRule="atLeast"/>
                <w:jc w:val="center"/>
              </w:trPr>
              <w:tc>
                <w:tcPr>
                  <w:tcW w:w="363" w:type="pct"/>
                  <w:noWrap w:val="0"/>
                  <w:vAlign w:val="center"/>
                </w:tcPr>
                <w:p w14:paraId="22AF414D">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default" w:ascii="Times New Roman" w:hAnsi="Times New Roman" w:eastAsia="宋体" w:cs="Times New Roman"/>
                      <w:snapToGrid w:val="0"/>
                      <w:color w:val="auto"/>
                      <w:kern w:val="0"/>
                      <w:szCs w:val="21"/>
                      <w:highlight w:val="none"/>
                    </w:rPr>
                    <w:t>3</w:t>
                  </w:r>
                </w:p>
              </w:tc>
              <w:tc>
                <w:tcPr>
                  <w:tcW w:w="966" w:type="pct"/>
                  <w:noWrap w:val="0"/>
                  <w:vAlign w:val="center"/>
                </w:tcPr>
                <w:p w14:paraId="1409C03C">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0"/>
                      <w:w w:val="100"/>
                      <w:kern w:val="0"/>
                      <w:position w:val="0"/>
                      <w:sz w:val="21"/>
                      <w:szCs w:val="21"/>
                      <w:highlight w:val="none"/>
                      <w:lang w:val="en-US" w:eastAsia="zh-CN"/>
                    </w:rPr>
                    <w:t>无锡时代天使生物科技有限公司年产一亿个口腔隐形正畸产品的个性化定制与柔性制造协同创新模式应用项目</w:t>
                  </w:r>
                </w:p>
              </w:tc>
              <w:tc>
                <w:tcPr>
                  <w:tcW w:w="1069" w:type="pct"/>
                  <w:noWrap w:val="0"/>
                  <w:vAlign w:val="center"/>
                </w:tcPr>
                <w:p w14:paraId="30937EA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snapToGrid w:val="0"/>
                      <w:color w:val="auto"/>
                      <w:kern w:val="0"/>
                      <w:szCs w:val="21"/>
                      <w:highlight w:val="none"/>
                      <w:lang w:val="en-US" w:eastAsia="zh-CN"/>
                    </w:rPr>
                    <w:t>隐形矫治器1亿个/年、医用高分子材料510t/年、</w:t>
                  </w:r>
                  <w:r>
                    <w:rPr>
                      <w:rFonts w:hint="eastAsia" w:ascii="Times New Roman" w:hAnsi="Times New Roman" w:eastAsia="宋体" w:cs="Times New Roman"/>
                      <w:snapToGrid w:val="0"/>
                      <w:color w:val="auto"/>
                      <w:spacing w:val="-4"/>
                      <w:kern w:val="0"/>
                      <w:szCs w:val="21"/>
                      <w:highlight w:val="none"/>
                      <w:lang w:val="en-US" w:eastAsia="zh-CN"/>
                    </w:rPr>
                    <w:t>防龋齿功能涂层40000m</w:t>
                  </w:r>
                  <w:r>
                    <w:rPr>
                      <w:rFonts w:hint="eastAsia" w:ascii="Times New Roman" w:hAnsi="Times New Roman" w:eastAsia="宋体" w:cs="Times New Roman"/>
                      <w:snapToGrid w:val="0"/>
                      <w:color w:val="auto"/>
                      <w:spacing w:val="-4"/>
                      <w:kern w:val="0"/>
                      <w:szCs w:val="21"/>
                      <w:highlight w:val="none"/>
                      <w:vertAlign w:val="superscript"/>
                      <w:lang w:val="en-US" w:eastAsia="zh-CN"/>
                    </w:rPr>
                    <w:t>2</w:t>
                  </w:r>
                  <w:r>
                    <w:rPr>
                      <w:rFonts w:hint="eastAsia" w:ascii="Times New Roman" w:hAnsi="Times New Roman" w:eastAsia="宋体" w:cs="Times New Roman"/>
                      <w:snapToGrid w:val="0"/>
                      <w:color w:val="auto"/>
                      <w:spacing w:val="-4"/>
                      <w:kern w:val="0"/>
                      <w:szCs w:val="21"/>
                      <w:highlight w:val="none"/>
                      <w:lang w:val="en-US" w:eastAsia="zh-CN"/>
                    </w:rPr>
                    <w:t>/年、新型隐形矫治器研发、天使扣1亿个/a</w:t>
                  </w:r>
                </w:p>
              </w:tc>
              <w:tc>
                <w:tcPr>
                  <w:tcW w:w="448" w:type="pct"/>
                  <w:noWrap w:val="0"/>
                  <w:vAlign w:val="center"/>
                </w:tcPr>
                <w:p w14:paraId="1AC57BBC">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lang w:val="en-US" w:eastAsia="zh-CN"/>
                    </w:rPr>
                    <w:t>2024年2月29日</w:t>
                  </w:r>
                </w:p>
              </w:tc>
              <w:tc>
                <w:tcPr>
                  <w:tcW w:w="556" w:type="pct"/>
                  <w:noWrap w:val="0"/>
                  <w:vAlign w:val="center"/>
                </w:tcPr>
                <w:p w14:paraId="79DA8A22">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rPr>
                  </w:pPr>
                  <w:r>
                    <w:rPr>
                      <w:rFonts w:hint="eastAsia" w:ascii="Times New Roman" w:hAnsi="Times New Roman" w:eastAsia="宋体" w:cs="Times New Roman"/>
                      <w:color w:val="auto"/>
                      <w:spacing w:val="0"/>
                      <w:w w:val="100"/>
                      <w:kern w:val="0"/>
                      <w:position w:val="0"/>
                      <w:sz w:val="21"/>
                      <w:szCs w:val="21"/>
                      <w:highlight w:val="none"/>
                      <w:lang w:val="en-US" w:eastAsia="zh-CN"/>
                    </w:rPr>
                    <w:t>无锡市行政审批局</w:t>
                  </w:r>
                </w:p>
              </w:tc>
              <w:tc>
                <w:tcPr>
                  <w:tcW w:w="522" w:type="pct"/>
                  <w:vMerge w:val="continue"/>
                  <w:tcBorders>
                    <w:right w:val="single" w:color="auto" w:sz="4" w:space="0"/>
                  </w:tcBorders>
                  <w:noWrap w:val="0"/>
                  <w:vAlign w:val="center"/>
                </w:tcPr>
                <w:p w14:paraId="59617AA3">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snapToGrid w:val="0"/>
                      <w:color w:val="auto"/>
                      <w:kern w:val="0"/>
                      <w:szCs w:val="21"/>
                      <w:highlight w:val="none"/>
                      <w:lang w:val="en-US" w:eastAsia="zh-CN"/>
                    </w:rPr>
                  </w:pPr>
                </w:p>
              </w:tc>
              <w:tc>
                <w:tcPr>
                  <w:tcW w:w="380" w:type="pct"/>
                  <w:vMerge w:val="continue"/>
                  <w:tcBorders>
                    <w:left w:val="single" w:color="auto" w:sz="4" w:space="0"/>
                  </w:tcBorders>
                  <w:noWrap w:val="0"/>
                  <w:vAlign w:val="center"/>
                </w:tcPr>
                <w:p w14:paraId="62178CAE">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highlight w:val="none"/>
                    </w:rPr>
                  </w:pPr>
                </w:p>
              </w:tc>
              <w:tc>
                <w:tcPr>
                  <w:tcW w:w="692" w:type="pct"/>
                  <w:vMerge w:val="continue"/>
                  <w:tcBorders>
                    <w:left w:val="single" w:color="auto" w:sz="4" w:space="0"/>
                  </w:tcBorders>
                  <w:noWrap w:val="0"/>
                  <w:vAlign w:val="center"/>
                </w:tcPr>
                <w:p w14:paraId="0C9D6665">
                  <w:pPr>
                    <w:keepNext w:val="0"/>
                    <w:keepLines w:val="0"/>
                    <w:suppressLineNumbers w:val="0"/>
                    <w:adjustRightInd w:val="0"/>
                    <w:snapToGrid w:val="0"/>
                    <w:spacing w:before="48" w:beforeLines="20" w:beforeAutospacing="0" w:after="48" w:afterLines="20" w:afterAutospacing="0"/>
                    <w:ind w:left="-53" w:leftChars="-25" w:right="-53" w:rightChars="-25"/>
                    <w:jc w:val="center"/>
                    <w:rPr>
                      <w:rFonts w:hint="default" w:ascii="Times New Roman" w:hAnsi="Times New Roman" w:eastAsia="宋体" w:cs="Times New Roman"/>
                      <w:color w:val="auto"/>
                      <w:highlight w:val="none"/>
                    </w:rPr>
                  </w:pPr>
                </w:p>
              </w:tc>
            </w:tr>
          </w:tbl>
          <w:p w14:paraId="1EC0F235">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2"/>
                <w:highlight w:val="none"/>
              </w:rPr>
            </w:pPr>
            <w:r>
              <w:rPr>
                <w:rFonts w:hint="eastAsia" w:ascii="Times New Roman" w:hAnsi="Times New Roman" w:eastAsia="宋体" w:cs="Times New Roman"/>
                <w:b/>
                <w:color w:val="auto"/>
                <w:sz w:val="24"/>
                <w:szCs w:val="22"/>
                <w:highlight w:val="none"/>
                <w:lang w:val="en-US" w:eastAsia="zh-CN"/>
              </w:rPr>
              <w:t>2、</w:t>
            </w:r>
            <w:r>
              <w:rPr>
                <w:rFonts w:hint="eastAsia" w:cs="Times New Roman"/>
                <w:b/>
                <w:color w:val="auto"/>
                <w:sz w:val="24"/>
                <w:szCs w:val="22"/>
                <w:highlight w:val="none"/>
                <w:lang w:val="en-US" w:eastAsia="zh-CN"/>
              </w:rPr>
              <w:t>技术改造</w:t>
            </w:r>
            <w:r>
              <w:rPr>
                <w:rFonts w:hint="default" w:ascii="Times New Roman" w:hAnsi="Times New Roman" w:eastAsia="宋体" w:cs="Times New Roman"/>
                <w:b/>
                <w:color w:val="auto"/>
                <w:sz w:val="24"/>
                <w:szCs w:val="22"/>
                <w:highlight w:val="none"/>
              </w:rPr>
              <w:t>前项目工艺流程图</w:t>
            </w:r>
          </w:p>
          <w:p w14:paraId="1C7505A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en-US" w:eastAsia="zh-CN" w:bidi="ar-SA"/>
              </w:rPr>
              <w:t>）研发试验工艺及产污环节</w:t>
            </w:r>
          </w:p>
          <w:p w14:paraId="239A476E">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olor w:val="auto"/>
                <w:highlight w:val="none"/>
                <w:lang w:eastAsia="zh-CN"/>
              </w:rPr>
            </w:pPr>
          </w:p>
        </w:tc>
      </w:tr>
    </w:tbl>
    <w:p w14:paraId="7401261E">
      <w:pPr>
        <w:jc w:val="center"/>
        <w:rPr>
          <w:rFonts w:ascii="Times New Roman" w:hAnsi="Times New Roman" w:eastAsia="宋体" w:cs="Calibri"/>
          <w:bCs/>
          <w:color w:val="auto"/>
          <w:sz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tbl>
      <w:tblPr>
        <w:tblStyle w:val="25"/>
        <w:tblW w:w="14199"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
        <w:gridCol w:w="13840"/>
      </w:tblGrid>
      <w:tr w14:paraId="50E9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9" w:hRule="atLeast"/>
        </w:trPr>
        <w:tc>
          <w:tcPr>
            <w:tcW w:w="359" w:type="dxa"/>
            <w:vAlign w:val="center"/>
          </w:tcPr>
          <w:p w14:paraId="09C6521C">
            <w:pPr>
              <w:keepNext w:val="0"/>
              <w:keepLines w:val="0"/>
              <w:suppressLineNumbers w:val="0"/>
              <w:spacing w:before="0" w:beforeAutospacing="0" w:after="0" w:afterAutospacing="0"/>
              <w:ind w:left="0" w:right="0"/>
              <w:jc w:val="center"/>
              <w:rPr>
                <w:rFonts w:hint="default" w:ascii="Times New Roman" w:hAnsi="Times New Roman" w:eastAsia="宋体"/>
                <w:color w:val="auto"/>
                <w:sz w:val="24"/>
                <w:szCs w:val="24"/>
                <w:highlight w:val="none"/>
              </w:rPr>
            </w:pPr>
            <w:r>
              <w:rPr>
                <w:rFonts w:hint="default" w:ascii="Times New Roman" w:hAnsi="Times New Roman" w:eastAsia="宋体" w:cs="Calibri"/>
                <w:bCs/>
                <w:color w:val="auto"/>
                <w:sz w:val="24"/>
                <w:highlight w:val="none"/>
              </w:rPr>
              <w:t>与项目有关的原有环境污染问题</w:t>
            </w:r>
          </w:p>
        </w:tc>
        <w:tc>
          <w:tcPr>
            <w:tcW w:w="13840" w:type="dxa"/>
          </w:tcPr>
          <w:p w14:paraId="0B2CE4C5">
            <w:pPr>
              <w:keepNext w:val="0"/>
              <w:keepLines w:val="0"/>
              <w:suppressLineNumbers w:val="0"/>
              <w:spacing w:before="0" w:beforeAutospacing="0" w:after="0" w:afterAutospacing="0" w:line="360" w:lineRule="auto"/>
              <w:ind w:left="0" w:right="0"/>
              <w:jc w:val="both"/>
              <w:rPr>
                <w:rFonts w:hint="default" w:ascii="Times New Roman" w:hAnsi="Times New Roman" w:eastAsia="宋体"/>
                <w:color w:val="auto"/>
                <w:highlight w:val="none"/>
              </w:rPr>
            </w:pP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olor w:val="auto"/>
                <w:highlight w:val="none"/>
              </w:rPr>
              <w:object>
                <v:shape id="_x0000_i1029" o:spt="75" type="#_x0000_t75" style="height:369.7pt;width:485.75pt;" o:ole="t" filled="f" o:preferrelative="t" stroked="f" coordsize="21600,21600">
                  <v:path/>
                  <v:fill on="f" focussize="0,0"/>
                  <v:stroke on="f"/>
                  <v:imagedata r:id="rId18" cropleft="-674f" croptop="474f" cropright="28995f" cropbottom="15846f" o:title=""/>
                  <o:lock v:ext="edit" aspectratio="t"/>
                  <w10:wrap type="none"/>
                  <w10:anchorlock/>
                </v:shape>
                <o:OLEObject Type="Embed" ProgID="Visio.Drawing.11" ShapeID="_x0000_i1029" DrawAspect="Content" ObjectID="_1468075729" r:id="rId17">
                  <o:LockedField>false</o:LockedField>
                </o:OLEObject>
              </w:object>
            </w:r>
          </w:p>
          <w:p w14:paraId="75BFDFA8">
            <w:pPr>
              <w:keepNext w:val="0"/>
              <w:keepLines w:val="0"/>
              <w:suppressLineNumbers w:val="0"/>
              <w:spacing w:before="0" w:beforeAutospacing="0" w:after="0" w:afterAutospacing="0" w:line="360" w:lineRule="auto"/>
              <w:ind w:left="0" w:right="0"/>
              <w:jc w:val="center"/>
              <w:rPr>
                <w:rFonts w:hint="eastAsia" w:ascii="Times New Roman" w:hAnsi="Times New Roman" w:eastAsia="宋体"/>
                <w:color w:val="auto"/>
                <w:highlight w:val="none"/>
                <w:lang w:eastAsia="zh-CN"/>
              </w:rPr>
            </w:pPr>
            <w:r>
              <w:rPr>
                <w:rFonts w:hint="default" w:ascii="Times New Roman" w:hAnsi="Times New Roman" w:eastAsia="宋体" w:cs="Times New Roman"/>
                <w:b/>
                <w:bCs/>
                <w:color w:val="auto"/>
                <w:kern w:val="2"/>
                <w:sz w:val="24"/>
                <w:szCs w:val="24"/>
                <w:highlight w:val="none"/>
                <w:lang w:val="en-US" w:eastAsia="zh-CN" w:bidi="ar-SA"/>
              </w:rPr>
              <w:t>图2-</w:t>
            </w:r>
            <w:r>
              <w:rPr>
                <w:rFonts w:hint="eastAsia"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cs="Times New Roman"/>
                <w:b/>
                <w:bCs/>
                <w:color w:val="auto"/>
                <w:kern w:val="2"/>
                <w:sz w:val="24"/>
                <w:szCs w:val="24"/>
                <w:highlight w:val="none"/>
                <w:lang w:val="en-US" w:eastAsia="zh-CN" w:bidi="ar-SA"/>
              </w:rPr>
              <w:t>现有</w:t>
            </w:r>
            <w:r>
              <w:rPr>
                <w:rFonts w:hint="default" w:ascii="Times New Roman" w:hAnsi="Times New Roman" w:eastAsia="宋体" w:cs="Times New Roman"/>
                <w:b/>
                <w:bCs/>
                <w:color w:val="auto"/>
                <w:kern w:val="2"/>
                <w:sz w:val="24"/>
                <w:szCs w:val="24"/>
                <w:highlight w:val="none"/>
                <w:lang w:val="en-US" w:eastAsia="zh-CN" w:bidi="ar-SA"/>
              </w:rPr>
              <w:t>项目研发试验生产工艺流程图</w:t>
            </w:r>
          </w:p>
        </w:tc>
      </w:tr>
    </w:tbl>
    <w:p w14:paraId="73FAA610">
      <w:pPr>
        <w:jc w:val="center"/>
        <w:rPr>
          <w:rFonts w:ascii="Times New Roman" w:hAnsi="Times New Roman" w:eastAsia="宋体" w:cs="Calibri"/>
          <w:bCs/>
          <w:color w:val="auto"/>
          <w:sz w:val="24"/>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5"/>
        <w:tblW w:w="9446"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9075"/>
      </w:tblGrid>
      <w:tr w14:paraId="6DC1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0" w:hRule="atLeast"/>
        </w:trPr>
        <w:tc>
          <w:tcPr>
            <w:tcW w:w="371" w:type="dxa"/>
            <w:vAlign w:val="center"/>
          </w:tcPr>
          <w:p w14:paraId="2324BF5F">
            <w:pPr>
              <w:keepNext w:val="0"/>
              <w:keepLines w:val="0"/>
              <w:suppressLineNumbers w:val="0"/>
              <w:spacing w:before="0" w:beforeAutospacing="0" w:after="0" w:afterAutospacing="0"/>
              <w:ind w:left="0" w:right="0"/>
              <w:jc w:val="center"/>
              <w:rPr>
                <w:rFonts w:hint="default" w:ascii="Times New Roman" w:hAnsi="Times New Roman" w:eastAsia="宋体"/>
                <w:color w:val="auto"/>
                <w:sz w:val="24"/>
                <w:szCs w:val="24"/>
                <w:highlight w:val="none"/>
              </w:rPr>
            </w:pPr>
            <w:r>
              <w:rPr>
                <w:rFonts w:hint="default" w:ascii="Times New Roman" w:hAnsi="Times New Roman" w:eastAsia="宋体" w:cs="Calibri"/>
                <w:bCs/>
                <w:color w:val="auto"/>
                <w:sz w:val="24"/>
                <w:highlight w:val="none"/>
              </w:rPr>
              <w:t>与项目有关的原有环境污染问题</w:t>
            </w:r>
          </w:p>
        </w:tc>
        <w:tc>
          <w:tcPr>
            <w:tcW w:w="9075" w:type="dxa"/>
          </w:tcPr>
          <w:p w14:paraId="7093C8E5">
            <w:pPr>
              <w:pStyle w:val="4"/>
              <w:suppressLineNumbers w:val="0"/>
              <w:spacing w:before="0" w:beforeAutospacing="0" w:after="0" w:afterAutospacing="0" w:line="360" w:lineRule="auto"/>
              <w:ind w:left="0" w:right="0"/>
              <w:rPr>
                <w:rStyle w:val="29"/>
                <w:rFonts w:hint="default" w:ascii="Times New Roman" w:hAnsi="Times New Roman" w:eastAsia="宋体" w:cs="Times New Roman"/>
                <w:b/>
                <w:bCs/>
                <w:color w:val="auto"/>
                <w:sz w:val="24"/>
                <w:szCs w:val="24"/>
                <w:highlight w:val="none"/>
              </w:rPr>
            </w:pPr>
            <w:r>
              <w:rPr>
                <w:rStyle w:val="29"/>
                <w:rFonts w:hint="default" w:ascii="Times New Roman" w:hAnsi="Times New Roman" w:eastAsia="宋体" w:cs="Times New Roman"/>
                <w:b/>
                <w:bCs/>
                <w:color w:val="auto"/>
                <w:sz w:val="24"/>
                <w:szCs w:val="24"/>
                <w:highlight w:val="none"/>
              </w:rPr>
              <w:t>工艺流程简述：</w:t>
            </w:r>
          </w:p>
          <w:p w14:paraId="5E0F135B">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选材：</w:t>
            </w:r>
            <w:r>
              <w:rPr>
                <w:rFonts w:hint="default" w:ascii="Times New Roman" w:hAnsi="Times New Roman" w:eastAsia="宋体" w:cs="Times New Roman"/>
                <w:color w:val="auto"/>
                <w:sz w:val="24"/>
                <w:szCs w:val="21"/>
                <w:highlight w:val="none"/>
              </w:rPr>
              <w:t>按照研发目的，按一定比例选取环氧树脂、丙烯酸酯低聚物、丙烯酸酯单体以及引发剂、医用级聚氨酯、医用级聚对苯二甲酸乙二醇酯、聚苯乙烯（PS）、聚碳酸酯（PC）等原料；</w:t>
            </w:r>
          </w:p>
          <w:p w14:paraId="10934A9E">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rPr>
              <w:t>测试结果反馈：</w:t>
            </w:r>
            <w:r>
              <w:rPr>
                <w:rFonts w:hint="default" w:ascii="Times New Roman" w:hAnsi="Times New Roman" w:eastAsia="宋体" w:cs="Times New Roman"/>
                <w:color w:val="auto"/>
                <w:sz w:val="24"/>
                <w:szCs w:val="21"/>
                <w:highlight w:val="none"/>
              </w:rPr>
              <w:t>将选取原料进行测试，能达到要求的原料进行下一步研发试制，未通过测试的方案重新进行选材。</w:t>
            </w:r>
          </w:p>
          <w:p w14:paraId="3F6EB565">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混合出料：</w:t>
            </w:r>
            <w:r>
              <w:rPr>
                <w:rFonts w:hint="default" w:ascii="Times New Roman" w:hAnsi="Times New Roman" w:eastAsia="宋体" w:cs="Times New Roman"/>
                <w:color w:val="auto"/>
                <w:sz w:val="24"/>
                <w:szCs w:val="21"/>
                <w:highlight w:val="none"/>
              </w:rPr>
              <w:t>将通过测试结果反馈的原料混合在一起，将</w:t>
            </w:r>
            <w:r>
              <w:rPr>
                <w:rFonts w:hint="eastAsia" w:ascii="Times New Roman" w:hAnsi="Times New Roman" w:eastAsia="宋体" w:cs="Times New Roman"/>
                <w:color w:val="auto"/>
                <w:sz w:val="24"/>
                <w:szCs w:val="21"/>
                <w:highlight w:val="none"/>
                <w:lang w:eastAsia="zh-CN"/>
              </w:rPr>
              <w:t>配制好的溶液</w:t>
            </w:r>
            <w:r>
              <w:rPr>
                <w:rFonts w:hint="default" w:ascii="Times New Roman" w:hAnsi="Times New Roman" w:eastAsia="宋体" w:cs="Times New Roman"/>
                <w:color w:val="auto"/>
                <w:sz w:val="24"/>
                <w:szCs w:val="21"/>
                <w:highlight w:val="none"/>
              </w:rPr>
              <w:t>在烧杯或搅拌罐内使用磁力搅拌器或搅拌机进行搅拌混合，混合环境需要水浴隔套加热，产生水浴废水W入污水管网；混合好之后的树脂体系，从烧杯或搅拌罐内倒入试剂瓶内，冷却待用。对出料后的烧杯及搅拌罐进行清洗，将少量无水乙醇倒入烧杯及搅拌罐中，用工业吸水纸擦干净料筒内壁，然后将废液倒入废液桶内收集，该过程</w:t>
            </w:r>
            <w:r>
              <w:rPr>
                <w:rFonts w:hint="eastAsia" w:ascii="Times New Roman" w:hAnsi="Times New Roman" w:eastAsia="宋体" w:cs="Times New Roman"/>
                <w:color w:val="auto"/>
                <w:sz w:val="24"/>
                <w:szCs w:val="21"/>
                <w:highlight w:val="none"/>
                <w:lang w:eastAsia="zh-CN"/>
              </w:rPr>
              <w:t>会</w:t>
            </w:r>
            <w:r>
              <w:rPr>
                <w:rFonts w:hint="default" w:ascii="Times New Roman" w:hAnsi="Times New Roman" w:eastAsia="宋体" w:cs="Times New Roman"/>
                <w:color w:val="auto"/>
                <w:sz w:val="24"/>
                <w:szCs w:val="21"/>
                <w:highlight w:val="none"/>
              </w:rPr>
              <w:t>产生废无水乙醇</w:t>
            </w:r>
            <w:r>
              <w:rPr>
                <w:rFonts w:hint="eastAsia" w:cs="Times New Roman"/>
                <w:color w:val="auto"/>
                <w:sz w:val="24"/>
                <w:szCs w:val="21"/>
                <w:highlight w:val="none"/>
                <w:lang w:val="en-US" w:eastAsia="zh-CN"/>
              </w:rPr>
              <w:t>S</w:t>
            </w:r>
            <w:r>
              <w:rPr>
                <w:rFonts w:hint="default" w:ascii="Times New Roman" w:hAnsi="Times New Roman" w:eastAsia="宋体" w:cs="Times New Roman"/>
                <w:color w:val="auto"/>
                <w:sz w:val="24"/>
                <w:szCs w:val="21"/>
                <w:highlight w:val="none"/>
              </w:rPr>
              <w:t>、有机废气</w:t>
            </w:r>
            <w:r>
              <w:rPr>
                <w:rFonts w:hint="eastAsia" w:cs="Times New Roman"/>
                <w:color w:val="auto"/>
                <w:sz w:val="24"/>
                <w:szCs w:val="21"/>
                <w:highlight w:val="none"/>
                <w:lang w:val="en-US" w:eastAsia="zh-CN"/>
              </w:rPr>
              <w:t>G</w:t>
            </w:r>
            <w:r>
              <w:rPr>
                <w:rFonts w:hint="default" w:ascii="Times New Roman" w:hAnsi="Times New Roman" w:eastAsia="宋体" w:cs="Times New Roman"/>
                <w:color w:val="auto"/>
                <w:sz w:val="24"/>
                <w:szCs w:val="21"/>
                <w:highlight w:val="none"/>
              </w:rPr>
              <w:t>。</w:t>
            </w:r>
          </w:p>
          <w:p w14:paraId="78EBD254">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eastAsia" w:ascii="Times New Roman" w:hAnsi="Times New Roman" w:eastAsia="宋体" w:cs="Times New Roman"/>
                <w:color w:val="auto"/>
                <w:sz w:val="24"/>
                <w:szCs w:val="21"/>
                <w:highlight w:val="none"/>
                <w:lang w:eastAsia="zh-CN"/>
              </w:rPr>
            </w:pPr>
            <w:r>
              <w:rPr>
                <w:rFonts w:hint="default" w:ascii="Times New Roman" w:hAnsi="Times New Roman" w:eastAsia="宋体" w:cs="Times New Roman"/>
                <w:b/>
                <w:color w:val="auto"/>
                <w:sz w:val="24"/>
                <w:szCs w:val="21"/>
                <w:highlight w:val="none"/>
              </w:rPr>
              <w:t>3D打印：</w:t>
            </w:r>
            <w:r>
              <w:rPr>
                <w:rFonts w:hint="default" w:ascii="Times New Roman" w:hAnsi="Times New Roman" w:eastAsia="宋体" w:cs="Times New Roman"/>
                <w:color w:val="auto"/>
                <w:sz w:val="24"/>
                <w:szCs w:val="21"/>
                <w:highlight w:val="none"/>
              </w:rPr>
              <w:t>3D打印是将经处理后的三维数据文件进行排版、打印参数设置、切片及加入树脂后进行逐层打印的过程。其借助建模软件将产品结构数字化，然后驱动机器设备加工制造成器件。在打印过程中会有少量有机废气</w:t>
            </w:r>
            <w:r>
              <w:rPr>
                <w:rFonts w:hint="eastAsia" w:cs="Times New Roman"/>
                <w:color w:val="auto"/>
                <w:sz w:val="24"/>
                <w:szCs w:val="21"/>
                <w:highlight w:val="none"/>
                <w:lang w:val="en-US" w:eastAsia="zh-CN"/>
              </w:rPr>
              <w:t>G</w:t>
            </w:r>
            <w:r>
              <w:rPr>
                <w:rFonts w:hint="default" w:ascii="Times New Roman" w:hAnsi="Times New Roman" w:eastAsia="宋体" w:cs="Times New Roman"/>
                <w:color w:val="auto"/>
                <w:sz w:val="24"/>
                <w:szCs w:val="21"/>
                <w:highlight w:val="none"/>
              </w:rPr>
              <w:t>产生</w:t>
            </w:r>
            <w:r>
              <w:rPr>
                <w:rFonts w:hint="eastAsia" w:ascii="Times New Roman" w:hAnsi="Times New Roman" w:eastAsia="宋体" w:cs="Times New Roman"/>
                <w:color w:val="auto"/>
                <w:sz w:val="24"/>
                <w:szCs w:val="21"/>
                <w:highlight w:val="none"/>
                <w:lang w:eastAsia="zh-CN"/>
              </w:rPr>
              <w:t>。</w:t>
            </w:r>
          </w:p>
          <w:p w14:paraId="20FF0214">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bCs w:val="0"/>
                <w:color w:val="auto"/>
                <w:sz w:val="24"/>
                <w:szCs w:val="21"/>
                <w:highlight w:val="none"/>
              </w:rPr>
              <w:t>后处理：</w:t>
            </w:r>
            <w:r>
              <w:rPr>
                <w:rFonts w:hint="default" w:ascii="Times New Roman" w:hAnsi="Times New Roman" w:eastAsia="宋体" w:cs="Times New Roman"/>
                <w:b w:val="0"/>
                <w:bCs/>
                <w:color w:val="auto"/>
                <w:sz w:val="24"/>
                <w:szCs w:val="21"/>
                <w:highlight w:val="none"/>
              </w:rPr>
              <w:t>后处理过程是将 3D 打印出的模型利用光固化后处理机把多余的树脂甩干，然后利用超声波清洗机，加入碳酸丙烯酯进行清洗，再用清水洗掉模型表面的碳酸丙烯酯，产生少量清洗水用于配置碳酸丙烯酯清洗液，经过烘箱烘干水分，再放到紫外固化机里在紫外灯下进行二次固化， 固化得到最终的实物样品。在该过程中，会有废清洗液S产生，清洗完成进行烘干、紫外光固化处理，整个后处理工段清洗、烘干、固化过程产生</w:t>
            </w:r>
            <w:r>
              <w:rPr>
                <w:rFonts w:hint="eastAsia" w:cs="Times New Roman"/>
                <w:b w:val="0"/>
                <w:bCs/>
                <w:color w:val="auto"/>
                <w:sz w:val="24"/>
                <w:szCs w:val="21"/>
                <w:highlight w:val="none"/>
                <w:lang w:val="en-US" w:eastAsia="zh-CN"/>
              </w:rPr>
              <w:t>有机</w:t>
            </w:r>
            <w:r>
              <w:rPr>
                <w:rFonts w:hint="default" w:ascii="Times New Roman" w:hAnsi="Times New Roman" w:eastAsia="宋体" w:cs="Times New Roman"/>
                <w:b w:val="0"/>
                <w:bCs/>
                <w:color w:val="auto"/>
                <w:sz w:val="24"/>
                <w:szCs w:val="21"/>
                <w:highlight w:val="none"/>
              </w:rPr>
              <w:t>废气G。</w:t>
            </w:r>
          </w:p>
          <w:p w14:paraId="76468889">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b/>
                <w:color w:val="auto"/>
                <w:sz w:val="24"/>
                <w:szCs w:val="21"/>
                <w:highlight w:val="none"/>
              </w:rPr>
              <w:t>干燥：</w:t>
            </w:r>
            <w:r>
              <w:rPr>
                <w:rFonts w:hint="default" w:ascii="Times New Roman" w:hAnsi="Times New Roman" w:eastAsia="宋体" w:cs="Times New Roman"/>
                <w:color w:val="auto"/>
                <w:sz w:val="24"/>
                <w:szCs w:val="21"/>
                <w:highlight w:val="none"/>
              </w:rPr>
              <w:t>将</w:t>
            </w:r>
            <w:r>
              <w:rPr>
                <w:rFonts w:hint="default" w:ascii="Times New Roman" w:hAnsi="Times New Roman" w:eastAsia="宋体" w:cs="Times New Roman"/>
                <w:color w:val="auto"/>
                <w:sz w:val="24"/>
                <w:szCs w:val="24"/>
                <w:highlight w:val="none"/>
              </w:rPr>
              <w:t>医用级聚氨酯、医用级聚对苯二甲酸乙二醇酯、聚苯乙烯（PS）、聚碳酸酯（PC）放入除湿干燥机干燥，通入电加热至85℃的循环热风进行干燥</w:t>
            </w:r>
            <w:r>
              <w:rPr>
                <w:rFonts w:hint="default" w:ascii="Times New Roman" w:hAnsi="Times New Roman" w:eastAsia="宋体" w:cs="Times New Roman"/>
                <w:color w:val="auto"/>
                <w:sz w:val="24"/>
                <w:szCs w:val="21"/>
                <w:highlight w:val="none"/>
              </w:rPr>
              <w:t>，干燥过程中空气密闭循环，出口处产生油水混合物经设备自带滤芯过滤后车间通风排放。</w:t>
            </w:r>
          </w:p>
          <w:p w14:paraId="5DB216A2">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eastAsia" w:ascii="Times New Roman" w:hAnsi="Times New Roman" w:eastAsia="宋体" w:cs="Times New Roman"/>
                <w:color w:val="auto"/>
                <w:sz w:val="24"/>
                <w:szCs w:val="21"/>
                <w:highlight w:val="none"/>
                <w:lang w:eastAsia="zh-CN"/>
              </w:rPr>
            </w:pPr>
            <w:r>
              <w:rPr>
                <w:rFonts w:hint="eastAsia" w:cs="Times New Roman"/>
                <w:b/>
                <w:color w:val="auto"/>
                <w:sz w:val="24"/>
                <w:szCs w:val="21"/>
                <w:highlight w:val="none"/>
                <w:lang w:val="en-US" w:eastAsia="zh-CN"/>
              </w:rPr>
              <w:t>融化</w:t>
            </w:r>
            <w:r>
              <w:rPr>
                <w:rFonts w:hint="default" w:ascii="Times New Roman" w:hAnsi="Times New Roman" w:eastAsia="宋体" w:cs="Times New Roman"/>
                <w:b/>
                <w:color w:val="auto"/>
                <w:sz w:val="24"/>
                <w:szCs w:val="21"/>
                <w:highlight w:val="none"/>
              </w:rPr>
              <w:t>：</w:t>
            </w:r>
            <w:r>
              <w:rPr>
                <w:rFonts w:hint="default" w:ascii="Times New Roman" w:hAnsi="Times New Roman" w:eastAsia="宋体" w:cs="Times New Roman"/>
                <w:color w:val="auto"/>
                <w:sz w:val="24"/>
                <w:szCs w:val="21"/>
                <w:highlight w:val="none"/>
              </w:rPr>
              <w:t>干燥后的材料经密闭的双螺杆挤出系统电加热熔融，融化温度230℃。为了维持融化设备的温度，需要使用水进行间接冷却。该过程有废水</w:t>
            </w:r>
            <w:r>
              <w:rPr>
                <w:rFonts w:hint="eastAsia" w:cs="Times New Roman"/>
                <w:color w:val="auto"/>
                <w:sz w:val="24"/>
                <w:szCs w:val="21"/>
                <w:highlight w:val="none"/>
                <w:lang w:val="en-US" w:eastAsia="zh-CN"/>
              </w:rPr>
              <w:t>W</w:t>
            </w:r>
            <w:r>
              <w:rPr>
                <w:rFonts w:hint="default" w:ascii="Times New Roman" w:hAnsi="Times New Roman" w:eastAsia="宋体" w:cs="Times New Roman"/>
                <w:color w:val="auto"/>
                <w:sz w:val="24"/>
                <w:szCs w:val="21"/>
                <w:highlight w:val="none"/>
              </w:rPr>
              <w:t>产生。材料融化在密闭设备中进行，仅在出口处有少部分有机废气</w:t>
            </w:r>
            <w:r>
              <w:rPr>
                <w:rFonts w:hint="eastAsia" w:cs="Times New Roman"/>
                <w:color w:val="auto"/>
                <w:sz w:val="24"/>
                <w:szCs w:val="21"/>
                <w:highlight w:val="none"/>
                <w:lang w:val="en-US" w:eastAsia="zh-CN"/>
              </w:rPr>
              <w:t>G</w:t>
            </w:r>
            <w:r>
              <w:rPr>
                <w:rFonts w:hint="default" w:ascii="Times New Roman" w:hAnsi="Times New Roman" w:eastAsia="宋体" w:cs="Times New Roman"/>
                <w:color w:val="auto"/>
                <w:sz w:val="24"/>
                <w:szCs w:val="21"/>
                <w:highlight w:val="none"/>
              </w:rPr>
              <w:t>挥发</w:t>
            </w:r>
            <w:r>
              <w:rPr>
                <w:rFonts w:hint="eastAsia" w:ascii="Times New Roman" w:hAnsi="Times New Roman" w:eastAsia="宋体" w:cs="Times New Roman"/>
                <w:color w:val="auto"/>
                <w:sz w:val="24"/>
                <w:szCs w:val="21"/>
                <w:highlight w:val="none"/>
                <w:lang w:eastAsia="zh-CN"/>
              </w:rPr>
              <w:t>。</w:t>
            </w:r>
          </w:p>
          <w:p w14:paraId="36B182D8">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成型：</w:t>
            </w:r>
            <w:r>
              <w:rPr>
                <w:rFonts w:hint="default" w:ascii="Times New Roman" w:hAnsi="Times New Roman" w:eastAsia="宋体" w:cs="Times New Roman"/>
                <w:color w:val="auto"/>
                <w:sz w:val="24"/>
                <w:szCs w:val="21"/>
                <w:highlight w:val="none"/>
              </w:rPr>
              <w:t>融化的材料通过密闭的容器输送到成型模具中进行定型，定型后的材料用水进行间接冷却。该过程有废水</w:t>
            </w:r>
            <w:r>
              <w:rPr>
                <w:rFonts w:hint="eastAsia" w:cs="Times New Roman"/>
                <w:color w:val="auto"/>
                <w:sz w:val="24"/>
                <w:szCs w:val="21"/>
                <w:highlight w:val="none"/>
                <w:lang w:val="en-US" w:eastAsia="zh-CN"/>
              </w:rPr>
              <w:t>W</w:t>
            </w:r>
            <w:r>
              <w:rPr>
                <w:rFonts w:hint="default" w:ascii="Times New Roman" w:hAnsi="Times New Roman" w:eastAsia="宋体" w:cs="Times New Roman"/>
                <w:color w:val="auto"/>
                <w:sz w:val="24"/>
                <w:szCs w:val="21"/>
                <w:highlight w:val="none"/>
              </w:rPr>
              <w:t>产生。</w:t>
            </w:r>
          </w:p>
          <w:p w14:paraId="3C11FF74">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分切：</w:t>
            </w:r>
            <w:r>
              <w:rPr>
                <w:rFonts w:hint="default" w:ascii="Times New Roman" w:hAnsi="Times New Roman" w:eastAsia="宋体" w:cs="Times New Roman"/>
                <w:color w:val="auto"/>
                <w:sz w:val="24"/>
                <w:szCs w:val="21"/>
                <w:highlight w:val="none"/>
              </w:rPr>
              <w:t>成型后的材料使用裁刀进行分切，需要去除边缘不规则区域，产生膜片边角料</w:t>
            </w:r>
            <w:r>
              <w:rPr>
                <w:rFonts w:hint="eastAsia" w:cs="Times New Roman"/>
                <w:color w:val="auto"/>
                <w:sz w:val="24"/>
                <w:szCs w:val="21"/>
                <w:highlight w:val="none"/>
                <w:lang w:val="en-US" w:eastAsia="zh-CN"/>
              </w:rPr>
              <w:t>S</w:t>
            </w:r>
            <w:r>
              <w:rPr>
                <w:rFonts w:hint="default" w:ascii="Times New Roman" w:hAnsi="Times New Roman" w:eastAsia="宋体" w:cs="Times New Roman"/>
                <w:color w:val="auto"/>
                <w:sz w:val="24"/>
                <w:szCs w:val="21"/>
                <w:highlight w:val="none"/>
              </w:rPr>
              <w:t>。</w:t>
            </w:r>
          </w:p>
          <w:p w14:paraId="118CD0B2">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性能检测：</w:t>
            </w:r>
            <w:r>
              <w:rPr>
                <w:rFonts w:hint="default" w:ascii="Times New Roman" w:hAnsi="Times New Roman" w:eastAsia="宋体" w:cs="Times New Roman"/>
                <w:color w:val="auto"/>
                <w:sz w:val="24"/>
                <w:szCs w:val="21"/>
                <w:highlight w:val="none"/>
              </w:rPr>
              <w:t>分切完成的产品需要进行性能检测，性能检测包括几个部分：</w:t>
            </w:r>
          </w:p>
          <w:p w14:paraId="3A0DC73B">
            <w:pPr>
              <w:keepNext w:val="0"/>
              <w:keepLines w:val="0"/>
              <w:suppressLineNumbers w:val="0"/>
              <w:adjustRightInd w:val="0"/>
              <w:snapToGrid w:val="0"/>
              <w:spacing w:before="0" w:beforeLines="0" w:beforeAutospacing="0" w:after="0" w:afterLines="0" w:afterAutospacing="0" w:line="360" w:lineRule="auto"/>
              <w:ind w:left="0" w:right="0" w:firstLine="470"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①按照产品要求检测样品的厚度、宽度、外观、透光率、拉伸屈服强度、屈服伸长率等性能，符合要求的样品进行下一步检测，不符合的为废样品；</w:t>
            </w:r>
          </w:p>
          <w:p w14:paraId="23C68F2A">
            <w:pPr>
              <w:keepNext w:val="0"/>
              <w:keepLines w:val="0"/>
              <w:suppressLineNumbers w:val="0"/>
              <w:adjustRightInd w:val="0"/>
              <w:snapToGrid w:val="0"/>
              <w:spacing w:before="0" w:beforeLines="0" w:beforeAutospacing="0" w:after="0" w:afterLines="0" w:afterAutospacing="0" w:line="360" w:lineRule="auto"/>
              <w:ind w:left="0" w:right="0" w:firstLine="470" w:firstLineChars="196"/>
              <w:rPr>
                <w:rFonts w:hint="eastAsia" w:ascii="Times New Roman" w:hAnsi="Times New Roman" w:eastAsia="宋体" w:cs="Times New Roman"/>
                <w:color w:val="auto"/>
                <w:sz w:val="24"/>
                <w:szCs w:val="21"/>
                <w:highlight w:val="none"/>
                <w:lang w:eastAsia="zh-CN"/>
              </w:rPr>
            </w:pPr>
            <w:r>
              <w:rPr>
                <w:rFonts w:hint="default" w:ascii="Times New Roman" w:hAnsi="Times New Roman" w:eastAsia="宋体" w:cs="Times New Roman"/>
                <w:color w:val="auto"/>
                <w:sz w:val="24"/>
                <w:szCs w:val="21"/>
                <w:highlight w:val="none"/>
              </w:rPr>
              <w:t>②将乙酸乙酯、聚氨酯成膜剂以及添加剂混合搅拌，将混合好的溶液涂抹于工件上，在自然条件下固化，固化时</w:t>
            </w:r>
            <w:r>
              <w:rPr>
                <w:rFonts w:hint="eastAsia" w:cs="Times New Roman"/>
                <w:color w:val="auto"/>
                <w:sz w:val="24"/>
                <w:szCs w:val="21"/>
                <w:highlight w:val="none"/>
                <w:lang w:val="en-US" w:eastAsia="zh-CN"/>
              </w:rPr>
              <w:t>产生有机废气G</w:t>
            </w:r>
            <w:r>
              <w:rPr>
                <w:rFonts w:hint="default" w:ascii="Times New Roman" w:hAnsi="Times New Roman" w:eastAsia="宋体" w:cs="Times New Roman"/>
                <w:color w:val="auto"/>
                <w:sz w:val="24"/>
                <w:szCs w:val="21"/>
                <w:highlight w:val="none"/>
              </w:rPr>
              <w:t>，符合要求的样品进行下一步检测，不符合的为废样品</w:t>
            </w:r>
            <w:r>
              <w:rPr>
                <w:rFonts w:hint="eastAsia" w:ascii="Times New Roman" w:hAnsi="Times New Roman" w:eastAsia="宋体" w:cs="Times New Roman"/>
                <w:color w:val="auto"/>
                <w:sz w:val="24"/>
                <w:szCs w:val="21"/>
                <w:highlight w:val="none"/>
                <w:lang w:eastAsia="zh-CN"/>
              </w:rPr>
              <w:t>。</w:t>
            </w:r>
          </w:p>
          <w:p w14:paraId="0B8082FB">
            <w:pPr>
              <w:keepNext w:val="0"/>
              <w:keepLines w:val="0"/>
              <w:suppressLineNumbers w:val="0"/>
              <w:adjustRightInd w:val="0"/>
              <w:snapToGrid w:val="0"/>
              <w:spacing w:before="0" w:beforeLines="0" w:beforeAutospacing="0" w:after="0" w:afterLines="0" w:afterAutospacing="0" w:line="360" w:lineRule="auto"/>
              <w:ind w:left="0" w:right="0" w:firstLine="470"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③样品进一步进行氟含量检测</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4"/>
                <w:szCs w:val="21"/>
                <w:highlight w:val="none"/>
              </w:rPr>
              <w:t>预防产品使用过程产生牙齿疾病，检测时会使用不同浓度含氟标准液校准仪器，，该过程产生含氟废液</w:t>
            </w:r>
            <w:r>
              <w:rPr>
                <w:rFonts w:hint="eastAsia" w:cs="Times New Roman"/>
                <w:color w:val="auto"/>
                <w:sz w:val="24"/>
                <w:szCs w:val="21"/>
                <w:highlight w:val="none"/>
                <w:lang w:val="en-US" w:eastAsia="zh-CN"/>
              </w:rPr>
              <w:t>S</w:t>
            </w:r>
            <w:r>
              <w:rPr>
                <w:rFonts w:hint="default" w:ascii="Times New Roman" w:hAnsi="Times New Roman" w:eastAsia="宋体" w:cs="Times New Roman"/>
                <w:color w:val="auto"/>
                <w:sz w:val="24"/>
                <w:szCs w:val="21"/>
                <w:highlight w:val="none"/>
              </w:rPr>
              <w:t>，符合要求的样品进行下一步检测，不符合的为废样品。该过程产生废样品</w:t>
            </w:r>
            <w:r>
              <w:rPr>
                <w:rFonts w:hint="eastAsia" w:cs="Times New Roman"/>
                <w:color w:val="auto"/>
                <w:sz w:val="24"/>
                <w:szCs w:val="21"/>
                <w:highlight w:val="none"/>
                <w:lang w:val="en-US" w:eastAsia="zh-CN"/>
              </w:rPr>
              <w:t>S</w:t>
            </w:r>
            <w:r>
              <w:rPr>
                <w:rFonts w:hint="default" w:ascii="Times New Roman" w:hAnsi="Times New Roman" w:eastAsia="宋体" w:cs="Times New Roman"/>
                <w:color w:val="auto"/>
                <w:sz w:val="24"/>
                <w:szCs w:val="21"/>
                <w:highlight w:val="none"/>
              </w:rPr>
              <w:t>。</w:t>
            </w:r>
          </w:p>
          <w:p w14:paraId="58B33079">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压膜：</w:t>
            </w:r>
            <w:r>
              <w:rPr>
                <w:rFonts w:hint="default" w:ascii="Times New Roman" w:hAnsi="Times New Roman" w:eastAsia="宋体" w:cs="Times New Roman"/>
                <w:color w:val="auto"/>
                <w:sz w:val="24"/>
                <w:szCs w:val="21"/>
                <w:highlight w:val="none"/>
              </w:rPr>
              <w:t>将打印的树脂模型置于压膜机上，加入膜片样品进行压膜，控制压膜机输出合适的加热温度（电加热，200℃左右），该过程会</w:t>
            </w:r>
            <w:r>
              <w:rPr>
                <w:rFonts w:hint="eastAsia" w:ascii="Times New Roman" w:hAnsi="Times New Roman" w:eastAsia="宋体" w:cs="Times New Roman"/>
                <w:color w:val="auto"/>
                <w:sz w:val="24"/>
                <w:szCs w:val="21"/>
                <w:highlight w:val="none"/>
                <w:lang w:eastAsia="zh-CN"/>
              </w:rPr>
              <w:t>产生</w:t>
            </w:r>
            <w:r>
              <w:rPr>
                <w:rFonts w:hint="default" w:ascii="Times New Roman" w:hAnsi="Times New Roman" w:eastAsia="宋体" w:cs="Times New Roman"/>
                <w:color w:val="auto"/>
                <w:sz w:val="24"/>
                <w:szCs w:val="21"/>
                <w:highlight w:val="none"/>
              </w:rPr>
              <w:t>少量有机废气</w:t>
            </w:r>
            <w:r>
              <w:rPr>
                <w:rFonts w:hint="eastAsia" w:cs="Times New Roman"/>
                <w:color w:val="auto"/>
                <w:sz w:val="24"/>
                <w:szCs w:val="21"/>
                <w:highlight w:val="none"/>
                <w:lang w:val="en-US" w:eastAsia="zh-CN"/>
              </w:rPr>
              <w:t>G</w:t>
            </w:r>
            <w:r>
              <w:rPr>
                <w:rFonts w:hint="default" w:ascii="Times New Roman" w:hAnsi="Times New Roman" w:eastAsia="宋体" w:cs="Times New Roman"/>
                <w:color w:val="auto"/>
                <w:sz w:val="24"/>
                <w:szCs w:val="21"/>
                <w:highlight w:val="none"/>
              </w:rPr>
              <w:t>。</w:t>
            </w:r>
          </w:p>
          <w:p w14:paraId="56D9ECFF">
            <w:pPr>
              <w:keepNext w:val="0"/>
              <w:keepLines w:val="0"/>
              <w:widowControl/>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rPr>
              <w:t>打标、切割：</w:t>
            </w:r>
            <w:r>
              <w:rPr>
                <w:rFonts w:hint="default" w:ascii="Times New Roman" w:hAnsi="Times New Roman" w:eastAsia="宋体" w:cs="Times New Roman"/>
                <w:color w:val="auto"/>
                <w:sz w:val="24"/>
                <w:szCs w:val="21"/>
                <w:highlight w:val="none"/>
              </w:rPr>
              <w:t>在压制成型后的矫治器粗坯上打上编号，</w:t>
            </w:r>
            <w:r>
              <w:rPr>
                <w:rFonts w:hint="eastAsia" w:ascii="Times New Roman" w:hAnsi="Times New Roman" w:eastAsia="宋体" w:cs="Times New Roman"/>
                <w:b w:val="0"/>
                <w:bCs w:val="0"/>
                <w:color w:val="auto"/>
                <w:sz w:val="24"/>
                <w:highlight w:val="none"/>
                <w:lang w:eastAsia="zh-CN"/>
              </w:rPr>
              <w:t>打标后的矫治器粗坯经</w:t>
            </w:r>
            <w:r>
              <w:rPr>
                <w:rFonts w:hint="eastAsia" w:ascii="Times New Roman" w:hAnsi="Times New Roman" w:eastAsia="宋体" w:cs="Times New Roman"/>
                <w:b w:val="0"/>
                <w:bCs w:val="0"/>
                <w:color w:val="auto"/>
                <w:sz w:val="24"/>
                <w:highlight w:val="none"/>
                <w:lang w:val="en-US" w:eastAsia="zh-CN"/>
              </w:rPr>
              <w:t>传送带输送进入</w:t>
            </w:r>
            <w:r>
              <w:rPr>
                <w:rFonts w:hint="eastAsia" w:ascii="Times New Roman" w:hAnsi="Times New Roman" w:eastAsia="宋体" w:cs="Times New Roman"/>
                <w:b w:val="0"/>
                <w:bCs w:val="0"/>
                <w:color w:val="auto"/>
                <w:sz w:val="24"/>
                <w:highlight w:val="none"/>
                <w:lang w:eastAsia="zh-CN"/>
              </w:rPr>
              <w:t>激光切割机内部，由机械臂</w:t>
            </w:r>
            <w:r>
              <w:rPr>
                <w:rFonts w:hint="eastAsia" w:ascii="Times New Roman" w:hAnsi="Times New Roman" w:eastAsia="宋体" w:cs="Times New Roman"/>
                <w:b w:val="0"/>
                <w:bCs w:val="0"/>
                <w:color w:val="auto"/>
                <w:sz w:val="24"/>
                <w:highlight w:val="none"/>
                <w:lang w:val="en-US" w:eastAsia="zh-CN"/>
              </w:rPr>
              <w:t>自动</w:t>
            </w:r>
            <w:r>
              <w:rPr>
                <w:rFonts w:hint="eastAsia" w:ascii="Times New Roman" w:hAnsi="Times New Roman" w:eastAsia="宋体" w:cs="Times New Roman"/>
                <w:b w:val="0"/>
                <w:bCs w:val="0"/>
                <w:color w:val="auto"/>
                <w:sz w:val="24"/>
                <w:highlight w:val="none"/>
                <w:lang w:eastAsia="zh-CN"/>
              </w:rPr>
              <w:t>抓取矫治器粗坯至激光光斑下约</w:t>
            </w:r>
            <w:r>
              <w:rPr>
                <w:rFonts w:hint="eastAsia" w:ascii="Times New Roman" w:hAnsi="Times New Roman" w:eastAsia="宋体" w:cs="Times New Roman"/>
                <w:b w:val="0"/>
                <w:bCs w:val="0"/>
                <w:color w:val="auto"/>
                <w:sz w:val="24"/>
                <w:highlight w:val="none"/>
                <w:lang w:val="en-US" w:eastAsia="zh-CN"/>
              </w:rPr>
              <w:t>10cm处，按照激光切割系统提前设置好的切割参数</w:t>
            </w:r>
            <w:r>
              <w:rPr>
                <w:rFonts w:hint="eastAsia" w:cs="Times New Roman"/>
                <w:b w:val="0"/>
                <w:bCs w:val="0"/>
                <w:color w:val="auto"/>
                <w:sz w:val="24"/>
                <w:highlight w:val="none"/>
                <w:lang w:val="en-US" w:eastAsia="zh-CN"/>
              </w:rPr>
              <w:t>机进行切割</w:t>
            </w:r>
            <w:r>
              <w:rPr>
                <w:rFonts w:hint="eastAsia" w:ascii="Times New Roman" w:hAnsi="Times New Roman" w:eastAsia="宋体" w:cs="Times New Roman"/>
                <w:b w:val="0"/>
                <w:bCs w:val="0"/>
                <w:color w:val="auto"/>
                <w:sz w:val="24"/>
                <w:highlight w:val="none"/>
                <w:lang w:val="en-US" w:eastAsia="zh-CN"/>
              </w:rPr>
              <w:t>。激光切割全过程设备密闭，仅留传送带进出口。</w:t>
            </w:r>
            <w:r>
              <w:rPr>
                <w:rFonts w:hint="eastAsia" w:ascii="Times New Roman" w:hAnsi="Times New Roman" w:eastAsia="宋体" w:cs="Times New Roman"/>
                <w:color w:val="auto"/>
                <w:sz w:val="24"/>
                <w:highlight w:val="none"/>
                <w:lang w:val="en-US" w:eastAsia="zh-CN"/>
              </w:rPr>
              <w:t>激光切割过程中</w:t>
            </w:r>
            <w:r>
              <w:rPr>
                <w:rFonts w:hint="default" w:ascii="Times New Roman" w:hAnsi="Times New Roman" w:eastAsia="宋体" w:cs="Times New Roman"/>
                <w:color w:val="auto"/>
                <w:sz w:val="24"/>
                <w:highlight w:val="none"/>
              </w:rPr>
              <w:t>产生</w:t>
            </w:r>
            <w:r>
              <w:rPr>
                <w:rFonts w:hint="eastAsia" w:cs="Times New Roman"/>
                <w:color w:val="auto"/>
                <w:sz w:val="24"/>
                <w:highlight w:val="none"/>
                <w:lang w:val="en-US" w:eastAsia="zh-CN"/>
              </w:rPr>
              <w:t>激光切割废气G和膜片边角料S</w:t>
            </w:r>
            <w:r>
              <w:rPr>
                <w:rFonts w:hint="eastAsia" w:ascii="Times New Roman" w:hAnsi="Times New Roman" w:eastAsia="宋体" w:cs="Times New Roman"/>
                <w:color w:val="auto"/>
                <w:sz w:val="24"/>
                <w:highlight w:val="none"/>
                <w:lang w:val="en-US" w:eastAsia="zh-CN"/>
              </w:rPr>
              <w:t>。</w:t>
            </w:r>
          </w:p>
          <w:p w14:paraId="5BD2B021">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手工</w:t>
            </w:r>
            <w:r>
              <w:rPr>
                <w:rFonts w:hint="eastAsia" w:ascii="Times New Roman" w:hAnsi="Times New Roman" w:eastAsia="宋体" w:cs="Times New Roman"/>
                <w:b/>
                <w:color w:val="auto"/>
                <w:sz w:val="24"/>
                <w:szCs w:val="21"/>
                <w:highlight w:val="none"/>
                <w:lang w:eastAsia="zh-CN"/>
              </w:rPr>
              <w:t>脱膜</w:t>
            </w:r>
            <w:r>
              <w:rPr>
                <w:rFonts w:hint="default" w:ascii="Times New Roman" w:hAnsi="Times New Roman" w:eastAsia="宋体" w:cs="Times New Roman"/>
                <w:b/>
                <w:color w:val="auto"/>
                <w:sz w:val="24"/>
                <w:szCs w:val="21"/>
                <w:highlight w:val="none"/>
              </w:rPr>
              <w:t>：</w:t>
            </w:r>
            <w:r>
              <w:rPr>
                <w:rFonts w:hint="eastAsia" w:ascii="Times New Roman" w:hAnsi="Times New Roman" w:eastAsia="宋体" w:cs="Times New Roman"/>
                <w:color w:val="auto"/>
                <w:sz w:val="24"/>
                <w:szCs w:val="21"/>
                <w:highlight w:val="none"/>
                <w:lang w:eastAsia="zh-CN"/>
              </w:rPr>
              <w:t>脱膜</w:t>
            </w:r>
            <w:r>
              <w:rPr>
                <w:rFonts w:hint="default" w:ascii="Times New Roman" w:hAnsi="Times New Roman" w:eastAsia="宋体" w:cs="Times New Roman"/>
                <w:color w:val="auto"/>
                <w:sz w:val="24"/>
                <w:szCs w:val="21"/>
                <w:highlight w:val="none"/>
              </w:rPr>
              <w:t>是将成型后的矫治器与3D打印的树脂模型分离，并进行裁边精修，从而产生膜片边角料</w:t>
            </w:r>
            <w:r>
              <w:rPr>
                <w:rFonts w:hint="eastAsia" w:cs="Times New Roman"/>
                <w:color w:val="auto"/>
                <w:sz w:val="24"/>
                <w:szCs w:val="21"/>
                <w:highlight w:val="none"/>
                <w:lang w:val="en-US" w:eastAsia="zh-CN"/>
              </w:rPr>
              <w:t>S</w:t>
            </w:r>
            <w:r>
              <w:rPr>
                <w:rFonts w:hint="default" w:ascii="Times New Roman" w:hAnsi="Times New Roman" w:eastAsia="宋体" w:cs="Times New Roman"/>
                <w:color w:val="auto"/>
                <w:sz w:val="24"/>
                <w:szCs w:val="21"/>
                <w:highlight w:val="none"/>
              </w:rPr>
              <w:t>以及废模型</w:t>
            </w:r>
            <w:r>
              <w:rPr>
                <w:rFonts w:hint="eastAsia" w:cs="Times New Roman"/>
                <w:color w:val="auto"/>
                <w:sz w:val="24"/>
                <w:szCs w:val="21"/>
                <w:highlight w:val="none"/>
                <w:lang w:val="en-US" w:eastAsia="zh-CN"/>
              </w:rPr>
              <w:t>S</w:t>
            </w:r>
            <w:r>
              <w:rPr>
                <w:rFonts w:hint="default" w:ascii="Times New Roman" w:hAnsi="Times New Roman" w:eastAsia="宋体" w:cs="Times New Roman"/>
                <w:color w:val="auto"/>
                <w:sz w:val="24"/>
                <w:szCs w:val="21"/>
                <w:highlight w:val="none"/>
              </w:rPr>
              <w:t>。</w:t>
            </w:r>
          </w:p>
          <w:p w14:paraId="54826E85">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抛光：</w:t>
            </w:r>
            <w:r>
              <w:rPr>
                <w:rFonts w:hint="default" w:ascii="Times New Roman" w:hAnsi="Times New Roman" w:eastAsia="宋体" w:cs="Times New Roman"/>
                <w:color w:val="auto"/>
                <w:sz w:val="24"/>
                <w:szCs w:val="21"/>
                <w:highlight w:val="none"/>
              </w:rPr>
              <w:t>采用抛光轮在矫治器边缘进行打磨，产生粉尘，实验使用膜片样品仅为100kg，</w:t>
            </w:r>
            <w:r>
              <w:rPr>
                <w:rFonts w:hint="eastAsia" w:cs="Times New Roman"/>
                <w:color w:val="auto"/>
                <w:sz w:val="24"/>
                <w:szCs w:val="21"/>
                <w:highlight w:val="none"/>
                <w:lang w:val="en-US" w:eastAsia="zh-CN"/>
              </w:rPr>
              <w:t>产生抛光粉尘G</w:t>
            </w:r>
            <w:r>
              <w:rPr>
                <w:rFonts w:hint="default" w:ascii="Times New Roman" w:hAnsi="Times New Roman" w:eastAsia="宋体" w:cs="Times New Roman"/>
                <w:color w:val="auto"/>
                <w:sz w:val="24"/>
                <w:szCs w:val="21"/>
                <w:highlight w:val="none"/>
              </w:rPr>
              <w:t>。</w:t>
            </w:r>
          </w:p>
          <w:p w14:paraId="56B37281">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研磨：</w:t>
            </w:r>
            <w:r>
              <w:rPr>
                <w:rFonts w:hint="default" w:ascii="Times New Roman" w:hAnsi="Times New Roman" w:eastAsia="宋体" w:cs="Times New Roman"/>
                <w:color w:val="auto"/>
                <w:sz w:val="24"/>
                <w:szCs w:val="21"/>
                <w:highlight w:val="none"/>
              </w:rPr>
              <w:t>将矫治器中加入陶瓷颗粒、水，混合在一起进行摩擦，产生研磨废液</w:t>
            </w:r>
            <w:r>
              <w:rPr>
                <w:rFonts w:hint="eastAsia" w:cs="Times New Roman"/>
                <w:color w:val="auto"/>
                <w:sz w:val="24"/>
                <w:szCs w:val="21"/>
                <w:highlight w:val="none"/>
                <w:lang w:val="en-US" w:eastAsia="zh-CN"/>
              </w:rPr>
              <w:t>S</w:t>
            </w:r>
            <w:r>
              <w:rPr>
                <w:rFonts w:hint="default" w:ascii="Times New Roman" w:hAnsi="Times New Roman" w:eastAsia="宋体" w:cs="Times New Roman"/>
                <w:color w:val="auto"/>
                <w:sz w:val="24"/>
                <w:szCs w:val="21"/>
                <w:highlight w:val="none"/>
              </w:rPr>
              <w:t>。</w:t>
            </w:r>
          </w:p>
          <w:p w14:paraId="7439FCAB">
            <w:pPr>
              <w:keepNext w:val="0"/>
              <w:keepLines w:val="0"/>
              <w:suppressLineNumbers w:val="0"/>
              <w:adjustRightInd w:val="0"/>
              <w:snapToGrid w:val="0"/>
              <w:spacing w:before="0" w:beforeLines="0" w:beforeAutospacing="0" w:after="0" w:afterLines="0" w:afterAutospacing="0" w:line="360" w:lineRule="auto"/>
              <w:ind w:left="0" w:right="0" w:firstLine="472" w:firstLineChars="196"/>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超声波清洗：</w:t>
            </w:r>
            <w:r>
              <w:rPr>
                <w:rFonts w:hint="default" w:ascii="Times New Roman" w:hAnsi="Times New Roman" w:eastAsia="宋体" w:cs="Times New Roman"/>
                <w:color w:val="auto"/>
                <w:sz w:val="24"/>
                <w:szCs w:val="21"/>
                <w:highlight w:val="none"/>
              </w:rPr>
              <w:t>采用自来水对矫治器进行超声波清洗，无需添加清洗剂，常温下进行清洗，产生清洗废水</w:t>
            </w:r>
            <w:r>
              <w:rPr>
                <w:rFonts w:hint="eastAsia" w:cs="Times New Roman"/>
                <w:color w:val="auto"/>
                <w:sz w:val="24"/>
                <w:szCs w:val="21"/>
                <w:highlight w:val="none"/>
                <w:lang w:val="en-US" w:eastAsia="zh-CN"/>
              </w:rPr>
              <w:t>W</w:t>
            </w:r>
            <w:r>
              <w:rPr>
                <w:rFonts w:hint="default" w:ascii="Times New Roman" w:hAnsi="Times New Roman" w:eastAsia="宋体" w:cs="Times New Roman"/>
                <w:color w:val="auto"/>
                <w:sz w:val="24"/>
                <w:szCs w:val="21"/>
                <w:highlight w:val="none"/>
              </w:rPr>
              <w:t>。</w:t>
            </w:r>
          </w:p>
          <w:p w14:paraId="69DB95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2" w:firstLineChars="200"/>
              <w:textAlignment w:val="auto"/>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性能测试：</w:t>
            </w:r>
            <w:r>
              <w:rPr>
                <w:rFonts w:hint="default" w:ascii="Times New Roman" w:hAnsi="Times New Roman" w:eastAsia="宋体" w:cs="Times New Roman"/>
                <w:color w:val="auto"/>
                <w:sz w:val="24"/>
                <w:szCs w:val="21"/>
                <w:highlight w:val="none"/>
              </w:rPr>
              <w:t>将待测样品矫治器浸泡在自来水、醋、人工唾液、可乐等液体辅材中，浸泡一段时间后利用夹具（外购金属件或3D打印树脂件）与固体辅材（皮筋、螺丝等）进行力学测试，记录测试结果。该过程会产生废液</w:t>
            </w:r>
            <w:r>
              <w:rPr>
                <w:rFonts w:hint="eastAsia" w:cs="Times New Roman"/>
                <w:color w:val="auto"/>
                <w:sz w:val="24"/>
                <w:szCs w:val="21"/>
                <w:highlight w:val="none"/>
                <w:lang w:val="en-US" w:eastAsia="zh-CN"/>
              </w:rPr>
              <w:t>S</w:t>
            </w:r>
            <w:r>
              <w:rPr>
                <w:rFonts w:hint="default" w:ascii="Times New Roman" w:hAnsi="Times New Roman" w:eastAsia="宋体" w:cs="Times New Roman"/>
                <w:color w:val="auto"/>
                <w:sz w:val="24"/>
                <w:szCs w:val="21"/>
                <w:highlight w:val="none"/>
              </w:rPr>
              <w:t>、废样品</w:t>
            </w:r>
            <w:r>
              <w:rPr>
                <w:rFonts w:hint="eastAsia" w:cs="Times New Roman"/>
                <w:color w:val="auto"/>
                <w:sz w:val="24"/>
                <w:szCs w:val="21"/>
                <w:highlight w:val="none"/>
                <w:lang w:val="en-US" w:eastAsia="zh-CN"/>
              </w:rPr>
              <w:t>S</w:t>
            </w:r>
            <w:r>
              <w:rPr>
                <w:rFonts w:hint="default" w:ascii="Times New Roman" w:hAnsi="Times New Roman" w:eastAsia="宋体" w:cs="Times New Roman"/>
                <w:color w:val="auto"/>
                <w:sz w:val="24"/>
                <w:szCs w:val="21"/>
                <w:highlight w:val="none"/>
              </w:rPr>
              <w:t>。</w:t>
            </w:r>
          </w:p>
          <w:p w14:paraId="6A604E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rPr>
              <w:t>样品试用：</w:t>
            </w:r>
            <w:r>
              <w:rPr>
                <w:rFonts w:hint="default" w:ascii="Times New Roman" w:hAnsi="Times New Roman" w:eastAsia="宋体" w:cs="Times New Roman"/>
                <w:color w:val="auto"/>
                <w:sz w:val="24"/>
                <w:szCs w:val="21"/>
                <w:highlight w:val="none"/>
              </w:rPr>
              <w:t>通过性能测试的样品进行试用，通过试用的样品即为产品；未通过试用的样品需重新进行选材试制。</w:t>
            </w:r>
            <w:r>
              <w:rPr>
                <w:rFonts w:hint="eastAsia" w:ascii="Times New Roman" w:hAnsi="Times New Roman" w:cs="Times New Roman"/>
                <w:bCs/>
                <w:color w:val="auto"/>
                <w:sz w:val="24"/>
                <w:highlight w:val="none"/>
                <w:lang w:val="en-US" w:eastAsia="zh-CN"/>
              </w:rPr>
              <w:t>现有项目</w:t>
            </w:r>
            <w:r>
              <w:rPr>
                <w:rFonts w:hint="default" w:ascii="Times New Roman" w:hAnsi="Times New Roman" w:cs="Times New Roman"/>
                <w:bCs/>
                <w:color w:val="auto"/>
                <w:sz w:val="24"/>
                <w:highlight w:val="none"/>
              </w:rPr>
              <w:t>实验室产生</w:t>
            </w:r>
            <w:r>
              <w:rPr>
                <w:rFonts w:hint="eastAsia" w:ascii="Times New Roman" w:hAnsi="Times New Roman" w:cs="Times New Roman"/>
                <w:bCs/>
                <w:color w:val="auto"/>
                <w:sz w:val="24"/>
                <w:highlight w:val="none"/>
                <w:lang w:val="en-US" w:eastAsia="zh-CN"/>
              </w:rPr>
              <w:t>的</w:t>
            </w:r>
            <w:r>
              <w:rPr>
                <w:rFonts w:hint="default" w:ascii="Times New Roman" w:hAnsi="Times New Roman" w:cs="Times New Roman"/>
                <w:bCs/>
                <w:color w:val="auto"/>
                <w:sz w:val="24"/>
                <w:highlight w:val="none"/>
              </w:rPr>
              <w:t>有机废气经集气罩收集（收集效率90%）后经二级活性炭吸附装置（处理效率</w:t>
            </w:r>
            <w:r>
              <w:rPr>
                <w:rFonts w:hint="eastAsia" w:ascii="Times New Roman" w:hAnsi="Times New Roman" w:cs="Times New Roman"/>
                <w:bCs/>
                <w:color w:val="auto"/>
                <w:sz w:val="24"/>
                <w:highlight w:val="none"/>
                <w:lang w:val="en-US" w:eastAsia="zh-CN"/>
              </w:rPr>
              <w:t>90</w:t>
            </w:r>
            <w:r>
              <w:rPr>
                <w:rFonts w:hint="default" w:ascii="Times New Roman" w:hAnsi="Times New Roman" w:cs="Times New Roman"/>
                <w:bCs/>
                <w:color w:val="auto"/>
                <w:sz w:val="24"/>
                <w:highlight w:val="none"/>
              </w:rPr>
              <w:t>%）处理后于实验室内通过车间通风排放</w:t>
            </w:r>
            <w:r>
              <w:rPr>
                <w:rFonts w:hint="eastAsia" w:cs="Times New Roman"/>
                <w:bCs/>
                <w:color w:val="auto"/>
                <w:sz w:val="24"/>
                <w:highlight w:val="none"/>
                <w:lang w:eastAsia="zh-CN"/>
              </w:rPr>
              <w:t>。</w:t>
            </w:r>
          </w:p>
          <w:p w14:paraId="28A49437">
            <w:pPr>
              <w:keepNext w:val="0"/>
              <w:keepLines w:val="0"/>
              <w:numPr>
                <w:ilvl w:val="0"/>
                <w:numId w:val="0"/>
              </w:numPr>
              <w:suppressLineNumbers w:val="0"/>
              <w:spacing w:before="0" w:beforeAutospacing="0" w:after="0" w:afterAutospacing="0" w:line="360" w:lineRule="auto"/>
              <w:ind w:left="0" w:right="0"/>
              <w:rPr>
                <w:rFonts w:hint="default" w:ascii="Times New Roman" w:hAnsi="Times New Roman" w:eastAsia="宋体" w:cs="Times New Roman"/>
                <w:b/>
                <w:color w:val="auto"/>
                <w:sz w:val="24"/>
                <w:szCs w:val="22"/>
                <w:highlight w:val="none"/>
                <w:lang w:eastAsia="zh-CN"/>
              </w:rPr>
            </w:pPr>
            <w:r>
              <w:rPr>
                <w:rFonts w:hint="default" w:ascii="Times New Roman" w:hAnsi="Times New Roman" w:eastAsia="宋体" w:cs="Times New Roman"/>
                <w:b/>
                <w:color w:val="auto"/>
                <w:sz w:val="24"/>
                <w:szCs w:val="22"/>
                <w:highlight w:val="none"/>
                <w:lang w:eastAsia="zh-CN"/>
              </w:rPr>
              <w:t>（</w:t>
            </w:r>
            <w:r>
              <w:rPr>
                <w:rFonts w:hint="eastAsia" w:ascii="Times New Roman" w:hAnsi="Times New Roman" w:eastAsia="宋体" w:cs="Times New Roman"/>
                <w:b/>
                <w:color w:val="auto"/>
                <w:sz w:val="24"/>
                <w:szCs w:val="22"/>
                <w:highlight w:val="none"/>
                <w:lang w:val="en-US" w:eastAsia="zh-CN"/>
              </w:rPr>
              <w:t>2</w:t>
            </w:r>
            <w:r>
              <w:rPr>
                <w:rFonts w:hint="default" w:ascii="Times New Roman" w:hAnsi="Times New Roman" w:eastAsia="宋体" w:cs="Times New Roman"/>
                <w:b/>
                <w:color w:val="auto"/>
                <w:sz w:val="24"/>
                <w:szCs w:val="22"/>
                <w:highlight w:val="none"/>
                <w:lang w:eastAsia="zh-CN"/>
              </w:rPr>
              <w:t>）</w:t>
            </w:r>
            <w:r>
              <w:rPr>
                <w:rFonts w:hint="default" w:ascii="Times New Roman" w:hAnsi="Times New Roman" w:eastAsia="宋体" w:cs="Times New Roman"/>
                <w:b/>
                <w:color w:val="auto"/>
                <w:sz w:val="24"/>
                <w:szCs w:val="22"/>
                <w:highlight w:val="none"/>
                <w:lang w:val="en-US" w:eastAsia="zh-CN"/>
              </w:rPr>
              <w:t>医用高分子材料生产工艺及产污环节</w:t>
            </w:r>
          </w:p>
          <w:p w14:paraId="4545C502">
            <w:pPr>
              <w:pStyle w:val="11"/>
              <w:keepNext w:val="0"/>
              <w:keepLines w:val="0"/>
              <w:suppressLineNumbers w:val="0"/>
              <w:spacing w:beforeAutospacing="0" w:afterAutospacing="0"/>
              <w:ind w:left="0"/>
              <w:jc w:val="center"/>
              <w:rPr>
                <w:rFonts w:hint="default" w:ascii="Times New Roman" w:hAnsi="Times New Roman" w:eastAsia="宋体" w:cs="Times New Roman"/>
                <w:color w:val="auto"/>
                <w:highlight w:val="none"/>
              </w:rPr>
            </w:pPr>
            <w:r>
              <w:rPr>
                <w:rFonts w:hint="default" w:ascii="Times New Roman" w:hAnsi="Times New Roman" w:eastAsia="宋体"/>
                <w:color w:val="auto"/>
                <w:highlight w:val="none"/>
              </w:rPr>
              <w:object>
                <v:shape id="_x0000_i1030" o:spt="75" type="#_x0000_t75" style="height:149.75pt;width:386.9pt;" o:ole="t" filled="f" o:preferrelative="t" stroked="f" coordsize="21600,21600">
                  <v:path/>
                  <v:fill on="f" focussize="0,0"/>
                  <v:stroke on="f"/>
                  <v:imagedata r:id="rId14" croptop="3195f" cropright="28512f" cropbottom="41988f" o:title=""/>
                  <o:lock v:ext="edit" aspectratio="t"/>
                  <w10:wrap type="none"/>
                  <w10:anchorlock/>
                </v:shape>
                <o:OLEObject Type="Embed" ProgID="Visio.Drawing.11" ShapeID="_x0000_i1030" DrawAspect="Content" ObjectID="_1468075730" r:id="rId19">
                  <o:LockedField>false</o:LockedField>
                </o:OLEObject>
              </w:object>
            </w:r>
          </w:p>
          <w:p w14:paraId="32D72895">
            <w:pPr>
              <w:keepNext w:val="0"/>
              <w:keepLines w:val="0"/>
              <w:widowControl w:val="0"/>
              <w:numPr>
                <w:ilvl w:val="0"/>
                <w:numId w:val="0"/>
              </w:numPr>
              <w:suppressLineNumbers w:val="0"/>
              <w:spacing w:before="0" w:beforeAutospacing="0" w:after="0" w:afterAutospacing="0"/>
              <w:ind w:left="0" w:right="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图2-</w:t>
            </w:r>
            <w:r>
              <w:rPr>
                <w:rFonts w:hint="eastAsia" w:cs="Times New Roman"/>
                <w:b/>
                <w:bCs/>
                <w:color w:val="auto"/>
                <w:kern w:val="2"/>
                <w:sz w:val="24"/>
                <w:szCs w:val="24"/>
                <w:highlight w:val="none"/>
                <w:lang w:val="en-US" w:eastAsia="zh-CN" w:bidi="ar-SA"/>
              </w:rPr>
              <w:t>6</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 xml:space="preserve"> </w:t>
            </w:r>
            <w:r>
              <w:rPr>
                <w:rFonts w:hint="eastAsia" w:cs="Times New Roman"/>
                <w:b/>
                <w:bCs/>
                <w:color w:val="auto"/>
                <w:kern w:val="2"/>
                <w:sz w:val="24"/>
                <w:szCs w:val="24"/>
                <w:highlight w:val="none"/>
                <w:lang w:val="en-US" w:eastAsia="zh-CN" w:bidi="ar-SA"/>
              </w:rPr>
              <w:t>现有</w:t>
            </w:r>
            <w:r>
              <w:rPr>
                <w:rFonts w:hint="default" w:ascii="Times New Roman" w:hAnsi="Times New Roman" w:eastAsia="宋体" w:cs="Times New Roman"/>
                <w:b/>
                <w:bCs/>
                <w:color w:val="auto"/>
                <w:kern w:val="2"/>
                <w:sz w:val="24"/>
                <w:szCs w:val="24"/>
                <w:highlight w:val="none"/>
                <w:lang w:val="en-US" w:eastAsia="zh-CN" w:bidi="ar-SA"/>
              </w:rPr>
              <w:t>项目医用高分子材料生产工艺流程图</w:t>
            </w:r>
          </w:p>
          <w:p w14:paraId="5267FFDF">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工艺</w:t>
            </w:r>
            <w:r>
              <w:rPr>
                <w:rFonts w:hint="default" w:ascii="Times New Roman" w:hAnsi="Times New Roman" w:eastAsia="宋体" w:cs="Times New Roman"/>
                <w:b/>
                <w:color w:val="auto"/>
                <w:sz w:val="24"/>
                <w:highlight w:val="none"/>
                <w:lang w:eastAsia="zh-CN"/>
              </w:rPr>
              <w:t>流程简述</w:t>
            </w:r>
            <w:r>
              <w:rPr>
                <w:rFonts w:hint="default" w:ascii="Times New Roman" w:hAnsi="Times New Roman" w:eastAsia="宋体" w:cs="Times New Roman"/>
                <w:b/>
                <w:color w:val="auto"/>
                <w:sz w:val="24"/>
                <w:highlight w:val="none"/>
              </w:rPr>
              <w:t>：</w:t>
            </w:r>
          </w:p>
          <w:p w14:paraId="3F06C47D">
            <w:pPr>
              <w:pStyle w:val="34"/>
              <w:keepNext w:val="0"/>
              <w:keepLines w:val="0"/>
              <w:widowControl/>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bCs/>
                <w:color w:val="auto"/>
                <w:sz w:val="24"/>
                <w:highlight w:val="none"/>
              </w:rPr>
              <w:t>1、计量配料：</w:t>
            </w:r>
            <w:r>
              <w:rPr>
                <w:rFonts w:hint="default" w:ascii="Times New Roman" w:hAnsi="Times New Roman" w:eastAsia="宋体" w:cs="Times New Roman"/>
                <w:b w:val="0"/>
                <w:bCs w:val="0"/>
                <w:color w:val="auto"/>
                <w:sz w:val="24"/>
                <w:highlight w:val="none"/>
              </w:rPr>
              <w:t>人工按一定比例称取所需原材料，计量配料过程中产生少量</w:t>
            </w:r>
            <w:r>
              <w:rPr>
                <w:rFonts w:hint="eastAsia" w:cs="Times New Roman"/>
                <w:b w:val="0"/>
                <w:bCs w:val="0"/>
                <w:color w:val="auto"/>
                <w:sz w:val="24"/>
                <w:highlight w:val="none"/>
                <w:lang w:val="en-US" w:eastAsia="zh-CN"/>
              </w:rPr>
              <w:t>计量配料</w:t>
            </w:r>
            <w:r>
              <w:rPr>
                <w:rFonts w:hint="default" w:ascii="Times New Roman" w:hAnsi="Times New Roman" w:eastAsia="宋体" w:cs="Times New Roman"/>
                <w:b w:val="0"/>
                <w:bCs w:val="0"/>
                <w:color w:val="auto"/>
                <w:sz w:val="24"/>
                <w:highlight w:val="none"/>
              </w:rPr>
              <w:t>粉尘</w:t>
            </w:r>
            <w:r>
              <w:rPr>
                <w:rFonts w:hint="eastAsia" w:cs="Times New Roman"/>
                <w:b w:val="0"/>
                <w:bCs w:val="0"/>
                <w:color w:val="auto"/>
                <w:sz w:val="24"/>
                <w:highlight w:val="none"/>
                <w:lang w:val="en-US" w:eastAsia="zh-CN"/>
              </w:rPr>
              <w:t>G</w:t>
            </w:r>
            <w:r>
              <w:rPr>
                <w:rFonts w:hint="default" w:ascii="Times New Roman" w:hAnsi="Times New Roman" w:eastAsia="宋体" w:cs="Times New Roman"/>
                <w:b w:val="0"/>
                <w:bCs w:val="0"/>
                <w:color w:val="auto"/>
                <w:sz w:val="24"/>
                <w:highlight w:val="none"/>
              </w:rPr>
              <w:t>。</w:t>
            </w:r>
          </w:p>
          <w:p w14:paraId="6492A28E">
            <w:pPr>
              <w:pStyle w:val="34"/>
              <w:keepNext w:val="0"/>
              <w:keepLines w:val="0"/>
              <w:widowControl/>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bCs/>
                <w:color w:val="auto"/>
                <w:sz w:val="24"/>
                <w:highlight w:val="none"/>
              </w:rPr>
              <w:t>2、室温搅拌：</w:t>
            </w:r>
            <w:r>
              <w:rPr>
                <w:rFonts w:hint="default" w:ascii="Times New Roman" w:hAnsi="Times New Roman" w:eastAsia="宋体" w:cs="Times New Roman"/>
                <w:b w:val="0"/>
                <w:bCs w:val="0"/>
                <w:color w:val="auto"/>
                <w:sz w:val="24"/>
                <w:highlight w:val="none"/>
              </w:rPr>
              <w:t>人工将原材料按一定顺序投入到高速分散搅拌机/搅拌机中，并设定搅拌时间，在室温下进行混料搅拌。搅拌过程产生</w:t>
            </w:r>
            <w:r>
              <w:rPr>
                <w:rFonts w:hint="eastAsia" w:cs="Times New Roman"/>
                <w:b w:val="0"/>
                <w:bCs w:val="0"/>
                <w:color w:val="auto"/>
                <w:sz w:val="24"/>
                <w:highlight w:val="none"/>
                <w:lang w:val="en-US" w:eastAsia="zh-CN"/>
              </w:rPr>
              <w:t>少量</w:t>
            </w:r>
            <w:r>
              <w:rPr>
                <w:rFonts w:hint="default" w:ascii="Times New Roman" w:hAnsi="Times New Roman" w:eastAsia="宋体" w:cs="Times New Roman"/>
                <w:b w:val="0"/>
                <w:bCs w:val="0"/>
                <w:color w:val="auto"/>
                <w:sz w:val="24"/>
                <w:highlight w:val="none"/>
              </w:rPr>
              <w:t>有机废气</w:t>
            </w:r>
            <w:r>
              <w:rPr>
                <w:rFonts w:hint="eastAsia" w:cs="Times New Roman"/>
                <w:b w:val="0"/>
                <w:bCs w:val="0"/>
                <w:color w:val="auto"/>
                <w:sz w:val="24"/>
                <w:highlight w:val="none"/>
                <w:lang w:val="en-US" w:eastAsia="zh-CN"/>
              </w:rPr>
              <w:t>G</w:t>
            </w:r>
            <w:r>
              <w:rPr>
                <w:rFonts w:hint="default" w:ascii="Times New Roman" w:hAnsi="Times New Roman" w:eastAsia="宋体" w:cs="Times New Roman"/>
                <w:b w:val="0"/>
                <w:bCs w:val="0"/>
                <w:color w:val="auto"/>
                <w:sz w:val="24"/>
                <w:highlight w:val="none"/>
              </w:rPr>
              <w:t>和</w:t>
            </w:r>
            <w:r>
              <w:rPr>
                <w:rFonts w:hint="eastAsia" w:cs="Times New Roman"/>
                <w:b w:val="0"/>
                <w:bCs w:val="0"/>
                <w:color w:val="auto"/>
                <w:sz w:val="24"/>
                <w:highlight w:val="none"/>
                <w:lang w:val="en-US" w:eastAsia="zh-CN"/>
              </w:rPr>
              <w:t>N</w:t>
            </w:r>
            <w:r>
              <w:rPr>
                <w:rFonts w:hint="default" w:ascii="Times New Roman" w:hAnsi="Times New Roman" w:eastAsia="宋体" w:cs="Times New Roman"/>
                <w:b w:val="0"/>
                <w:bCs w:val="0"/>
                <w:color w:val="auto"/>
                <w:sz w:val="24"/>
                <w:highlight w:val="none"/>
              </w:rPr>
              <w:t>噪声。</w:t>
            </w:r>
          </w:p>
          <w:p w14:paraId="419C0BA1">
            <w:pPr>
              <w:pStyle w:val="34"/>
              <w:keepNext w:val="0"/>
              <w:keepLines w:val="0"/>
              <w:widowControl/>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bCs/>
                <w:color w:val="auto"/>
                <w:sz w:val="24"/>
                <w:highlight w:val="none"/>
              </w:rPr>
              <w:t>3、灌装：</w:t>
            </w:r>
            <w:r>
              <w:rPr>
                <w:rFonts w:hint="default" w:ascii="Times New Roman" w:hAnsi="Times New Roman" w:eastAsia="宋体" w:cs="Times New Roman"/>
                <w:b w:val="0"/>
                <w:bCs w:val="0"/>
                <w:color w:val="auto"/>
                <w:sz w:val="24"/>
                <w:highlight w:val="none"/>
              </w:rPr>
              <w:t>室温搅拌好的物料通过密闭连通管道投加到灌装机中进行自动灌装。</w:t>
            </w:r>
          </w:p>
          <w:p w14:paraId="4C6A09FF">
            <w:pPr>
              <w:pStyle w:val="34"/>
              <w:keepNext w:val="0"/>
              <w:keepLines w:val="0"/>
              <w:widowControl/>
              <w:suppressLineNumbers w:val="0"/>
              <w:spacing w:before="0" w:beforeAutospacing="0" w:after="0" w:afterAutospacing="0" w:line="360" w:lineRule="auto"/>
              <w:ind w:left="0" w:right="0" w:firstLine="482"/>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bCs/>
                <w:color w:val="auto"/>
                <w:sz w:val="24"/>
                <w:highlight w:val="none"/>
              </w:rPr>
              <w:t>4、包装：</w:t>
            </w:r>
            <w:r>
              <w:rPr>
                <w:rFonts w:hint="default" w:ascii="Times New Roman" w:hAnsi="Times New Roman" w:eastAsia="宋体" w:cs="Times New Roman"/>
                <w:b w:val="0"/>
                <w:bCs w:val="0"/>
                <w:color w:val="auto"/>
                <w:sz w:val="24"/>
                <w:highlight w:val="none"/>
              </w:rPr>
              <w:t>灌装好的产品进行人工包装备用。</w:t>
            </w:r>
          </w:p>
          <w:p w14:paraId="5F60525D">
            <w:pPr>
              <w:pStyle w:val="34"/>
              <w:keepNext w:val="0"/>
              <w:keepLines w:val="0"/>
              <w:widowControl/>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）隐形矫治器、防龋齿功能涂层以及注塑成型生产工艺及产污环节</w:t>
            </w:r>
          </w:p>
          <w:p w14:paraId="7B9E8280">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olor w:val="auto"/>
                <w:highlight w:val="none"/>
                <w:lang w:eastAsia="zh-CN"/>
              </w:rPr>
            </w:pPr>
          </w:p>
        </w:tc>
      </w:tr>
    </w:tbl>
    <w:p w14:paraId="7A4FA948">
      <w:pPr>
        <w:jc w:val="center"/>
        <w:rPr>
          <w:rFonts w:ascii="Times New Roman" w:hAnsi="Times New Roman" w:eastAsia="宋体" w:cs="Calibri"/>
          <w:bCs/>
          <w:color w:val="auto"/>
          <w:sz w:val="24"/>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5"/>
        <w:tblW w:w="14637"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4266"/>
      </w:tblGrid>
      <w:tr w14:paraId="258F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0" w:hRule="atLeast"/>
        </w:trPr>
        <w:tc>
          <w:tcPr>
            <w:tcW w:w="371" w:type="dxa"/>
            <w:vAlign w:val="center"/>
          </w:tcPr>
          <w:p w14:paraId="21DB72CC">
            <w:pPr>
              <w:keepNext w:val="0"/>
              <w:keepLines w:val="0"/>
              <w:suppressLineNumbers w:val="0"/>
              <w:spacing w:before="0" w:beforeAutospacing="0" w:after="0" w:afterAutospacing="0"/>
              <w:ind w:left="0" w:right="0"/>
              <w:jc w:val="both"/>
              <w:rPr>
                <w:rFonts w:hint="default" w:ascii="Times New Roman" w:hAnsi="Times New Roman" w:eastAsia="宋体"/>
                <w:color w:val="auto"/>
                <w:sz w:val="24"/>
                <w:szCs w:val="24"/>
                <w:highlight w:val="none"/>
              </w:rPr>
            </w:pPr>
            <w:r>
              <w:rPr>
                <w:rFonts w:hint="default" w:ascii="Times New Roman" w:hAnsi="Times New Roman" w:eastAsia="宋体" w:cs="Calibri"/>
                <w:bCs/>
                <w:color w:val="auto"/>
                <w:sz w:val="24"/>
                <w:highlight w:val="none"/>
              </w:rPr>
              <w:t>与项目有关的原有环境污染问题</w:t>
            </w:r>
          </w:p>
        </w:tc>
        <w:tc>
          <w:tcPr>
            <w:tcW w:w="14266" w:type="dxa"/>
          </w:tcPr>
          <w:p w14:paraId="31EEF76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firstLine="0" w:firstLineChars="0"/>
              <w:jc w:val="both"/>
              <w:textAlignment w:val="auto"/>
              <w:rPr>
                <w:rFonts w:hint="default" w:ascii="Times New Roman" w:hAnsi="Times New Roman" w:eastAsia="宋体" w:cs="Times New Roman"/>
                <w:b w:val="0"/>
                <w:bCs w:val="0"/>
                <w:color w:val="auto"/>
                <w:sz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olor w:val="auto"/>
                <w:highlight w:val="none"/>
              </w:rPr>
              <w:object>
                <v:shape id="_x0000_i1031" o:spt="75" type="#_x0000_t75" style="height:378.8pt;width:416.2pt;" o:ole="t" filled="f" o:preferrelative="t" stroked="f" coordsize="21600,21600">
                  <v:path/>
                  <v:fill on="f" focussize="0,0"/>
                  <v:stroke on="f"/>
                  <v:imagedata r:id="rId21" cropleft="-3559f" croptop="2828f" cropright="22590f" cropbottom="5910f" o:title=""/>
                  <o:lock v:ext="edit" aspectratio="t"/>
                  <w10:wrap type="none"/>
                  <w10:anchorlock/>
                </v:shape>
                <o:OLEObject Type="Embed" ProgID="Visio.Drawing.11" ShapeID="_x0000_i1031" DrawAspect="Content" ObjectID="_1468075731" r:id="rId20">
                  <o:LockedField>false</o:LockedField>
                </o:OLEObject>
              </w:object>
            </w:r>
          </w:p>
          <w:p w14:paraId="1DF75D6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Times New Roman" w:hAnsi="Times New Roman" w:eastAsia="宋体"/>
                <w:color w:val="auto"/>
                <w:highlight w:val="none"/>
                <w:lang w:eastAsia="zh-CN"/>
              </w:rPr>
            </w:pPr>
            <w:r>
              <w:rPr>
                <w:rFonts w:hint="default" w:ascii="Times New Roman" w:hAnsi="Times New Roman" w:eastAsia="宋体" w:cs="Times New Roman"/>
                <w:b/>
                <w:bCs/>
                <w:color w:val="auto"/>
                <w:kern w:val="2"/>
                <w:sz w:val="24"/>
                <w:szCs w:val="22"/>
                <w:highlight w:val="none"/>
                <w:lang w:val="en-US" w:eastAsia="zh-CN" w:bidi="ar-SA"/>
              </w:rPr>
              <w:t>图2-</w:t>
            </w:r>
            <w:r>
              <w:rPr>
                <w:rFonts w:hint="eastAsia" w:cs="Times New Roman"/>
                <w:b/>
                <w:bCs/>
                <w:color w:val="auto"/>
                <w:kern w:val="2"/>
                <w:sz w:val="24"/>
                <w:szCs w:val="22"/>
                <w:highlight w:val="none"/>
                <w:lang w:val="en-US" w:eastAsia="zh-CN" w:bidi="ar-SA"/>
              </w:rPr>
              <w:t>7</w:t>
            </w:r>
            <w:r>
              <w:rPr>
                <w:rFonts w:hint="default" w:ascii="Times New Roman" w:hAnsi="Times New Roman" w:eastAsia="宋体" w:cs="Times New Roman"/>
                <w:b/>
                <w:bCs/>
                <w:color w:val="auto"/>
                <w:kern w:val="2"/>
                <w:sz w:val="24"/>
                <w:szCs w:val="22"/>
                <w:highlight w:val="none"/>
                <w:lang w:val="en-US" w:eastAsia="zh-CN" w:bidi="ar-SA"/>
              </w:rPr>
              <w:t xml:space="preserve"> </w:t>
            </w:r>
            <w:r>
              <w:rPr>
                <w:rFonts w:hint="eastAsia" w:ascii="Times New Roman" w:hAnsi="Times New Roman" w:cs="Times New Roman"/>
                <w:b/>
                <w:bCs/>
                <w:color w:val="auto"/>
                <w:kern w:val="2"/>
                <w:sz w:val="24"/>
                <w:szCs w:val="22"/>
                <w:highlight w:val="none"/>
                <w:lang w:val="en-US" w:eastAsia="zh-CN" w:bidi="ar-SA"/>
              </w:rPr>
              <w:t>现有</w:t>
            </w:r>
            <w:r>
              <w:rPr>
                <w:rFonts w:hint="default" w:ascii="Times New Roman" w:hAnsi="Times New Roman" w:eastAsia="宋体" w:cs="Times New Roman"/>
                <w:b/>
                <w:bCs/>
                <w:color w:val="auto"/>
                <w:kern w:val="2"/>
                <w:sz w:val="24"/>
                <w:szCs w:val="22"/>
                <w:highlight w:val="none"/>
                <w:lang w:val="en-US" w:eastAsia="zh-CN" w:bidi="ar-SA"/>
              </w:rPr>
              <w:t>项目隐形矫治器、防龋齿功能涂层以及注塑成型生产工艺流程图</w:t>
            </w:r>
          </w:p>
        </w:tc>
      </w:tr>
    </w:tbl>
    <w:p w14:paraId="0B840E46">
      <w:pPr>
        <w:jc w:val="center"/>
        <w:rPr>
          <w:rFonts w:ascii="Times New Roman" w:hAnsi="Times New Roman" w:eastAsia="宋体" w:cs="Calibri"/>
          <w:bCs/>
          <w:color w:val="auto"/>
          <w:sz w:val="24"/>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5"/>
        <w:tblW w:w="9446"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8926"/>
      </w:tblGrid>
      <w:tr w14:paraId="0105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0" w:hRule="atLeast"/>
        </w:trPr>
        <w:tc>
          <w:tcPr>
            <w:tcW w:w="520" w:type="dxa"/>
            <w:vAlign w:val="center"/>
          </w:tcPr>
          <w:p w14:paraId="437C7B19">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default" w:ascii="Times New Roman" w:hAnsi="Times New Roman" w:eastAsia="宋体" w:cs="Calibri"/>
                <w:bCs/>
                <w:color w:val="auto"/>
                <w:sz w:val="24"/>
                <w:highlight w:val="none"/>
              </w:rPr>
              <w:t>与项目有关的原有环境污染问题</w:t>
            </w:r>
          </w:p>
        </w:tc>
        <w:tc>
          <w:tcPr>
            <w:tcW w:w="8926" w:type="dxa"/>
          </w:tcPr>
          <w:p w14:paraId="432CFC4F">
            <w:pPr>
              <w:pStyle w:val="34"/>
              <w:keepNext w:val="0"/>
              <w:keepLines w:val="0"/>
              <w:widowControl/>
              <w:suppressLineNumbers w:val="0"/>
              <w:spacing w:before="0" w:beforeAutospacing="0" w:after="0" w:afterAutospacing="0" w:line="360" w:lineRule="auto"/>
              <w:ind w:left="0" w:leftChars="0" w:right="0" w:firstLine="0" w:firstLineChars="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工艺流程简述：</w:t>
            </w:r>
          </w:p>
          <w:p w14:paraId="3BE144DB">
            <w:pPr>
              <w:pStyle w:val="34"/>
              <w:keepNext w:val="0"/>
              <w:keepLines w:val="0"/>
              <w:widowControl/>
              <w:suppressLineNumbers w:val="0"/>
              <w:spacing w:before="0" w:beforeAutospacing="0" w:after="0" w:afterAutospacing="0" w:line="360" w:lineRule="auto"/>
              <w:ind w:left="0" w:leftChars="0" w:right="0" w:firstLine="482" w:firstLine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（一）</w:t>
            </w:r>
            <w:r>
              <w:rPr>
                <w:rFonts w:hint="default" w:ascii="Times New Roman" w:hAnsi="Times New Roman" w:eastAsia="宋体" w:cs="Times New Roman"/>
                <w:b/>
                <w:bCs/>
                <w:color w:val="auto"/>
                <w:sz w:val="24"/>
                <w:highlight w:val="none"/>
                <w:lang w:val="en-US" w:eastAsia="zh-CN"/>
              </w:rPr>
              <w:t>隐形矫治器生产工艺</w:t>
            </w:r>
          </w:p>
          <w:p w14:paraId="066760EC">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3D打印：</w:t>
            </w:r>
            <w:r>
              <w:rPr>
                <w:rFonts w:hint="default" w:ascii="Times New Roman" w:hAnsi="Times New Roman" w:eastAsia="宋体" w:cs="Times New Roman"/>
                <w:b w:val="0"/>
                <w:bCs w:val="0"/>
                <w:color w:val="auto"/>
                <w:sz w:val="24"/>
                <w:highlight w:val="none"/>
                <w:lang w:val="en-US" w:eastAsia="zh-CN"/>
              </w:rPr>
              <w:t>利用3D打印机打印数字化的树脂模型。打印过程中光敏树脂及医用高分子材料绝大部分树脂固化成型，仅少量游离单体挥发</w:t>
            </w:r>
            <w:r>
              <w:rPr>
                <w:rFonts w:hint="eastAsia" w:ascii="Times New Roman" w:hAnsi="Times New Roman" w:eastAsia="宋体" w:cs="Times New Roman"/>
                <w:b w:val="0"/>
                <w:bCs w:val="0"/>
                <w:color w:val="auto"/>
                <w:sz w:val="24"/>
                <w:highlight w:val="none"/>
                <w:lang w:val="en-US" w:eastAsia="zh-CN"/>
              </w:rPr>
              <w:t>。</w:t>
            </w:r>
          </w:p>
          <w:p w14:paraId="6A25603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cs="Times New Roman"/>
                <w:b/>
                <w:bCs/>
                <w:color w:val="auto"/>
                <w:sz w:val="24"/>
                <w:highlight w:val="none"/>
                <w:lang w:val="en-US" w:eastAsia="zh-CN"/>
              </w:rPr>
              <w:t>甩干：</w:t>
            </w:r>
            <w:r>
              <w:rPr>
                <w:rFonts w:hint="default" w:ascii="Times New Roman" w:hAnsi="Times New Roman" w:cs="Times New Roman"/>
                <w:b w:val="0"/>
                <w:bCs w:val="0"/>
                <w:color w:val="auto"/>
                <w:sz w:val="24"/>
                <w:highlight w:val="none"/>
                <w:lang w:val="en-US" w:eastAsia="zh-CN"/>
              </w:rPr>
              <w:t>首先将打印成型后的树脂模型置于甩干机甩干，甩出的液体光敏树脂重新用于3D打印。</w:t>
            </w:r>
          </w:p>
          <w:p w14:paraId="484CA72E">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以上工序</w:t>
            </w:r>
            <w:r>
              <w:rPr>
                <w:rFonts w:hint="default" w:ascii="Times New Roman" w:hAnsi="Times New Roman" w:eastAsia="宋体" w:cs="Times New Roman"/>
                <w:b w:val="0"/>
                <w:bCs w:val="0"/>
                <w:color w:val="auto"/>
                <w:sz w:val="24"/>
                <w:highlight w:val="none"/>
                <w:lang w:val="en-US" w:eastAsia="zh-CN"/>
              </w:rPr>
              <w:t>产生打印</w:t>
            </w:r>
            <w:r>
              <w:rPr>
                <w:rFonts w:hint="eastAsia" w:ascii="Times New Roman" w:hAnsi="Times New Roman" w:eastAsia="宋体" w:cs="Times New Roman"/>
                <w:b w:val="0"/>
                <w:bCs w:val="0"/>
                <w:color w:val="auto"/>
                <w:sz w:val="24"/>
                <w:highlight w:val="none"/>
                <w:lang w:val="en-US" w:eastAsia="zh-CN"/>
              </w:rPr>
              <w:t>、甩干</w:t>
            </w:r>
            <w:r>
              <w:rPr>
                <w:rFonts w:hint="default" w:ascii="Times New Roman" w:hAnsi="Times New Roman" w:eastAsia="宋体" w:cs="Times New Roman"/>
                <w:b w:val="0"/>
                <w:bCs w:val="0"/>
                <w:color w:val="auto"/>
                <w:sz w:val="24"/>
                <w:highlight w:val="none"/>
                <w:lang w:val="en-US" w:eastAsia="zh-CN"/>
              </w:rPr>
              <w:t>废气</w:t>
            </w:r>
            <w:r>
              <w:rPr>
                <w:rFonts w:hint="eastAsia" w:cs="Times New Roman"/>
                <w:b w:val="0"/>
                <w:bCs w:val="0"/>
                <w:color w:val="auto"/>
                <w:sz w:val="24"/>
                <w:highlight w:val="none"/>
                <w:lang w:val="en-US" w:eastAsia="zh-CN"/>
              </w:rPr>
              <w:t>G和</w:t>
            </w:r>
            <w:r>
              <w:rPr>
                <w:rFonts w:hint="default" w:ascii="Times New Roman" w:hAnsi="Times New Roman" w:eastAsia="宋体" w:cs="Times New Roman"/>
                <w:b w:val="0"/>
                <w:bCs w:val="0"/>
                <w:color w:val="auto"/>
                <w:sz w:val="24"/>
                <w:highlight w:val="none"/>
                <w:lang w:val="en-US" w:eastAsia="zh-CN"/>
              </w:rPr>
              <w:t>废包装桶</w:t>
            </w:r>
            <w:r>
              <w:rPr>
                <w:rFonts w:hint="eastAsia" w:cs="Times New Roman"/>
                <w:b w:val="0"/>
                <w:bCs w:val="0"/>
                <w:color w:val="auto"/>
                <w:sz w:val="24"/>
                <w:highlight w:val="none"/>
                <w:lang w:val="en-US" w:eastAsia="zh-CN"/>
              </w:rPr>
              <w:t>S</w:t>
            </w:r>
            <w:r>
              <w:rPr>
                <w:rFonts w:hint="default" w:ascii="Times New Roman" w:hAnsi="Times New Roman" w:eastAsia="宋体" w:cs="Times New Roman"/>
                <w:b w:val="0"/>
                <w:bCs w:val="0"/>
                <w:color w:val="auto"/>
                <w:sz w:val="24"/>
                <w:highlight w:val="none"/>
                <w:lang w:val="en-US" w:eastAsia="zh-CN"/>
              </w:rPr>
              <w:t>。</w:t>
            </w:r>
          </w:p>
          <w:p w14:paraId="6C50FF8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后处理设备为成套设备，后处理工序可具体分为3个小工序，清洗、吹干、紫外固化。</w:t>
            </w:r>
          </w:p>
          <w:p w14:paraId="2E90BE2B">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bCs/>
                <w:color w:val="auto"/>
                <w:sz w:val="24"/>
                <w:highlight w:val="none"/>
                <w:lang w:val="en-US" w:eastAsia="zh-CN"/>
              </w:rPr>
              <w:t>清洗：</w:t>
            </w:r>
            <w:r>
              <w:rPr>
                <w:rFonts w:hint="default" w:ascii="Times New Roman" w:hAnsi="Times New Roman" w:cs="Times New Roman"/>
                <w:b w:val="0"/>
                <w:bCs w:val="0"/>
                <w:color w:val="auto"/>
                <w:sz w:val="24"/>
                <w:highlight w:val="none"/>
                <w:lang w:val="en-US" w:eastAsia="zh-CN"/>
              </w:rPr>
              <w:t>甩干后的树脂模型需经2道清洗用以洗掉表面残留的树脂，产生的漂洗废水作为前道碳酸丙烯酯兑水使用。清洗剂中不含氮磷。</w:t>
            </w:r>
          </w:p>
          <w:p w14:paraId="6EAC0AD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bCs/>
                <w:color w:val="auto"/>
                <w:sz w:val="24"/>
                <w:highlight w:val="none"/>
                <w:lang w:val="en-US" w:eastAsia="zh-CN"/>
              </w:rPr>
              <w:t>吹干：</w:t>
            </w:r>
            <w:r>
              <w:rPr>
                <w:rFonts w:hint="default" w:ascii="Times New Roman" w:hAnsi="Times New Roman" w:cs="Times New Roman"/>
                <w:b w:val="0"/>
                <w:bCs w:val="0"/>
                <w:color w:val="auto"/>
                <w:sz w:val="24"/>
                <w:highlight w:val="none"/>
                <w:lang w:val="en-US" w:eastAsia="zh-CN"/>
              </w:rPr>
              <w:t>将清洗完成的树脂模型置于风干机内由设备内部吹风装置吹干。</w:t>
            </w:r>
          </w:p>
          <w:p w14:paraId="0937D78E">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bCs/>
                <w:color w:val="auto"/>
                <w:sz w:val="24"/>
                <w:highlight w:val="none"/>
                <w:lang w:val="en-US" w:eastAsia="zh-CN"/>
              </w:rPr>
              <w:t>紫外固化：</w:t>
            </w:r>
            <w:r>
              <w:rPr>
                <w:rFonts w:hint="default" w:ascii="Times New Roman" w:hAnsi="Times New Roman" w:cs="Times New Roman"/>
                <w:b w:val="0"/>
                <w:bCs w:val="0"/>
                <w:color w:val="auto"/>
                <w:sz w:val="24"/>
                <w:highlight w:val="none"/>
                <w:lang w:val="en-US" w:eastAsia="zh-CN"/>
              </w:rPr>
              <w:t>为使树脂模型表面的硬度提高，需进行紫外二次固化。</w:t>
            </w:r>
          </w:p>
          <w:p w14:paraId="4E09486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后处理设备为成套设备，后处理过程中产生有机废气G</w:t>
            </w:r>
            <w:r>
              <w:rPr>
                <w:rFonts w:hint="eastAsia" w:cs="Times New Roman"/>
                <w:b w:val="0"/>
                <w:bCs w:val="0"/>
                <w:color w:val="auto"/>
                <w:sz w:val="24"/>
                <w:highlight w:val="none"/>
                <w:lang w:val="en-US" w:eastAsia="zh-CN"/>
              </w:rPr>
              <w:t>和</w:t>
            </w:r>
            <w:r>
              <w:rPr>
                <w:rFonts w:hint="default" w:ascii="Times New Roman" w:hAnsi="Times New Roman" w:cs="Times New Roman"/>
                <w:b w:val="0"/>
                <w:bCs w:val="0"/>
                <w:color w:val="auto"/>
                <w:sz w:val="24"/>
                <w:highlight w:val="none"/>
                <w:lang w:val="en-US" w:eastAsia="zh-CN"/>
              </w:rPr>
              <w:t>废清洗</w:t>
            </w:r>
            <w:r>
              <w:rPr>
                <w:rFonts w:hint="eastAsia" w:cs="Times New Roman"/>
                <w:b w:val="0"/>
                <w:bCs w:val="0"/>
                <w:color w:val="auto"/>
                <w:sz w:val="24"/>
                <w:highlight w:val="none"/>
                <w:lang w:val="en-US" w:eastAsia="zh-CN"/>
              </w:rPr>
              <w:t>液</w:t>
            </w:r>
            <w:r>
              <w:rPr>
                <w:rFonts w:hint="default" w:ascii="Times New Roman" w:hAnsi="Times New Roman" w:cs="Times New Roman"/>
                <w:b w:val="0"/>
                <w:bCs w:val="0"/>
                <w:color w:val="auto"/>
                <w:sz w:val="24"/>
                <w:highlight w:val="none"/>
                <w:lang w:val="en-US" w:eastAsia="zh-CN"/>
              </w:rPr>
              <w:t>S。</w:t>
            </w:r>
          </w:p>
          <w:p w14:paraId="3E795222">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压膜：</w:t>
            </w:r>
            <w:r>
              <w:rPr>
                <w:rFonts w:hint="default" w:ascii="Times New Roman" w:hAnsi="Times New Roman" w:eastAsia="宋体" w:cs="Times New Roman"/>
                <w:b w:val="0"/>
                <w:bCs w:val="0"/>
                <w:color w:val="auto"/>
                <w:sz w:val="24"/>
                <w:highlight w:val="none"/>
                <w:lang w:val="en-US" w:eastAsia="zh-CN"/>
              </w:rPr>
              <w:t>压膜是将聚氨酯膜片卷材直接置于自动压膜机内，电加热至200℃高温软化压在模型上，形成聚氨酯矫治器粗坯。压膜过程会产生有机废气</w:t>
            </w:r>
            <w:r>
              <w:rPr>
                <w:rFonts w:hint="eastAsia" w:cs="Times New Roman"/>
                <w:b w:val="0"/>
                <w:bCs w:val="0"/>
                <w:color w:val="auto"/>
                <w:sz w:val="24"/>
                <w:highlight w:val="none"/>
                <w:lang w:val="en-US" w:eastAsia="zh-CN"/>
              </w:rPr>
              <w:t>G</w:t>
            </w:r>
            <w:r>
              <w:rPr>
                <w:rFonts w:hint="default" w:ascii="Times New Roman" w:hAnsi="Times New Roman" w:eastAsia="宋体" w:cs="Times New Roman"/>
                <w:b w:val="0"/>
                <w:bCs w:val="0"/>
                <w:color w:val="auto"/>
                <w:sz w:val="24"/>
                <w:highlight w:val="none"/>
                <w:lang w:val="en-US" w:eastAsia="zh-CN"/>
              </w:rPr>
              <w:t>。</w:t>
            </w:r>
          </w:p>
          <w:p w14:paraId="1BAA3541">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打标、切割：</w:t>
            </w:r>
            <w:r>
              <w:rPr>
                <w:rFonts w:hint="default" w:ascii="Times New Roman" w:hAnsi="Times New Roman" w:eastAsia="宋体" w:cs="Times New Roman"/>
                <w:b w:val="0"/>
                <w:bCs w:val="0"/>
                <w:color w:val="auto"/>
                <w:sz w:val="24"/>
                <w:highlight w:val="none"/>
                <w:lang w:val="en-US" w:eastAsia="zh-CN"/>
              </w:rPr>
              <w:t>由自动激光打标机在压制成型后的矫治器粗坯上打上编号。标很小，打标时间极短仅1-2s，</w:t>
            </w:r>
            <w:r>
              <w:rPr>
                <w:rFonts w:hint="eastAsia" w:cs="Times New Roman"/>
                <w:b w:val="0"/>
                <w:bCs w:val="0"/>
                <w:color w:val="auto"/>
                <w:sz w:val="24"/>
                <w:highlight w:val="none"/>
                <w:lang w:val="en-US" w:eastAsia="zh-CN"/>
              </w:rPr>
              <w:t>产生打标废气G，</w:t>
            </w:r>
            <w:r>
              <w:rPr>
                <w:rFonts w:hint="default" w:ascii="Times New Roman" w:hAnsi="Times New Roman" w:eastAsia="宋体" w:cs="Times New Roman"/>
                <w:b w:val="0"/>
                <w:bCs w:val="0"/>
                <w:color w:val="auto"/>
                <w:sz w:val="24"/>
                <w:highlight w:val="none"/>
                <w:lang w:val="en-US" w:eastAsia="zh-CN"/>
              </w:rPr>
              <w:t>废气产生量较小，经设备自带的烟尘净化器处理后车间通风排放。</w:t>
            </w:r>
          </w:p>
          <w:p w14:paraId="128651AA">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eastAsia="zh-CN"/>
              </w:rPr>
              <w:t>打标后的矫治器粗坯经</w:t>
            </w:r>
            <w:r>
              <w:rPr>
                <w:rFonts w:hint="eastAsia" w:ascii="Times New Roman" w:hAnsi="Times New Roman" w:eastAsia="宋体" w:cs="Times New Roman"/>
                <w:b w:val="0"/>
                <w:bCs w:val="0"/>
                <w:color w:val="auto"/>
                <w:sz w:val="24"/>
                <w:highlight w:val="none"/>
                <w:lang w:val="en-US" w:eastAsia="zh-CN"/>
              </w:rPr>
              <w:t>传送带输送进入</w:t>
            </w:r>
            <w:r>
              <w:rPr>
                <w:rFonts w:hint="eastAsia" w:ascii="Times New Roman" w:hAnsi="Times New Roman" w:eastAsia="宋体" w:cs="Times New Roman"/>
                <w:b w:val="0"/>
                <w:bCs w:val="0"/>
                <w:color w:val="auto"/>
                <w:sz w:val="24"/>
                <w:highlight w:val="none"/>
                <w:lang w:eastAsia="zh-CN"/>
              </w:rPr>
              <w:t>激光切割机内部，由机械臂</w:t>
            </w:r>
            <w:r>
              <w:rPr>
                <w:rFonts w:hint="eastAsia" w:ascii="Times New Roman" w:hAnsi="Times New Roman" w:eastAsia="宋体" w:cs="Times New Roman"/>
                <w:b w:val="0"/>
                <w:bCs w:val="0"/>
                <w:color w:val="auto"/>
                <w:sz w:val="24"/>
                <w:highlight w:val="none"/>
                <w:lang w:val="en-US" w:eastAsia="zh-CN"/>
              </w:rPr>
              <w:t>自动</w:t>
            </w:r>
            <w:r>
              <w:rPr>
                <w:rFonts w:hint="eastAsia" w:ascii="Times New Roman" w:hAnsi="Times New Roman" w:eastAsia="宋体" w:cs="Times New Roman"/>
                <w:b w:val="0"/>
                <w:bCs w:val="0"/>
                <w:color w:val="auto"/>
                <w:sz w:val="24"/>
                <w:highlight w:val="none"/>
                <w:lang w:eastAsia="zh-CN"/>
              </w:rPr>
              <w:t>抓取矫治器粗坯至激光光斑下约</w:t>
            </w:r>
            <w:r>
              <w:rPr>
                <w:rFonts w:hint="eastAsia" w:ascii="Times New Roman" w:hAnsi="Times New Roman" w:eastAsia="宋体" w:cs="Times New Roman"/>
                <w:b w:val="0"/>
                <w:bCs w:val="0"/>
                <w:color w:val="auto"/>
                <w:sz w:val="24"/>
                <w:highlight w:val="none"/>
                <w:lang w:val="en-US" w:eastAsia="zh-CN"/>
              </w:rPr>
              <w:t>10cm处，按照激光切割系统提前设置好的切割参数</w:t>
            </w:r>
            <w:r>
              <w:rPr>
                <w:rFonts w:hint="eastAsia" w:cs="Times New Roman"/>
                <w:b w:val="0"/>
                <w:bCs w:val="0"/>
                <w:color w:val="auto"/>
                <w:sz w:val="24"/>
                <w:highlight w:val="none"/>
                <w:lang w:val="en-US" w:eastAsia="zh-CN"/>
              </w:rPr>
              <w:t>进行切割。</w:t>
            </w:r>
            <w:r>
              <w:rPr>
                <w:rFonts w:hint="eastAsia" w:ascii="Times New Roman" w:hAnsi="Times New Roman" w:eastAsia="宋体" w:cs="Times New Roman"/>
                <w:b w:val="0"/>
                <w:bCs w:val="0"/>
                <w:color w:val="auto"/>
                <w:sz w:val="24"/>
                <w:highlight w:val="none"/>
                <w:lang w:val="en-US" w:eastAsia="zh-CN"/>
              </w:rPr>
              <w:t>激光切割全过程设备密闭，仅留传送带进出口。</w:t>
            </w:r>
            <w:r>
              <w:rPr>
                <w:rFonts w:hint="eastAsia" w:ascii="Times New Roman" w:hAnsi="Times New Roman" w:eastAsia="宋体" w:cs="Times New Roman"/>
                <w:color w:val="auto"/>
                <w:sz w:val="24"/>
                <w:highlight w:val="none"/>
                <w:lang w:val="en-US" w:eastAsia="zh-CN"/>
              </w:rPr>
              <w:t>激光切割</w:t>
            </w:r>
            <w:r>
              <w:rPr>
                <w:rFonts w:hint="default" w:ascii="Times New Roman" w:hAnsi="Times New Roman" w:eastAsia="宋体" w:cs="Times New Roman"/>
                <w:color w:val="auto"/>
                <w:sz w:val="24"/>
                <w:highlight w:val="none"/>
              </w:rPr>
              <w:t>过程</w:t>
            </w:r>
            <w:r>
              <w:rPr>
                <w:rFonts w:hint="eastAsia"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rPr>
              <w:t>产生</w:t>
            </w:r>
            <w:r>
              <w:rPr>
                <w:rFonts w:hint="eastAsia" w:cs="Times New Roman"/>
                <w:color w:val="auto"/>
                <w:sz w:val="24"/>
                <w:highlight w:val="none"/>
                <w:lang w:val="en-US" w:eastAsia="zh-CN"/>
              </w:rPr>
              <w:t>激光切割废气G和聚氨酯膜片边角料S</w:t>
            </w:r>
            <w:r>
              <w:rPr>
                <w:rFonts w:hint="default" w:ascii="Times New Roman" w:hAnsi="Times New Roman" w:eastAsia="宋体" w:cs="Times New Roman"/>
                <w:color w:val="auto"/>
                <w:sz w:val="24"/>
                <w:highlight w:val="none"/>
              </w:rPr>
              <w:t>。</w:t>
            </w:r>
          </w:p>
          <w:p w14:paraId="261EA41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手工</w:t>
            </w:r>
            <w:r>
              <w:rPr>
                <w:rFonts w:hint="eastAsia" w:ascii="Times New Roman" w:hAnsi="Times New Roman" w:eastAsia="宋体" w:cs="Times New Roman"/>
                <w:b/>
                <w:bCs/>
                <w:color w:val="auto"/>
                <w:sz w:val="24"/>
                <w:highlight w:val="none"/>
                <w:lang w:val="en-US" w:eastAsia="zh-CN"/>
              </w:rPr>
              <w:t>脱膜</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先人工去除矫治器粗坯多余杂边，后将其与模型分离开，杂边废弃产生膜片边角料</w:t>
            </w:r>
            <w:r>
              <w:rPr>
                <w:rFonts w:hint="eastAsia" w:cs="Times New Roman"/>
                <w:b w:val="0"/>
                <w:bCs w:val="0"/>
                <w:color w:val="auto"/>
                <w:sz w:val="24"/>
                <w:highlight w:val="none"/>
                <w:lang w:val="en-US" w:eastAsia="zh-CN"/>
              </w:rPr>
              <w:t>S和</w:t>
            </w:r>
            <w:r>
              <w:rPr>
                <w:rFonts w:hint="default" w:ascii="Times New Roman" w:hAnsi="Times New Roman" w:eastAsia="宋体" w:cs="Times New Roman"/>
                <w:b w:val="0"/>
                <w:bCs w:val="0"/>
                <w:color w:val="auto"/>
                <w:sz w:val="24"/>
                <w:highlight w:val="none"/>
                <w:lang w:val="en-US" w:eastAsia="zh-CN"/>
              </w:rPr>
              <w:t>废模型</w:t>
            </w:r>
            <w:r>
              <w:rPr>
                <w:rFonts w:hint="eastAsia" w:cs="Times New Roman"/>
                <w:b w:val="0"/>
                <w:bCs w:val="0"/>
                <w:color w:val="auto"/>
                <w:sz w:val="24"/>
                <w:highlight w:val="none"/>
                <w:lang w:val="en-US" w:eastAsia="zh-CN"/>
              </w:rPr>
              <w:t>S</w:t>
            </w:r>
            <w:r>
              <w:rPr>
                <w:rFonts w:hint="default" w:ascii="Times New Roman" w:hAnsi="Times New Roman" w:eastAsia="宋体" w:cs="Times New Roman"/>
                <w:b w:val="0"/>
                <w:bCs w:val="0"/>
                <w:color w:val="auto"/>
                <w:sz w:val="24"/>
                <w:highlight w:val="none"/>
                <w:lang w:val="en-US" w:eastAsia="zh-CN"/>
              </w:rPr>
              <w:t>。</w:t>
            </w:r>
          </w:p>
          <w:p w14:paraId="7F43DA53">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抛光：</w:t>
            </w:r>
            <w:r>
              <w:rPr>
                <w:rFonts w:hint="default" w:ascii="Times New Roman" w:hAnsi="Times New Roman" w:eastAsia="宋体" w:cs="Times New Roman"/>
                <w:b w:val="0"/>
                <w:bCs w:val="0"/>
                <w:color w:val="auto"/>
                <w:sz w:val="24"/>
                <w:highlight w:val="none"/>
                <w:lang w:val="en-US" w:eastAsia="zh-CN"/>
              </w:rPr>
              <w:t>专门设置抛光工作台，在各个工位上加装罩子，罩子上仅留双手进出孔洞。该过程产生抛光粉尘</w:t>
            </w:r>
            <w:r>
              <w:rPr>
                <w:rFonts w:hint="eastAsia" w:cs="Times New Roman"/>
                <w:b w:val="0"/>
                <w:bCs w:val="0"/>
                <w:color w:val="auto"/>
                <w:sz w:val="24"/>
                <w:highlight w:val="none"/>
                <w:lang w:val="en-US" w:eastAsia="zh-CN"/>
              </w:rPr>
              <w:t>G</w:t>
            </w:r>
            <w:r>
              <w:rPr>
                <w:rFonts w:hint="default" w:ascii="Times New Roman" w:hAnsi="Times New Roman" w:eastAsia="宋体" w:cs="Times New Roman"/>
                <w:b w:val="0"/>
                <w:bCs w:val="0"/>
                <w:color w:val="auto"/>
                <w:sz w:val="24"/>
                <w:highlight w:val="none"/>
                <w:lang w:val="en-US" w:eastAsia="zh-CN"/>
              </w:rPr>
              <w:t>。</w:t>
            </w:r>
          </w:p>
          <w:p w14:paraId="6EE49C61">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研磨：</w:t>
            </w:r>
            <w:r>
              <w:rPr>
                <w:rFonts w:hint="default" w:ascii="Times New Roman" w:hAnsi="Times New Roman" w:eastAsia="宋体" w:cs="Times New Roman"/>
                <w:b w:val="0"/>
                <w:bCs w:val="0"/>
                <w:color w:val="auto"/>
                <w:sz w:val="24"/>
                <w:highlight w:val="none"/>
                <w:lang w:val="en-US" w:eastAsia="zh-CN"/>
              </w:rPr>
              <w:t>将压膜压制成型的矫治器粗坯，直接放入研磨机中自动研磨，研磨机内放置陶瓷颗粒并不断通入自来水湿式研磨，磨渣经水流一并进入研磨废水。研磨废水经过滤设备过滤后回用于本工段，定期更换废液，产生研磨废液（渣）</w:t>
            </w:r>
            <w:r>
              <w:rPr>
                <w:rFonts w:hint="eastAsia" w:cs="Times New Roman"/>
                <w:b w:val="0"/>
                <w:bCs w:val="0"/>
                <w:color w:val="auto"/>
                <w:sz w:val="24"/>
                <w:highlight w:val="none"/>
                <w:lang w:val="en-US" w:eastAsia="zh-CN"/>
              </w:rPr>
              <w:t>S</w:t>
            </w:r>
            <w:r>
              <w:rPr>
                <w:rFonts w:hint="default" w:ascii="Times New Roman" w:hAnsi="Times New Roman" w:eastAsia="宋体" w:cs="Times New Roman"/>
                <w:b w:val="0"/>
                <w:bCs w:val="0"/>
                <w:color w:val="auto"/>
                <w:sz w:val="24"/>
                <w:highlight w:val="none"/>
                <w:lang w:val="en-US" w:eastAsia="zh-CN"/>
              </w:rPr>
              <w:t>。</w:t>
            </w:r>
          </w:p>
          <w:p w14:paraId="19C40A4A">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超声波清洗及晾干：</w:t>
            </w:r>
            <w:r>
              <w:rPr>
                <w:rFonts w:hint="default" w:ascii="Times New Roman" w:hAnsi="Times New Roman" w:eastAsia="宋体" w:cs="Times New Roman"/>
                <w:b w:val="0"/>
                <w:bCs w:val="0"/>
                <w:color w:val="auto"/>
                <w:sz w:val="24"/>
                <w:highlight w:val="none"/>
                <w:lang w:val="en-US" w:eastAsia="zh-CN"/>
              </w:rPr>
              <w:t>将以上所有打磨好的矫治器放入超声波自动化清洗装置中利用自来水震动进一步清洁，清洗完成后自动沥干水分并完全晾干。此工序使用自来水冲洗，不添加任何清洗剂，常温下进行清洗，产生清洗废水</w:t>
            </w:r>
            <w:r>
              <w:rPr>
                <w:rFonts w:hint="eastAsia" w:cs="Times New Roman"/>
                <w:b w:val="0"/>
                <w:bCs w:val="0"/>
                <w:color w:val="auto"/>
                <w:sz w:val="24"/>
                <w:highlight w:val="none"/>
                <w:lang w:val="en-US" w:eastAsia="zh-CN"/>
              </w:rPr>
              <w:t>W</w:t>
            </w:r>
            <w:r>
              <w:rPr>
                <w:rFonts w:hint="default" w:ascii="Times New Roman" w:hAnsi="Times New Roman" w:eastAsia="宋体" w:cs="Times New Roman"/>
                <w:b w:val="0"/>
                <w:bCs w:val="0"/>
                <w:color w:val="auto"/>
                <w:sz w:val="24"/>
                <w:highlight w:val="none"/>
                <w:lang w:val="en-US" w:eastAsia="zh-CN"/>
              </w:rPr>
              <w:t>。</w:t>
            </w:r>
          </w:p>
          <w:p w14:paraId="3819FBA4">
            <w:pPr>
              <w:keepNext w:val="0"/>
              <w:keepLines w:val="0"/>
              <w:widowControl/>
              <w:suppressLineNumbers w:val="0"/>
              <w:spacing w:before="0" w:beforeAutospacing="0" w:after="0" w:afterAutospacing="0" w:line="360" w:lineRule="auto"/>
              <w:ind w:left="0" w:leftChars="0" w:right="0"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（二）防龋齿功能涂层生产工艺</w:t>
            </w:r>
          </w:p>
          <w:p w14:paraId="0ADBD0D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喷涂烘干：</w:t>
            </w:r>
            <w:r>
              <w:rPr>
                <w:rFonts w:hint="default" w:ascii="Times New Roman" w:hAnsi="Times New Roman" w:eastAsia="宋体" w:cs="Times New Roman"/>
                <w:b w:val="0"/>
                <w:bCs w:val="0"/>
                <w:color w:val="auto"/>
                <w:sz w:val="24"/>
                <w:highlight w:val="none"/>
                <w:lang w:val="en-US" w:eastAsia="zh-CN"/>
              </w:rPr>
              <w:t>加工好的隐形矫治器根据客户需要使用矫治器自动喷涂机进行自动喷涂，矫治器自动喷涂机自带烘干功能（电加热，烘干温度控制在60℃），该工序产生有机废气</w:t>
            </w:r>
            <w:r>
              <w:rPr>
                <w:rFonts w:hint="eastAsia" w:cs="Times New Roman"/>
                <w:b w:val="0"/>
                <w:bCs w:val="0"/>
                <w:color w:val="auto"/>
                <w:sz w:val="24"/>
                <w:highlight w:val="none"/>
                <w:lang w:val="en-US" w:eastAsia="zh-CN"/>
              </w:rPr>
              <w:t>G</w:t>
            </w:r>
            <w:r>
              <w:rPr>
                <w:rFonts w:hint="default" w:ascii="Times New Roman" w:hAnsi="Times New Roman" w:eastAsia="宋体" w:cs="Times New Roman"/>
                <w:b w:val="0"/>
                <w:bCs w:val="0"/>
                <w:color w:val="auto"/>
                <w:sz w:val="24"/>
                <w:highlight w:val="none"/>
                <w:lang w:val="en-US" w:eastAsia="zh-CN"/>
              </w:rPr>
              <w:t>和噪声</w:t>
            </w:r>
            <w:r>
              <w:rPr>
                <w:rFonts w:hint="eastAsia" w:cs="Times New Roman"/>
                <w:b w:val="0"/>
                <w:bCs w:val="0"/>
                <w:color w:val="auto"/>
                <w:sz w:val="24"/>
                <w:highlight w:val="none"/>
                <w:lang w:val="en-US" w:eastAsia="zh-CN"/>
              </w:rPr>
              <w:t>N</w:t>
            </w:r>
            <w:r>
              <w:rPr>
                <w:rFonts w:hint="default" w:ascii="Times New Roman" w:hAnsi="Times New Roman" w:eastAsia="宋体" w:cs="Times New Roman"/>
                <w:b w:val="0"/>
                <w:bCs w:val="0"/>
                <w:color w:val="auto"/>
                <w:sz w:val="24"/>
                <w:highlight w:val="none"/>
                <w:lang w:val="en-US" w:eastAsia="zh-CN"/>
              </w:rPr>
              <w:t>。</w:t>
            </w:r>
          </w:p>
          <w:p w14:paraId="07F1E8C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喷涂后的矫治器与不需要喷涂的矫治器一同进行检验。</w:t>
            </w:r>
          </w:p>
          <w:p w14:paraId="5023E899">
            <w:pPr>
              <w:keepNext w:val="0"/>
              <w:keepLines w:val="0"/>
              <w:widowControl/>
              <w:suppressLineNumbers w:val="0"/>
              <w:spacing w:before="0" w:beforeAutospacing="0" w:after="0" w:afterAutospacing="0" w:line="360" w:lineRule="auto"/>
              <w:ind w:left="0" w:leftChars="0" w:right="0" w:firstLine="482" w:firstLineChars="20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检验：</w:t>
            </w:r>
            <w:r>
              <w:rPr>
                <w:rFonts w:hint="default" w:ascii="Times New Roman" w:hAnsi="Times New Roman" w:eastAsia="宋体" w:cs="Times New Roman"/>
                <w:b w:val="0"/>
                <w:bCs w:val="0"/>
                <w:color w:val="auto"/>
                <w:sz w:val="24"/>
                <w:highlight w:val="none"/>
                <w:lang w:val="en-US" w:eastAsia="zh-CN"/>
              </w:rPr>
              <w:t>使用质检设备检测矫治器变形度、规整度等外形指标。检验不合格品返工修正。</w:t>
            </w:r>
          </w:p>
          <w:p w14:paraId="2F8597AA">
            <w:pPr>
              <w:keepNext w:val="0"/>
              <w:keepLines w:val="0"/>
              <w:widowControl/>
              <w:suppressLineNumbers w:val="0"/>
              <w:spacing w:before="0" w:beforeAutospacing="0" w:after="0" w:afterAutospacing="0" w:line="360" w:lineRule="auto"/>
              <w:ind w:left="0" w:leftChars="0" w:right="0"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（三）注塑成型生产工艺</w:t>
            </w:r>
          </w:p>
          <w:p w14:paraId="52EEFF4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根据客户需要，少量矫治器需配备天使扣，天使扣工艺如下：</w:t>
            </w:r>
          </w:p>
          <w:p w14:paraId="1001B38B">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上料：</w:t>
            </w:r>
            <w:r>
              <w:rPr>
                <w:rFonts w:hint="default" w:ascii="Times New Roman" w:hAnsi="Times New Roman" w:eastAsia="宋体" w:cs="Times New Roman"/>
                <w:b w:val="0"/>
                <w:bCs w:val="0"/>
                <w:color w:val="auto"/>
                <w:sz w:val="24"/>
                <w:highlight w:val="none"/>
                <w:lang w:val="en-US" w:eastAsia="zh-CN"/>
              </w:rPr>
              <w:t>人工将聚碳酸酯塑料粒子投入到注塑机</w:t>
            </w:r>
            <w:r>
              <w:rPr>
                <w:rFonts w:hint="eastAsia" w:ascii="Times New Roman" w:hAnsi="Times New Roman" w:eastAsia="宋体" w:cs="Times New Roman"/>
                <w:b w:val="0"/>
                <w:bCs w:val="0"/>
                <w:color w:val="auto"/>
                <w:sz w:val="24"/>
                <w:highlight w:val="none"/>
                <w:lang w:val="en-US" w:eastAsia="zh-CN"/>
              </w:rPr>
              <w:t>前端</w:t>
            </w:r>
            <w:r>
              <w:rPr>
                <w:rFonts w:hint="default" w:ascii="Times New Roman" w:hAnsi="Times New Roman" w:eastAsia="宋体" w:cs="Times New Roman"/>
                <w:b w:val="0"/>
                <w:bCs w:val="0"/>
                <w:color w:val="auto"/>
                <w:sz w:val="24"/>
                <w:highlight w:val="none"/>
                <w:lang w:val="en-US" w:eastAsia="zh-CN"/>
              </w:rPr>
              <w:t>配套的料仓中。</w:t>
            </w:r>
          </w:p>
          <w:p w14:paraId="2B5E128F">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烘干：</w:t>
            </w:r>
            <w:r>
              <w:rPr>
                <w:rFonts w:hint="default" w:ascii="Times New Roman" w:hAnsi="Times New Roman" w:eastAsia="宋体" w:cs="Times New Roman"/>
                <w:b w:val="0"/>
                <w:bCs w:val="0"/>
                <w:color w:val="auto"/>
                <w:sz w:val="24"/>
                <w:highlight w:val="none"/>
                <w:lang w:val="en-US" w:eastAsia="zh-CN"/>
              </w:rPr>
              <w:t>塑料粒子进行注塑成型前使用注塑机通道中配套烘道（电加热，烘干温度控制在6</w:t>
            </w:r>
            <w:r>
              <w:rPr>
                <w:rFonts w:hint="eastAsia" w:ascii="Times New Roman" w:hAnsi="Times New Roman" w:eastAsia="宋体" w:cs="Times New Roman"/>
                <w:b w:val="0"/>
                <w:bCs w:val="0"/>
                <w:color w:val="auto"/>
                <w:sz w:val="24"/>
                <w:highlight w:val="none"/>
                <w:lang w:val="en-US" w:eastAsia="zh-CN"/>
              </w:rPr>
              <w:t>0</w:t>
            </w:r>
            <w:r>
              <w:rPr>
                <w:rFonts w:hint="default" w:ascii="Times New Roman" w:hAnsi="Times New Roman" w:eastAsia="宋体" w:cs="Times New Roman"/>
                <w:b w:val="0"/>
                <w:bCs w:val="0"/>
                <w:color w:val="auto"/>
                <w:sz w:val="24"/>
                <w:highlight w:val="none"/>
                <w:lang w:val="en-US" w:eastAsia="zh-CN"/>
              </w:rPr>
              <w:t>℃）烘干物料上的水分，确保塑料粒子的干燥性，该工序产生噪声N。</w:t>
            </w:r>
          </w:p>
          <w:p w14:paraId="44DDDE59">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注塑成型：</w:t>
            </w:r>
            <w:r>
              <w:rPr>
                <w:rFonts w:hint="default" w:ascii="Times New Roman" w:hAnsi="Times New Roman" w:eastAsia="宋体" w:cs="Times New Roman"/>
                <w:b w:val="0"/>
                <w:bCs w:val="0"/>
                <w:color w:val="auto"/>
                <w:sz w:val="24"/>
                <w:highlight w:val="none"/>
                <w:lang w:val="en-US" w:eastAsia="zh-CN"/>
              </w:rPr>
              <w:t>使用注塑机对烘干后的塑料粒子进行注塑成型（电加热，温度控制在150℃)，该工序产生有机废气</w:t>
            </w:r>
            <w:r>
              <w:rPr>
                <w:rFonts w:hint="eastAsia" w:cs="Times New Roman"/>
                <w:b w:val="0"/>
                <w:bCs w:val="0"/>
                <w:color w:val="auto"/>
                <w:sz w:val="24"/>
                <w:highlight w:val="none"/>
                <w:lang w:val="en-US" w:eastAsia="zh-CN"/>
              </w:rPr>
              <w:t>G</w:t>
            </w:r>
            <w:r>
              <w:rPr>
                <w:rFonts w:hint="default" w:ascii="Times New Roman" w:hAnsi="Times New Roman" w:eastAsia="宋体" w:cs="Times New Roman"/>
                <w:b w:val="0"/>
                <w:bCs w:val="0"/>
                <w:color w:val="auto"/>
                <w:sz w:val="24"/>
                <w:highlight w:val="none"/>
                <w:lang w:val="en-US" w:eastAsia="zh-CN"/>
              </w:rPr>
              <w:t>和噪声</w:t>
            </w:r>
            <w:r>
              <w:rPr>
                <w:rFonts w:hint="eastAsia" w:cs="Times New Roman"/>
                <w:b w:val="0"/>
                <w:bCs w:val="0"/>
                <w:color w:val="auto"/>
                <w:sz w:val="24"/>
                <w:highlight w:val="none"/>
                <w:lang w:val="en-US" w:eastAsia="zh-CN"/>
              </w:rPr>
              <w:t>N</w:t>
            </w:r>
            <w:r>
              <w:rPr>
                <w:rFonts w:hint="default" w:ascii="Times New Roman" w:hAnsi="Times New Roman" w:eastAsia="宋体" w:cs="Times New Roman"/>
                <w:b w:val="0"/>
                <w:bCs w:val="0"/>
                <w:color w:val="auto"/>
                <w:sz w:val="24"/>
                <w:highlight w:val="none"/>
                <w:lang w:val="en-US" w:eastAsia="zh-CN"/>
              </w:rPr>
              <w:t>。</w:t>
            </w:r>
          </w:p>
          <w:p w14:paraId="35B182E8">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打标切割：</w:t>
            </w:r>
            <w:r>
              <w:rPr>
                <w:rFonts w:hint="default" w:ascii="Times New Roman" w:hAnsi="Times New Roman" w:eastAsia="宋体" w:cs="Times New Roman"/>
                <w:b w:val="0"/>
                <w:bCs w:val="0"/>
                <w:color w:val="auto"/>
                <w:sz w:val="24"/>
                <w:highlight w:val="none"/>
                <w:lang w:val="en-US" w:eastAsia="zh-CN"/>
              </w:rPr>
              <w:t>利用现有自动打标切割线对注塑成型好的天使扣进行打标切割，该工序产生天使扣边角料</w:t>
            </w:r>
            <w:r>
              <w:rPr>
                <w:rFonts w:hint="eastAsia" w:cs="Times New Roman"/>
                <w:b w:val="0"/>
                <w:bCs w:val="0"/>
                <w:color w:val="auto"/>
                <w:sz w:val="24"/>
                <w:highlight w:val="none"/>
                <w:lang w:val="en-US" w:eastAsia="zh-CN"/>
              </w:rPr>
              <w:t>S和激光切割废气G</w:t>
            </w:r>
            <w:r>
              <w:rPr>
                <w:rFonts w:hint="default" w:ascii="Times New Roman" w:hAnsi="Times New Roman" w:eastAsia="宋体" w:cs="Times New Roman"/>
                <w:b w:val="0"/>
                <w:bCs w:val="0"/>
                <w:color w:val="auto"/>
                <w:sz w:val="24"/>
                <w:highlight w:val="none"/>
                <w:lang w:val="en-US" w:eastAsia="zh-CN"/>
              </w:rPr>
              <w:t>。</w:t>
            </w:r>
          </w:p>
          <w:p w14:paraId="40FC8C10">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包装：</w:t>
            </w:r>
            <w:r>
              <w:rPr>
                <w:rFonts w:hint="default" w:ascii="Times New Roman" w:hAnsi="Times New Roman" w:eastAsia="宋体" w:cs="Times New Roman"/>
                <w:b w:val="0"/>
                <w:bCs w:val="0"/>
                <w:color w:val="auto"/>
                <w:sz w:val="24"/>
                <w:highlight w:val="none"/>
                <w:lang w:val="en-US" w:eastAsia="zh-CN"/>
              </w:rPr>
              <w:t>注塑成型好的产品进行人工包装备用。</w:t>
            </w:r>
          </w:p>
          <w:p w14:paraId="54CDD674">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检验合格的矫治器根据客户需要与包装后的天使扣一起进行分拣内包。</w:t>
            </w:r>
          </w:p>
          <w:p w14:paraId="4D83D372">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分拣内包：</w:t>
            </w:r>
            <w:r>
              <w:rPr>
                <w:rFonts w:hint="default" w:ascii="Times New Roman" w:hAnsi="Times New Roman" w:eastAsia="宋体" w:cs="Times New Roman"/>
                <w:b w:val="0"/>
                <w:bCs w:val="0"/>
                <w:color w:val="auto"/>
                <w:sz w:val="24"/>
                <w:highlight w:val="none"/>
                <w:lang w:val="en-US" w:eastAsia="zh-CN"/>
              </w:rPr>
              <w:t>检验合格的矫治器通过分拣线自动套袋完成内包工作。</w:t>
            </w:r>
          </w:p>
          <w:p w14:paraId="49175E46">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sz w:val="24"/>
                <w:highlight w:val="none"/>
                <w:lang w:val="en-US" w:eastAsia="zh-CN"/>
              </w:rPr>
              <w:t>外包：</w:t>
            </w:r>
            <w:r>
              <w:rPr>
                <w:rFonts w:hint="default" w:ascii="Times New Roman" w:hAnsi="Times New Roman" w:eastAsia="宋体" w:cs="Times New Roman"/>
                <w:b w:val="0"/>
                <w:bCs w:val="0"/>
                <w:color w:val="auto"/>
                <w:sz w:val="24"/>
                <w:highlight w:val="none"/>
                <w:lang w:val="en-US" w:eastAsia="zh-CN"/>
              </w:rPr>
              <w:t>通过自动包装线完成装箱外包工作</w:t>
            </w:r>
            <w:r>
              <w:rPr>
                <w:rFonts w:hint="eastAsia" w:cs="Times New Roman"/>
                <w:b w:val="0"/>
                <w:bCs w:val="0"/>
                <w:color w:val="auto"/>
                <w:sz w:val="24"/>
                <w:highlight w:val="none"/>
                <w:lang w:val="en-US" w:eastAsia="zh-CN"/>
              </w:rPr>
              <w:t>。</w:t>
            </w:r>
          </w:p>
        </w:tc>
      </w:tr>
    </w:tbl>
    <w:p w14:paraId="343F814B">
      <w:pPr>
        <w:pStyle w:val="11"/>
        <w:rPr>
          <w:rFonts w:ascii="Times New Roman" w:hAnsi="Times New Roman" w:eastAsia="宋体"/>
          <w:color w:val="auto"/>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5"/>
        <w:tblW w:w="14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3741"/>
      </w:tblGrid>
      <w:tr w14:paraId="355A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4" w:hRule="atLeast"/>
        </w:trPr>
        <w:tc>
          <w:tcPr>
            <w:tcW w:w="459" w:type="dxa"/>
          </w:tcPr>
          <w:p w14:paraId="510FC8EE">
            <w:pPr>
              <w:pStyle w:val="12"/>
              <w:keepNext w:val="0"/>
              <w:keepLines w:val="0"/>
              <w:suppressLineNumbers w:val="0"/>
              <w:spacing w:before="0" w:beforeAutospacing="0" w:after="0" w:afterAutospacing="0"/>
              <w:ind w:left="0" w:right="0"/>
              <w:rPr>
                <w:rFonts w:hint="default"/>
                <w:color w:val="auto"/>
                <w:highlight w:val="none"/>
                <w:vertAlign w:val="baseline"/>
              </w:rPr>
            </w:pPr>
          </w:p>
        </w:tc>
        <w:tc>
          <w:tcPr>
            <w:tcW w:w="13741" w:type="dxa"/>
          </w:tcPr>
          <w:p w14:paraId="090BBA3A">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textAlignment w:val="auto"/>
              <w:rPr>
                <w:rFonts w:hint="default" w:ascii="Times New Roman" w:hAnsi="Times New Roman" w:eastAsia="宋体" w:cs="Times New Roman"/>
                <w:b/>
                <w:color w:val="auto"/>
                <w:sz w:val="24"/>
                <w:szCs w:val="24"/>
                <w:highlight w:val="none"/>
                <w:lang w:val="en-US" w:eastAsia="zh-CN"/>
              </w:rPr>
            </w:pPr>
            <w:bookmarkStart w:id="5" w:name="_Toc5950"/>
            <w:r>
              <w:rPr>
                <w:rStyle w:val="29"/>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color w:val="auto"/>
                <w:sz w:val="24"/>
                <w:szCs w:val="24"/>
                <w:highlight w:val="none"/>
                <w:lang w:val="en-US" w:eastAsia="zh-CN"/>
              </w:rPr>
              <w:t>、现有项目污染物产生和排放情况</w:t>
            </w:r>
            <w:bookmarkEnd w:id="5"/>
          </w:p>
          <w:p w14:paraId="17C5E135">
            <w:pPr>
              <w:pStyle w:val="3"/>
              <w:keepNext/>
              <w:keepLines/>
              <w:pageBreakBefore w:val="0"/>
              <w:widowControl w:val="0"/>
              <w:numPr>
                <w:ilvl w:val="0"/>
                <w:numId w:val="0"/>
              </w:numPr>
              <w:suppressLineNumbers w:val="0"/>
              <w:kinsoku/>
              <w:wordWrap/>
              <w:overflowPunct/>
              <w:topLinePunct w:val="0"/>
              <w:autoSpaceDE/>
              <w:autoSpaceDN/>
              <w:bidi w:val="0"/>
              <w:adjustRightInd/>
              <w:snapToGrid/>
              <w:spacing w:before="0" w:beforeLines="0" w:after="0" w:line="360" w:lineRule="auto"/>
              <w:ind w:left="0" w:right="0" w:firstLine="482" w:firstLineChars="200"/>
              <w:textAlignment w:val="auto"/>
              <w:rPr>
                <w:rStyle w:val="29"/>
                <w:rFonts w:hint="default" w:ascii="Times New Roman" w:hAnsi="Times New Roman" w:eastAsia="宋体" w:cs="Times New Roman"/>
                <w:b w:val="0"/>
                <w:bCs w:val="0"/>
                <w:color w:val="auto"/>
                <w:sz w:val="24"/>
                <w:szCs w:val="24"/>
                <w:highlight w:val="none"/>
                <w:lang w:val="en-US" w:eastAsia="zh-CN"/>
              </w:rPr>
            </w:pPr>
            <w:bookmarkStart w:id="6" w:name="_Toc9262"/>
            <w:r>
              <w:rPr>
                <w:rFonts w:hint="eastAsia" w:ascii="Times New Roman" w:hAnsi="Times New Roman" w:eastAsia="宋体" w:cs="Times New Roman"/>
                <w:b/>
                <w:color w:val="auto"/>
                <w:sz w:val="24"/>
                <w:szCs w:val="24"/>
                <w:highlight w:val="none"/>
                <w:lang w:val="en-US" w:eastAsia="zh-CN"/>
              </w:rPr>
              <w:t>（1）废气产生及排放情况</w:t>
            </w:r>
            <w:bookmarkEnd w:id="6"/>
          </w:p>
          <w:p w14:paraId="15E03790">
            <w:pPr>
              <w:pStyle w:val="15"/>
              <w:keepNext w:val="0"/>
              <w:keepLines w:val="0"/>
              <w:pageBreakBefore w:val="0"/>
              <w:widowControl/>
              <w:suppressLineNumbers w:val="0"/>
              <w:tabs>
                <w:tab w:val="left" w:pos="603"/>
              </w:tabs>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Style w:val="29"/>
                <w:rFonts w:hint="default" w:ascii="Times New Roman" w:hAnsi="Times New Roman" w:eastAsia="宋体" w:cs="Times New Roman"/>
                <w:b/>
                <w:bCs/>
                <w:color w:val="auto"/>
                <w:sz w:val="24"/>
                <w:szCs w:val="24"/>
                <w:highlight w:val="none"/>
                <w:lang w:val="en-US" w:eastAsia="zh-CN"/>
              </w:rPr>
            </w:pPr>
            <w:r>
              <w:rPr>
                <w:rStyle w:val="29"/>
                <w:rFonts w:hint="eastAsia" w:ascii="Times New Roman" w:hAnsi="Times New Roman" w:eastAsia="宋体" w:cs="Times New Roman"/>
                <w:b/>
                <w:bCs/>
                <w:color w:val="auto"/>
                <w:kern w:val="2"/>
                <w:sz w:val="24"/>
                <w:szCs w:val="24"/>
                <w:highlight w:val="none"/>
                <w:lang w:val="en-US" w:eastAsia="zh-CN"/>
              </w:rPr>
              <w:t>①已建投产部分</w:t>
            </w:r>
          </w:p>
          <w:p w14:paraId="089B14C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2"/>
                <w:sz w:val="24"/>
                <w:szCs w:val="24"/>
                <w:highlight w:val="none"/>
                <w:shd w:val="clear" w:color="auto" w:fill="auto"/>
                <w:lang w:val="en-US" w:eastAsia="zh-CN"/>
              </w:rPr>
            </w:pPr>
            <w:r>
              <w:rPr>
                <w:rFonts w:hint="default" w:ascii="Times New Roman" w:hAnsi="Times New Roman" w:eastAsia="宋体" w:cs="Times New Roman"/>
                <w:b/>
                <w:bCs/>
                <w:color w:val="auto"/>
                <w:kern w:val="2"/>
                <w:sz w:val="24"/>
                <w:szCs w:val="24"/>
                <w:highlight w:val="none"/>
                <w:shd w:val="clear" w:color="auto" w:fill="auto"/>
              </w:rPr>
              <w:t>表2-</w:t>
            </w:r>
            <w:r>
              <w:rPr>
                <w:rFonts w:hint="eastAsia" w:cs="Times New Roman"/>
                <w:b/>
                <w:bCs/>
                <w:color w:val="auto"/>
                <w:kern w:val="2"/>
                <w:sz w:val="24"/>
                <w:szCs w:val="24"/>
                <w:highlight w:val="none"/>
                <w:shd w:val="clear" w:color="auto" w:fill="auto"/>
                <w:lang w:val="en-US" w:eastAsia="zh-CN"/>
              </w:rPr>
              <w:t>9</w:t>
            </w:r>
            <w:r>
              <w:rPr>
                <w:rFonts w:hint="default" w:ascii="Times New Roman" w:hAnsi="Times New Roman" w:eastAsia="宋体" w:cs="Times New Roman"/>
                <w:b/>
                <w:bCs/>
                <w:color w:val="auto"/>
                <w:kern w:val="2"/>
                <w:sz w:val="24"/>
                <w:szCs w:val="24"/>
                <w:highlight w:val="none"/>
                <w:shd w:val="clear" w:color="auto" w:fill="auto"/>
              </w:rPr>
              <w:t xml:space="preserve">  现有项目</w:t>
            </w:r>
            <w:r>
              <w:rPr>
                <w:rFonts w:hint="eastAsia" w:ascii="Times New Roman" w:hAnsi="Times New Roman" w:eastAsia="宋体" w:cs="Times New Roman"/>
                <w:b/>
                <w:bCs/>
                <w:color w:val="auto"/>
                <w:kern w:val="2"/>
                <w:sz w:val="24"/>
                <w:szCs w:val="24"/>
                <w:highlight w:val="none"/>
                <w:shd w:val="clear" w:color="auto" w:fill="auto"/>
                <w:lang w:eastAsia="zh-CN"/>
              </w:rPr>
              <w:t>（</w:t>
            </w:r>
            <w:r>
              <w:rPr>
                <w:rFonts w:hint="eastAsia" w:ascii="Times New Roman" w:hAnsi="Times New Roman" w:eastAsia="宋体" w:cs="Times New Roman"/>
                <w:b/>
                <w:bCs/>
                <w:color w:val="auto"/>
                <w:kern w:val="2"/>
                <w:sz w:val="24"/>
                <w:szCs w:val="24"/>
                <w:highlight w:val="none"/>
                <w:shd w:val="clear" w:color="auto" w:fill="auto"/>
                <w:lang w:val="en-US" w:eastAsia="zh-CN"/>
              </w:rPr>
              <w:t>已投产建成部分</w:t>
            </w:r>
            <w:r>
              <w:rPr>
                <w:rFonts w:hint="eastAsia" w:ascii="Times New Roman" w:hAnsi="Times New Roman" w:eastAsia="宋体" w:cs="Times New Roman"/>
                <w:b/>
                <w:bCs/>
                <w:color w:val="auto"/>
                <w:kern w:val="2"/>
                <w:sz w:val="24"/>
                <w:szCs w:val="24"/>
                <w:highlight w:val="none"/>
                <w:shd w:val="clear" w:color="auto" w:fill="auto"/>
                <w:lang w:eastAsia="zh-CN"/>
              </w:rPr>
              <w:t>）</w:t>
            </w:r>
            <w:r>
              <w:rPr>
                <w:rFonts w:hint="eastAsia" w:ascii="Times New Roman" w:hAnsi="Times New Roman" w:eastAsia="宋体" w:cs="Times New Roman"/>
                <w:b/>
                <w:bCs/>
                <w:color w:val="auto"/>
                <w:kern w:val="2"/>
                <w:sz w:val="24"/>
                <w:szCs w:val="24"/>
                <w:highlight w:val="none"/>
                <w:shd w:val="clear" w:color="auto" w:fill="auto"/>
                <w:lang w:val="en-US" w:eastAsia="zh-CN"/>
              </w:rPr>
              <w:t>废气处理设施情况一览表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50"/>
              <w:gridCol w:w="2104"/>
              <w:gridCol w:w="1528"/>
              <w:gridCol w:w="1680"/>
              <w:gridCol w:w="4953"/>
              <w:gridCol w:w="2202"/>
            </w:tblGrid>
            <w:tr w14:paraId="78B7BF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621399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bCs/>
                      <w:color w:val="auto"/>
                      <w:sz w:val="21"/>
                      <w:szCs w:val="21"/>
                      <w:highlight w:val="none"/>
                      <w:shd w:val="clear" w:color="auto" w:fill="auto"/>
                      <w:lang w:eastAsia="zh-CN"/>
                    </w:rPr>
                  </w:pPr>
                  <w:r>
                    <w:rPr>
                      <w:rFonts w:hint="default" w:ascii="Times New Roman" w:hAnsi="Times New Roman" w:cs="Times New Roman"/>
                      <w:b/>
                      <w:bCs/>
                      <w:color w:val="auto"/>
                      <w:sz w:val="21"/>
                      <w:szCs w:val="21"/>
                      <w:highlight w:val="none"/>
                      <w:shd w:val="clear" w:color="auto" w:fill="auto"/>
                      <w:lang w:val="en-US" w:eastAsia="zh-CN"/>
                    </w:rPr>
                    <w:t>序号</w:t>
                  </w:r>
                </w:p>
              </w:tc>
              <w:tc>
                <w:tcPr>
                  <w:tcW w:w="778" w:type="pct"/>
                  <w:noWrap w:val="0"/>
                  <w:vAlign w:val="center"/>
                </w:tcPr>
                <w:p w14:paraId="2B798F3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105" w:right="0" w:hanging="105" w:hangingChars="50"/>
                    <w:jc w:val="center"/>
                    <w:textAlignment w:val="auto"/>
                    <w:rPr>
                      <w:rFonts w:hint="default" w:ascii="Times New Roman" w:hAnsi="Times New Roman" w:cs="Times New Roman"/>
                      <w:b/>
                      <w:bCs/>
                      <w:color w:val="auto"/>
                      <w:sz w:val="21"/>
                      <w:szCs w:val="21"/>
                      <w:highlight w:val="none"/>
                      <w:shd w:val="clear" w:color="auto" w:fill="auto"/>
                      <w:lang w:val="en-US" w:eastAsia="zh-CN"/>
                    </w:rPr>
                  </w:pPr>
                  <w:r>
                    <w:rPr>
                      <w:rFonts w:hint="default" w:ascii="Times New Roman" w:hAnsi="Times New Roman" w:cs="Times New Roman"/>
                      <w:b/>
                      <w:bCs/>
                      <w:color w:val="auto"/>
                      <w:sz w:val="21"/>
                      <w:szCs w:val="21"/>
                      <w:highlight w:val="none"/>
                      <w:shd w:val="clear" w:color="auto" w:fill="auto"/>
                      <w:lang w:val="en-US" w:eastAsia="zh-CN"/>
                    </w:rPr>
                    <w:t>产污工序</w:t>
                  </w:r>
                </w:p>
              </w:tc>
              <w:tc>
                <w:tcPr>
                  <w:tcW w:w="565" w:type="pct"/>
                  <w:noWrap w:val="0"/>
                  <w:vAlign w:val="center"/>
                </w:tcPr>
                <w:p w14:paraId="18838D3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105" w:right="0" w:hanging="105" w:hangingChars="50"/>
                    <w:jc w:val="center"/>
                    <w:textAlignment w:val="auto"/>
                    <w:rPr>
                      <w:rFonts w:hint="default" w:ascii="Times New Roman" w:hAnsi="Times New Roman" w:cs="Times New Roman"/>
                      <w:b/>
                      <w:bCs/>
                      <w:color w:val="auto"/>
                      <w:sz w:val="21"/>
                      <w:szCs w:val="21"/>
                      <w:highlight w:val="none"/>
                      <w:shd w:val="clear" w:color="auto" w:fill="auto"/>
                      <w:lang w:val="en-US" w:eastAsia="zh-CN"/>
                    </w:rPr>
                  </w:pPr>
                  <w:r>
                    <w:rPr>
                      <w:rFonts w:hint="eastAsia" w:ascii="Times New Roman" w:hAnsi="Times New Roman" w:cs="Times New Roman"/>
                      <w:b/>
                      <w:bCs/>
                      <w:color w:val="auto"/>
                      <w:sz w:val="21"/>
                      <w:szCs w:val="21"/>
                      <w:highlight w:val="none"/>
                      <w:shd w:val="clear" w:color="auto" w:fill="auto"/>
                      <w:lang w:val="en-US" w:eastAsia="zh-CN"/>
                    </w:rPr>
                    <w:t>区域</w:t>
                  </w:r>
                </w:p>
              </w:tc>
              <w:tc>
                <w:tcPr>
                  <w:tcW w:w="621" w:type="pct"/>
                  <w:noWrap w:val="0"/>
                  <w:vAlign w:val="center"/>
                </w:tcPr>
                <w:p w14:paraId="31569E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105" w:right="0" w:hanging="105" w:hangingChars="50"/>
                    <w:jc w:val="center"/>
                    <w:textAlignment w:val="auto"/>
                    <w:rPr>
                      <w:rFonts w:hint="default" w:ascii="Times New Roman" w:hAnsi="Times New Roman" w:cs="Times New Roman"/>
                      <w:b/>
                      <w:bCs/>
                      <w:color w:val="auto"/>
                      <w:sz w:val="21"/>
                      <w:szCs w:val="21"/>
                      <w:highlight w:val="none"/>
                      <w:shd w:val="clear" w:color="auto" w:fill="auto"/>
                      <w:lang w:val="en-US" w:eastAsia="zh-CN"/>
                    </w:rPr>
                  </w:pPr>
                  <w:r>
                    <w:rPr>
                      <w:rFonts w:hint="default" w:ascii="Times New Roman" w:hAnsi="Times New Roman" w:cs="Times New Roman"/>
                      <w:b/>
                      <w:bCs/>
                      <w:color w:val="auto"/>
                      <w:sz w:val="21"/>
                      <w:szCs w:val="21"/>
                      <w:highlight w:val="none"/>
                      <w:shd w:val="clear" w:color="auto" w:fill="auto"/>
                      <w:lang w:val="en-US" w:eastAsia="zh-CN"/>
                    </w:rPr>
                    <w:t>污染物</w:t>
                  </w:r>
                </w:p>
                <w:p w14:paraId="37654EF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105" w:right="0" w:hanging="105" w:hangingChars="5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cs="Times New Roman"/>
                      <w:b/>
                      <w:bCs/>
                      <w:color w:val="auto"/>
                      <w:sz w:val="21"/>
                      <w:szCs w:val="21"/>
                      <w:highlight w:val="none"/>
                      <w:shd w:val="clear" w:color="auto" w:fill="auto"/>
                      <w:lang w:val="en-US" w:eastAsia="zh-CN"/>
                    </w:rPr>
                    <w:t>类别</w:t>
                  </w:r>
                </w:p>
              </w:tc>
              <w:tc>
                <w:tcPr>
                  <w:tcW w:w="1831" w:type="pct"/>
                  <w:noWrap w:val="0"/>
                  <w:vAlign w:val="center"/>
                </w:tcPr>
                <w:p w14:paraId="0705B5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cs="Times New Roman"/>
                      <w:b/>
                      <w:bCs/>
                      <w:color w:val="auto"/>
                      <w:sz w:val="21"/>
                      <w:szCs w:val="21"/>
                      <w:highlight w:val="none"/>
                      <w:shd w:val="clear" w:color="auto" w:fill="auto"/>
                      <w:lang w:val="en-US"/>
                    </w:rPr>
                  </w:pPr>
                  <w:r>
                    <w:rPr>
                      <w:rFonts w:hint="default" w:ascii="Times New Roman" w:hAnsi="Times New Roman" w:cs="Times New Roman"/>
                      <w:b/>
                      <w:bCs/>
                      <w:color w:val="auto"/>
                      <w:sz w:val="21"/>
                      <w:szCs w:val="21"/>
                      <w:highlight w:val="none"/>
                      <w:shd w:val="clear" w:color="auto" w:fill="auto"/>
                      <w:lang w:val="en-US" w:eastAsia="zh-CN"/>
                    </w:rPr>
                    <w:t>处理设施</w:t>
                  </w:r>
                </w:p>
              </w:tc>
              <w:tc>
                <w:tcPr>
                  <w:tcW w:w="814" w:type="pct"/>
                  <w:noWrap w:val="0"/>
                  <w:vAlign w:val="center"/>
                </w:tcPr>
                <w:p w14:paraId="2280B7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cs="Times New Roman"/>
                      <w:b/>
                      <w:bCs/>
                      <w:color w:val="auto"/>
                      <w:kern w:val="0"/>
                      <w:sz w:val="21"/>
                      <w:szCs w:val="21"/>
                      <w:highlight w:val="none"/>
                      <w:shd w:val="clear" w:color="auto" w:fill="auto"/>
                      <w:lang w:val="en-US" w:eastAsia="zh-CN"/>
                    </w:rPr>
                    <w:t>排放去向</w:t>
                  </w:r>
                </w:p>
              </w:tc>
            </w:tr>
            <w:tr w14:paraId="359349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0F991DD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w:t>
                  </w:r>
                </w:p>
              </w:tc>
              <w:tc>
                <w:tcPr>
                  <w:tcW w:w="778" w:type="pct"/>
                  <w:noWrap w:val="0"/>
                  <w:vAlign w:val="center"/>
                </w:tcPr>
                <w:p w14:paraId="339421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pacing w:val="0"/>
                      <w:sz w:val="21"/>
                      <w:szCs w:val="21"/>
                      <w:highlight w:val="none"/>
                      <w:shd w:val="clear" w:color="auto" w:fill="auto"/>
                      <w:lang w:val="en-US" w:eastAsia="zh-CN"/>
                    </w:rPr>
                  </w:pPr>
                  <w:r>
                    <w:rPr>
                      <w:rFonts w:hint="eastAsia" w:cs="Times New Roman"/>
                      <w:color w:val="auto"/>
                      <w:spacing w:val="0"/>
                      <w:sz w:val="21"/>
                      <w:szCs w:val="21"/>
                      <w:highlight w:val="none"/>
                      <w:shd w:val="clear" w:color="auto" w:fill="auto"/>
                      <w:lang w:val="en-US" w:eastAsia="zh-CN"/>
                    </w:rPr>
                    <w:t>3号楼1#线3D打印</w:t>
                  </w:r>
                  <w:r>
                    <w:rPr>
                      <w:rFonts w:hint="eastAsia" w:ascii="Times New Roman" w:hAnsi="Times New Roman" w:cs="Times New Roman"/>
                      <w:color w:val="auto"/>
                      <w:spacing w:val="0"/>
                      <w:sz w:val="21"/>
                      <w:szCs w:val="21"/>
                      <w:highlight w:val="none"/>
                      <w:shd w:val="clear" w:color="auto" w:fill="auto"/>
                      <w:lang w:val="en-US" w:eastAsia="zh-CN"/>
                    </w:rPr>
                    <w:t>、甩干、后处理线废气以及室温搅拌废气</w:t>
                  </w:r>
                </w:p>
              </w:tc>
              <w:tc>
                <w:tcPr>
                  <w:tcW w:w="565" w:type="pct"/>
                  <w:noWrap w:val="0"/>
                  <w:vAlign w:val="center"/>
                </w:tcPr>
                <w:p w14:paraId="69B164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3号楼</w:t>
                  </w:r>
                </w:p>
              </w:tc>
              <w:tc>
                <w:tcPr>
                  <w:tcW w:w="621" w:type="pct"/>
                  <w:noWrap w:val="0"/>
                  <w:vAlign w:val="center"/>
                </w:tcPr>
                <w:p w14:paraId="11DB0F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非甲烷总烃（含酚类）</w:t>
                  </w:r>
                </w:p>
              </w:tc>
              <w:tc>
                <w:tcPr>
                  <w:tcW w:w="1831" w:type="pct"/>
                  <w:noWrap w:val="0"/>
                  <w:vAlign w:val="center"/>
                </w:tcPr>
                <w:p w14:paraId="2547AA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一级碱喷淋+一级水喷淋</w:t>
                  </w:r>
                  <w:r>
                    <w:rPr>
                      <w:rFonts w:hint="eastAsia" w:ascii="Times New Roman" w:hAnsi="Times New Roman" w:cs="Times New Roman"/>
                      <w:color w:val="auto"/>
                      <w:sz w:val="21"/>
                      <w:szCs w:val="21"/>
                      <w:highlight w:val="none"/>
                      <w:shd w:val="clear" w:color="auto" w:fill="auto"/>
                      <w:lang w:val="en-US" w:eastAsia="zh-CN"/>
                    </w:rPr>
                    <w:t>+除雾器+二级活性炭吸附装置（风机风量26000m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val="en-US" w:eastAsia="zh-CN"/>
                    </w:rPr>
                    <w:t>/h）</w:t>
                  </w:r>
                </w:p>
              </w:tc>
              <w:tc>
                <w:tcPr>
                  <w:tcW w:w="814" w:type="pct"/>
                  <w:noWrap w:val="0"/>
                  <w:vAlign w:val="center"/>
                </w:tcPr>
                <w:p w14:paraId="1F8389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排气筒</w:t>
                  </w:r>
                  <w:r>
                    <w:rPr>
                      <w:rFonts w:hint="eastAsia" w:ascii="Times New Roman" w:hAnsi="Times New Roman" w:cs="Times New Roman"/>
                      <w:color w:val="auto"/>
                      <w:sz w:val="21"/>
                      <w:szCs w:val="21"/>
                      <w:highlight w:val="none"/>
                      <w:shd w:val="clear" w:color="auto" w:fill="auto"/>
                      <w:lang w:val="en-US" w:eastAsia="zh-CN"/>
                    </w:rPr>
                    <w:t>FQ01</w:t>
                  </w:r>
                </w:p>
              </w:tc>
            </w:tr>
            <w:tr w14:paraId="04BD85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31CA25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w:t>
                  </w:r>
                </w:p>
              </w:tc>
              <w:tc>
                <w:tcPr>
                  <w:tcW w:w="778" w:type="pct"/>
                  <w:noWrap w:val="0"/>
                  <w:vAlign w:val="center"/>
                </w:tcPr>
                <w:p w14:paraId="5B2604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auto"/>
                      <w:kern w:val="0"/>
                      <w:sz w:val="21"/>
                      <w:szCs w:val="21"/>
                      <w:highlight w:val="none"/>
                      <w:shd w:val="clear" w:color="auto" w:fill="auto"/>
                      <w:lang w:val="en-US" w:eastAsia="zh-CN"/>
                    </w:rPr>
                  </w:pPr>
                  <w:r>
                    <w:rPr>
                      <w:rFonts w:hint="eastAsia" w:cs="Times New Roman"/>
                      <w:snapToGrid w:val="0"/>
                      <w:color w:val="auto"/>
                      <w:kern w:val="0"/>
                      <w:sz w:val="21"/>
                      <w:szCs w:val="21"/>
                      <w:highlight w:val="none"/>
                      <w:shd w:val="clear" w:color="auto" w:fill="auto"/>
                      <w:lang w:val="en-US" w:eastAsia="zh-CN"/>
                    </w:rPr>
                    <w:t>2号楼2#线3D打印</w:t>
                  </w:r>
                  <w:r>
                    <w:rPr>
                      <w:rFonts w:hint="eastAsia" w:ascii="Times New Roman" w:hAnsi="Times New Roman" w:cs="Times New Roman"/>
                      <w:snapToGrid w:val="0"/>
                      <w:color w:val="auto"/>
                      <w:kern w:val="0"/>
                      <w:sz w:val="21"/>
                      <w:szCs w:val="21"/>
                      <w:highlight w:val="none"/>
                      <w:shd w:val="clear" w:color="auto" w:fill="auto"/>
                      <w:lang w:val="en-US" w:eastAsia="zh-CN"/>
                    </w:rPr>
                    <w:t>、甩干、后处理线废气</w:t>
                  </w:r>
                </w:p>
              </w:tc>
              <w:tc>
                <w:tcPr>
                  <w:tcW w:w="565" w:type="pct"/>
                  <w:noWrap w:val="0"/>
                  <w:vAlign w:val="center"/>
                </w:tcPr>
                <w:p w14:paraId="5914C6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2号楼</w:t>
                  </w:r>
                </w:p>
              </w:tc>
              <w:tc>
                <w:tcPr>
                  <w:tcW w:w="621" w:type="pct"/>
                  <w:noWrap w:val="0"/>
                  <w:vAlign w:val="center"/>
                </w:tcPr>
                <w:p w14:paraId="4A3A8E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pacing w:val="0"/>
                      <w:sz w:val="21"/>
                      <w:szCs w:val="21"/>
                      <w:highlight w:val="none"/>
                      <w:shd w:val="clear" w:color="auto" w:fill="auto"/>
                      <w:lang w:val="en-US" w:eastAsia="zh-CN"/>
                    </w:rPr>
                  </w:pPr>
                  <w:r>
                    <w:rPr>
                      <w:rFonts w:hint="default" w:ascii="Times New Roman" w:hAnsi="Times New Roman" w:eastAsia="宋体" w:cs="Times New Roman"/>
                      <w:bCs/>
                      <w:color w:val="auto"/>
                      <w:kern w:val="2"/>
                      <w:sz w:val="21"/>
                      <w:szCs w:val="21"/>
                      <w:highlight w:val="none"/>
                      <w:lang w:val="en-US" w:eastAsia="zh-CN"/>
                    </w:rPr>
                    <w:t>非甲烷总烃</w:t>
                  </w:r>
                </w:p>
              </w:tc>
              <w:tc>
                <w:tcPr>
                  <w:tcW w:w="1831" w:type="pct"/>
                  <w:noWrap w:val="0"/>
                  <w:vAlign w:val="center"/>
                </w:tcPr>
                <w:p w14:paraId="63516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一级碱喷淋+一级水喷淋</w:t>
                  </w:r>
                  <w:r>
                    <w:rPr>
                      <w:rFonts w:hint="eastAsia" w:ascii="Times New Roman" w:hAnsi="Times New Roman" w:cs="Times New Roman"/>
                      <w:color w:val="auto"/>
                      <w:sz w:val="21"/>
                      <w:szCs w:val="21"/>
                      <w:highlight w:val="none"/>
                      <w:shd w:val="clear" w:color="auto" w:fill="auto"/>
                      <w:lang w:val="en-US" w:eastAsia="zh-CN"/>
                    </w:rPr>
                    <w:t>+除雾器+二级活性炭吸附装置（风机风量20000m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val="en-US" w:eastAsia="zh-CN"/>
                    </w:rPr>
                    <w:t>/h）</w:t>
                  </w:r>
                </w:p>
              </w:tc>
              <w:tc>
                <w:tcPr>
                  <w:tcW w:w="814" w:type="pct"/>
                  <w:noWrap w:val="0"/>
                  <w:vAlign w:val="center"/>
                </w:tcPr>
                <w:p w14:paraId="49A976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排气筒</w:t>
                  </w:r>
                  <w:r>
                    <w:rPr>
                      <w:rFonts w:hint="eastAsia" w:ascii="Times New Roman" w:hAnsi="Times New Roman" w:cs="Times New Roman"/>
                      <w:color w:val="auto"/>
                      <w:sz w:val="21"/>
                      <w:szCs w:val="21"/>
                      <w:highlight w:val="none"/>
                      <w:shd w:val="clear" w:color="auto" w:fill="auto"/>
                      <w:lang w:val="en-US" w:eastAsia="zh-CN"/>
                    </w:rPr>
                    <w:t>FQ02</w:t>
                  </w:r>
                </w:p>
              </w:tc>
            </w:tr>
            <w:tr w14:paraId="165A94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29F9E0F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3</w:t>
                  </w:r>
                </w:p>
              </w:tc>
              <w:tc>
                <w:tcPr>
                  <w:tcW w:w="778" w:type="pct"/>
                  <w:noWrap w:val="0"/>
                  <w:vAlign w:val="center"/>
                </w:tcPr>
                <w:p w14:paraId="7AFAFC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shd w:val="clear" w:color="auto" w:fill="auto"/>
                      <w:lang w:val="en-US" w:eastAsia="zh-CN"/>
                    </w:rPr>
                  </w:pPr>
                  <w:r>
                    <w:rPr>
                      <w:rFonts w:hint="eastAsia" w:cs="Times New Roman"/>
                      <w:snapToGrid w:val="0"/>
                      <w:color w:val="auto"/>
                      <w:kern w:val="0"/>
                      <w:sz w:val="21"/>
                      <w:szCs w:val="21"/>
                      <w:highlight w:val="none"/>
                      <w:shd w:val="clear" w:color="auto" w:fill="auto"/>
                      <w:lang w:val="en-US" w:eastAsia="zh-CN"/>
                    </w:rPr>
                    <w:t>3号</w:t>
                  </w:r>
                  <w:r>
                    <w:rPr>
                      <w:rFonts w:hint="eastAsia" w:ascii="Times New Roman" w:hAnsi="Times New Roman" w:cs="Times New Roman"/>
                      <w:snapToGrid w:val="0"/>
                      <w:color w:val="auto"/>
                      <w:kern w:val="0"/>
                      <w:sz w:val="21"/>
                      <w:szCs w:val="21"/>
                      <w:highlight w:val="none"/>
                      <w:shd w:val="clear" w:color="auto" w:fill="auto"/>
                      <w:lang w:val="en-US" w:eastAsia="zh-CN"/>
                    </w:rPr>
                    <w:t>楼压膜与喷涂烘干废气</w:t>
                  </w:r>
                </w:p>
              </w:tc>
              <w:tc>
                <w:tcPr>
                  <w:tcW w:w="565" w:type="pct"/>
                  <w:noWrap w:val="0"/>
                  <w:vAlign w:val="center"/>
                </w:tcPr>
                <w:p w14:paraId="765BA7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3号楼</w:t>
                  </w:r>
                </w:p>
              </w:tc>
              <w:tc>
                <w:tcPr>
                  <w:tcW w:w="621" w:type="pct"/>
                  <w:noWrap w:val="0"/>
                  <w:vAlign w:val="center"/>
                </w:tcPr>
                <w:p w14:paraId="20C236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pacing w:val="0"/>
                      <w:sz w:val="21"/>
                      <w:szCs w:val="21"/>
                      <w:highlight w:val="none"/>
                      <w:shd w:val="clear" w:color="auto" w:fill="auto"/>
                      <w:lang w:val="en-US" w:eastAsia="zh-CN"/>
                    </w:rPr>
                  </w:pPr>
                  <w:r>
                    <w:rPr>
                      <w:rFonts w:hint="eastAsia" w:ascii="Times New Roman" w:hAnsi="Times New Roman" w:cs="Times New Roman"/>
                      <w:color w:val="auto"/>
                      <w:spacing w:val="0"/>
                      <w:sz w:val="21"/>
                      <w:szCs w:val="21"/>
                      <w:highlight w:val="none"/>
                      <w:shd w:val="clear" w:color="auto" w:fill="auto"/>
                      <w:lang w:val="en-US" w:eastAsia="zh-CN"/>
                    </w:rPr>
                    <w:t>非甲烷总烃、氟化物</w:t>
                  </w:r>
                </w:p>
              </w:tc>
              <w:tc>
                <w:tcPr>
                  <w:tcW w:w="1831" w:type="pct"/>
                  <w:noWrap w:val="0"/>
                  <w:vAlign w:val="center"/>
                </w:tcPr>
                <w:p w14:paraId="7AA3C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一级碱喷淋+一级水喷淋</w:t>
                  </w:r>
                  <w:r>
                    <w:rPr>
                      <w:rFonts w:hint="eastAsia" w:ascii="Times New Roman" w:hAnsi="Times New Roman" w:cs="Times New Roman"/>
                      <w:color w:val="auto"/>
                      <w:sz w:val="21"/>
                      <w:szCs w:val="21"/>
                      <w:highlight w:val="none"/>
                      <w:shd w:val="clear" w:color="auto" w:fill="auto"/>
                      <w:lang w:val="en-US" w:eastAsia="zh-CN"/>
                    </w:rPr>
                    <w:t>+除雾器+二级活性炭吸附装置（风机风量17500m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val="en-US" w:eastAsia="zh-CN"/>
                    </w:rPr>
                    <w:t>/h）</w:t>
                  </w:r>
                </w:p>
              </w:tc>
              <w:tc>
                <w:tcPr>
                  <w:tcW w:w="814" w:type="pct"/>
                  <w:noWrap w:val="0"/>
                  <w:vAlign w:val="center"/>
                </w:tcPr>
                <w:p w14:paraId="64441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排气筒</w:t>
                  </w:r>
                  <w:r>
                    <w:rPr>
                      <w:rFonts w:hint="eastAsia" w:ascii="Times New Roman" w:hAnsi="Times New Roman" w:cs="Times New Roman"/>
                      <w:color w:val="auto"/>
                      <w:sz w:val="21"/>
                      <w:szCs w:val="21"/>
                      <w:highlight w:val="none"/>
                      <w:shd w:val="clear" w:color="auto" w:fill="auto"/>
                      <w:lang w:val="en-US" w:eastAsia="zh-CN"/>
                    </w:rPr>
                    <w:t>FQ07</w:t>
                  </w:r>
                </w:p>
              </w:tc>
            </w:tr>
            <w:tr w14:paraId="6B6990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35CC490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4</w:t>
                  </w:r>
                </w:p>
              </w:tc>
              <w:tc>
                <w:tcPr>
                  <w:tcW w:w="778" w:type="pct"/>
                  <w:noWrap w:val="0"/>
                  <w:vAlign w:val="center"/>
                </w:tcPr>
                <w:p w14:paraId="4676C3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3号楼</w:t>
                  </w:r>
                  <w:r>
                    <w:rPr>
                      <w:rFonts w:hint="eastAsia" w:ascii="Times New Roman" w:hAnsi="Times New Roman" w:cs="Times New Roman"/>
                      <w:color w:val="auto"/>
                      <w:sz w:val="21"/>
                      <w:szCs w:val="21"/>
                      <w:highlight w:val="none"/>
                      <w:shd w:val="clear" w:color="auto" w:fill="auto"/>
                      <w:lang w:val="en-US" w:eastAsia="zh-CN"/>
                    </w:rPr>
                    <w:t>抛光废气</w:t>
                  </w:r>
                </w:p>
              </w:tc>
              <w:tc>
                <w:tcPr>
                  <w:tcW w:w="565" w:type="pct"/>
                  <w:noWrap w:val="0"/>
                  <w:vAlign w:val="center"/>
                </w:tcPr>
                <w:p w14:paraId="40788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3号楼</w:t>
                  </w:r>
                </w:p>
              </w:tc>
              <w:tc>
                <w:tcPr>
                  <w:tcW w:w="621" w:type="pct"/>
                  <w:noWrap w:val="0"/>
                  <w:vAlign w:val="center"/>
                </w:tcPr>
                <w:p w14:paraId="7D65F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pacing w:val="0"/>
                      <w:sz w:val="21"/>
                      <w:szCs w:val="21"/>
                      <w:highlight w:val="none"/>
                      <w:shd w:val="clear" w:color="auto" w:fill="auto"/>
                      <w:lang w:val="en-US" w:eastAsia="zh-CN"/>
                    </w:rPr>
                  </w:pPr>
                  <w:r>
                    <w:rPr>
                      <w:rFonts w:hint="eastAsia" w:ascii="Times New Roman" w:hAnsi="Times New Roman" w:cs="Times New Roman"/>
                      <w:color w:val="auto"/>
                      <w:spacing w:val="0"/>
                      <w:sz w:val="21"/>
                      <w:szCs w:val="21"/>
                      <w:highlight w:val="none"/>
                      <w:shd w:val="clear" w:color="auto" w:fill="auto"/>
                      <w:lang w:val="en-US" w:eastAsia="zh-CN"/>
                    </w:rPr>
                    <w:t>颗粒物</w:t>
                  </w:r>
                </w:p>
              </w:tc>
              <w:tc>
                <w:tcPr>
                  <w:tcW w:w="1831" w:type="pct"/>
                  <w:noWrap w:val="0"/>
                  <w:vAlign w:val="center"/>
                </w:tcPr>
                <w:p w14:paraId="18917F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布袋除尘装置（风机风量5000m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val="en-US" w:eastAsia="zh-CN"/>
                    </w:rPr>
                    <w:t>/h）</w:t>
                  </w:r>
                </w:p>
              </w:tc>
              <w:tc>
                <w:tcPr>
                  <w:tcW w:w="814" w:type="pct"/>
                  <w:noWrap w:val="0"/>
                  <w:vAlign w:val="center"/>
                </w:tcPr>
                <w:p w14:paraId="3B67D1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排气筒</w:t>
                  </w:r>
                  <w:r>
                    <w:rPr>
                      <w:rFonts w:hint="eastAsia" w:ascii="Times New Roman" w:hAnsi="Times New Roman" w:cs="Times New Roman"/>
                      <w:color w:val="auto"/>
                      <w:sz w:val="21"/>
                      <w:szCs w:val="21"/>
                      <w:highlight w:val="none"/>
                      <w:shd w:val="clear" w:color="auto" w:fill="auto"/>
                      <w:lang w:val="en-US" w:eastAsia="zh-CN"/>
                    </w:rPr>
                    <w:t>FQ08</w:t>
                  </w:r>
                </w:p>
              </w:tc>
            </w:tr>
            <w:tr w14:paraId="5FEC8C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3C0E78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5</w:t>
                  </w:r>
                </w:p>
              </w:tc>
              <w:tc>
                <w:tcPr>
                  <w:tcW w:w="778" w:type="pct"/>
                  <w:noWrap w:val="0"/>
                  <w:vAlign w:val="center"/>
                </w:tcPr>
                <w:p w14:paraId="7563E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2号楼</w:t>
                  </w:r>
                  <w:r>
                    <w:rPr>
                      <w:rFonts w:hint="eastAsia" w:ascii="Times New Roman" w:hAnsi="Times New Roman" w:cs="Times New Roman"/>
                      <w:color w:val="auto"/>
                      <w:sz w:val="21"/>
                      <w:szCs w:val="21"/>
                      <w:highlight w:val="none"/>
                      <w:shd w:val="clear" w:color="auto" w:fill="auto"/>
                      <w:lang w:val="en-US" w:eastAsia="zh-CN"/>
                    </w:rPr>
                    <w:t>压膜废气</w:t>
                  </w:r>
                </w:p>
              </w:tc>
              <w:tc>
                <w:tcPr>
                  <w:tcW w:w="565" w:type="pct"/>
                  <w:noWrap w:val="0"/>
                  <w:vAlign w:val="center"/>
                </w:tcPr>
                <w:p w14:paraId="5A0E1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2号楼</w:t>
                  </w:r>
                </w:p>
              </w:tc>
              <w:tc>
                <w:tcPr>
                  <w:tcW w:w="621" w:type="pct"/>
                  <w:noWrap w:val="0"/>
                  <w:vAlign w:val="center"/>
                </w:tcPr>
                <w:p w14:paraId="671D86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pacing w:val="0"/>
                      <w:sz w:val="21"/>
                      <w:szCs w:val="21"/>
                      <w:highlight w:val="none"/>
                      <w:shd w:val="clear" w:color="auto" w:fill="auto"/>
                      <w:lang w:val="en-US" w:eastAsia="zh-CN"/>
                    </w:rPr>
                  </w:pPr>
                  <w:r>
                    <w:rPr>
                      <w:rFonts w:hint="eastAsia" w:ascii="Times New Roman" w:hAnsi="Times New Roman" w:cs="Times New Roman"/>
                      <w:color w:val="auto"/>
                      <w:spacing w:val="0"/>
                      <w:sz w:val="21"/>
                      <w:szCs w:val="21"/>
                      <w:highlight w:val="none"/>
                      <w:shd w:val="clear" w:color="auto" w:fill="auto"/>
                      <w:lang w:val="en-US" w:eastAsia="zh-CN"/>
                    </w:rPr>
                    <w:t>非甲烷总烃</w:t>
                  </w:r>
                </w:p>
              </w:tc>
              <w:tc>
                <w:tcPr>
                  <w:tcW w:w="1831" w:type="pct"/>
                  <w:noWrap w:val="0"/>
                  <w:vAlign w:val="center"/>
                </w:tcPr>
                <w:p w14:paraId="5A03D9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一级碱喷淋+一级水喷淋</w:t>
                  </w:r>
                  <w:r>
                    <w:rPr>
                      <w:rFonts w:hint="eastAsia" w:ascii="Times New Roman" w:hAnsi="Times New Roman" w:cs="Times New Roman"/>
                      <w:color w:val="auto"/>
                      <w:sz w:val="21"/>
                      <w:szCs w:val="21"/>
                      <w:highlight w:val="none"/>
                      <w:shd w:val="clear" w:color="auto" w:fill="auto"/>
                      <w:lang w:val="en-US" w:eastAsia="zh-CN"/>
                    </w:rPr>
                    <w:t>+除雾器+二级活性炭吸附装置（风机风量6000m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val="en-US" w:eastAsia="zh-CN"/>
                    </w:rPr>
                    <w:t>/h）</w:t>
                  </w:r>
                </w:p>
              </w:tc>
              <w:tc>
                <w:tcPr>
                  <w:tcW w:w="814" w:type="pct"/>
                  <w:noWrap w:val="0"/>
                  <w:vAlign w:val="center"/>
                </w:tcPr>
                <w:p w14:paraId="5A84A2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排气筒</w:t>
                  </w:r>
                  <w:r>
                    <w:rPr>
                      <w:rFonts w:hint="eastAsia" w:ascii="Times New Roman" w:hAnsi="Times New Roman" w:eastAsia="宋体" w:cs="Times New Roman"/>
                      <w:color w:val="auto"/>
                      <w:sz w:val="21"/>
                      <w:szCs w:val="21"/>
                      <w:highlight w:val="none"/>
                      <w:shd w:val="clear" w:color="auto" w:fill="auto"/>
                      <w:lang w:val="en-US" w:eastAsia="zh-CN"/>
                    </w:rPr>
                    <w:t>FQ10</w:t>
                  </w:r>
                </w:p>
              </w:tc>
            </w:tr>
            <w:tr w14:paraId="7AD6F1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05F1B22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6</w:t>
                  </w:r>
                </w:p>
              </w:tc>
              <w:tc>
                <w:tcPr>
                  <w:tcW w:w="778" w:type="pct"/>
                  <w:noWrap w:val="0"/>
                  <w:vAlign w:val="center"/>
                </w:tcPr>
                <w:p w14:paraId="3AC9E2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2号楼</w:t>
                  </w:r>
                  <w:r>
                    <w:rPr>
                      <w:rFonts w:hint="eastAsia" w:ascii="Times New Roman" w:hAnsi="Times New Roman" w:cs="Times New Roman"/>
                      <w:color w:val="auto"/>
                      <w:sz w:val="21"/>
                      <w:szCs w:val="21"/>
                      <w:highlight w:val="none"/>
                      <w:shd w:val="clear" w:color="auto" w:fill="auto"/>
                      <w:lang w:val="en-US" w:eastAsia="zh-CN"/>
                    </w:rPr>
                    <w:t>抛光废气</w:t>
                  </w:r>
                </w:p>
              </w:tc>
              <w:tc>
                <w:tcPr>
                  <w:tcW w:w="565" w:type="pct"/>
                  <w:noWrap w:val="0"/>
                  <w:vAlign w:val="center"/>
                </w:tcPr>
                <w:p w14:paraId="0C68A3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2号楼</w:t>
                  </w:r>
                </w:p>
              </w:tc>
              <w:tc>
                <w:tcPr>
                  <w:tcW w:w="621" w:type="pct"/>
                  <w:noWrap w:val="0"/>
                  <w:vAlign w:val="center"/>
                </w:tcPr>
                <w:p w14:paraId="1FAB42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pacing w:val="0"/>
                      <w:sz w:val="21"/>
                      <w:szCs w:val="21"/>
                      <w:highlight w:val="none"/>
                      <w:shd w:val="clear" w:color="auto" w:fill="auto"/>
                      <w:lang w:val="en-US" w:eastAsia="zh-CN"/>
                    </w:rPr>
                  </w:pPr>
                  <w:r>
                    <w:rPr>
                      <w:rFonts w:hint="eastAsia" w:ascii="Times New Roman" w:hAnsi="Times New Roman" w:cs="Times New Roman"/>
                      <w:color w:val="auto"/>
                      <w:spacing w:val="0"/>
                      <w:sz w:val="21"/>
                      <w:szCs w:val="21"/>
                      <w:highlight w:val="none"/>
                      <w:shd w:val="clear" w:color="auto" w:fill="auto"/>
                      <w:lang w:val="en-US" w:eastAsia="zh-CN"/>
                    </w:rPr>
                    <w:t>颗粒物</w:t>
                  </w:r>
                </w:p>
              </w:tc>
              <w:tc>
                <w:tcPr>
                  <w:tcW w:w="1831" w:type="pct"/>
                  <w:noWrap w:val="0"/>
                  <w:vAlign w:val="center"/>
                </w:tcPr>
                <w:p w14:paraId="4C8403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布袋除尘装置（风机风量5000m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val="en-US" w:eastAsia="zh-CN"/>
                    </w:rPr>
                    <w:t>/h）</w:t>
                  </w:r>
                </w:p>
              </w:tc>
              <w:tc>
                <w:tcPr>
                  <w:tcW w:w="814" w:type="pct"/>
                  <w:tcBorders>
                    <w:bottom w:val="single" w:color="000000" w:sz="4" w:space="0"/>
                  </w:tcBorders>
                  <w:noWrap w:val="0"/>
                  <w:vAlign w:val="center"/>
                </w:tcPr>
                <w:p w14:paraId="2BF2AD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排气筒</w:t>
                  </w:r>
                  <w:r>
                    <w:rPr>
                      <w:rFonts w:hint="eastAsia" w:ascii="Times New Roman" w:hAnsi="Times New Roman" w:cs="Times New Roman"/>
                      <w:color w:val="auto"/>
                      <w:sz w:val="21"/>
                      <w:szCs w:val="21"/>
                      <w:highlight w:val="none"/>
                      <w:shd w:val="clear" w:color="auto" w:fill="auto"/>
                      <w:lang w:val="en-US" w:eastAsia="zh-CN"/>
                    </w:rPr>
                    <w:t>FQ13</w:t>
                  </w:r>
                </w:p>
              </w:tc>
            </w:tr>
            <w:tr w14:paraId="098D62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4F88BF6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7</w:t>
                  </w:r>
                </w:p>
              </w:tc>
              <w:tc>
                <w:tcPr>
                  <w:tcW w:w="778" w:type="pct"/>
                  <w:noWrap w:val="0"/>
                  <w:vAlign w:val="center"/>
                </w:tcPr>
                <w:p w14:paraId="7B2EF1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2号楼</w:t>
                  </w:r>
                  <w:r>
                    <w:rPr>
                      <w:rFonts w:hint="eastAsia" w:ascii="Times New Roman" w:hAnsi="Times New Roman" w:cs="Times New Roman"/>
                      <w:color w:val="auto"/>
                      <w:sz w:val="21"/>
                      <w:szCs w:val="21"/>
                      <w:highlight w:val="none"/>
                      <w:shd w:val="clear" w:color="auto" w:fill="auto"/>
                      <w:lang w:val="en-US" w:eastAsia="zh-CN"/>
                    </w:rPr>
                    <w:t>激光切割废气</w:t>
                  </w:r>
                </w:p>
              </w:tc>
              <w:tc>
                <w:tcPr>
                  <w:tcW w:w="565" w:type="pct"/>
                  <w:noWrap w:val="0"/>
                  <w:vAlign w:val="center"/>
                </w:tcPr>
                <w:p w14:paraId="08AC79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2号楼</w:t>
                  </w:r>
                </w:p>
              </w:tc>
              <w:tc>
                <w:tcPr>
                  <w:tcW w:w="621" w:type="pct"/>
                  <w:noWrap w:val="0"/>
                  <w:vAlign w:val="center"/>
                </w:tcPr>
                <w:p w14:paraId="1F6D63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pacing w:val="0"/>
                      <w:sz w:val="21"/>
                      <w:szCs w:val="21"/>
                      <w:highlight w:val="none"/>
                      <w:shd w:val="clear" w:color="auto" w:fill="auto"/>
                      <w:lang w:val="en-US" w:eastAsia="zh-CN"/>
                    </w:rPr>
                  </w:pPr>
                  <w:r>
                    <w:rPr>
                      <w:rFonts w:hint="eastAsia" w:ascii="Times New Roman" w:hAnsi="Times New Roman" w:cs="Times New Roman"/>
                      <w:color w:val="auto"/>
                      <w:spacing w:val="0"/>
                      <w:sz w:val="21"/>
                      <w:szCs w:val="21"/>
                      <w:highlight w:val="none"/>
                      <w:shd w:val="clear" w:color="auto" w:fill="auto"/>
                      <w:lang w:val="en-US" w:eastAsia="zh-CN"/>
                    </w:rPr>
                    <w:t>颗粒物、氮氧化物</w:t>
                  </w:r>
                </w:p>
              </w:tc>
              <w:tc>
                <w:tcPr>
                  <w:tcW w:w="1831" w:type="pct"/>
                  <w:noWrap w:val="0"/>
                  <w:vAlign w:val="center"/>
                </w:tcPr>
                <w:p w14:paraId="70A59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一级碱喷淋+一级水喷淋</w:t>
                  </w:r>
                  <w:r>
                    <w:rPr>
                      <w:rFonts w:hint="eastAsia" w:ascii="Times New Roman" w:hAnsi="Times New Roman"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除雾器+</w:t>
                  </w:r>
                  <w:r>
                    <w:rPr>
                      <w:rFonts w:hint="eastAsia" w:ascii="Times New Roman" w:hAnsi="Times New Roman" w:cs="Times New Roman"/>
                      <w:color w:val="auto"/>
                      <w:sz w:val="21"/>
                      <w:szCs w:val="21"/>
                      <w:highlight w:val="none"/>
                      <w:shd w:val="clear" w:color="auto" w:fill="auto"/>
                      <w:lang w:val="en-US" w:eastAsia="zh-CN"/>
                    </w:rPr>
                    <w:t>二级活性炭吸附装置（风机风量15000m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val="en-US" w:eastAsia="zh-CN"/>
                    </w:rPr>
                    <w:t>/h）</w:t>
                  </w:r>
                </w:p>
              </w:tc>
              <w:tc>
                <w:tcPr>
                  <w:tcW w:w="814" w:type="pct"/>
                  <w:tcBorders>
                    <w:top w:val="single" w:color="000000" w:sz="4" w:space="0"/>
                    <w:bottom w:val="single" w:color="000000" w:sz="4" w:space="0"/>
                  </w:tcBorders>
                  <w:noWrap w:val="0"/>
                  <w:vAlign w:val="center"/>
                </w:tcPr>
                <w:p w14:paraId="5EAF14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排气筒</w:t>
                  </w:r>
                  <w:r>
                    <w:rPr>
                      <w:rFonts w:hint="eastAsia" w:ascii="Times New Roman" w:hAnsi="Times New Roman" w:cs="Times New Roman"/>
                      <w:color w:val="auto"/>
                      <w:sz w:val="21"/>
                      <w:szCs w:val="21"/>
                      <w:highlight w:val="none"/>
                      <w:shd w:val="clear" w:color="auto" w:fill="auto"/>
                      <w:lang w:val="en-US" w:eastAsia="zh-CN"/>
                    </w:rPr>
                    <w:t>FQ16</w:t>
                  </w:r>
                </w:p>
              </w:tc>
            </w:tr>
            <w:tr w14:paraId="6ECAB2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8" w:type="pct"/>
                  <w:noWrap w:val="0"/>
                  <w:vAlign w:val="center"/>
                </w:tcPr>
                <w:p w14:paraId="12CFD1B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8</w:t>
                  </w:r>
                </w:p>
              </w:tc>
              <w:tc>
                <w:tcPr>
                  <w:tcW w:w="778" w:type="pct"/>
                  <w:noWrap w:val="0"/>
                  <w:vAlign w:val="center"/>
                </w:tcPr>
                <w:p w14:paraId="43289F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shd w:val="clear" w:color="auto" w:fill="auto"/>
                      <w:lang w:val="en-US" w:eastAsia="zh-CN"/>
                    </w:rPr>
                  </w:pPr>
                  <w:r>
                    <w:rPr>
                      <w:rFonts w:hint="eastAsia" w:cs="Times New Roman"/>
                      <w:snapToGrid w:val="0"/>
                      <w:color w:val="auto"/>
                      <w:kern w:val="0"/>
                      <w:sz w:val="21"/>
                      <w:szCs w:val="21"/>
                      <w:highlight w:val="none"/>
                      <w:shd w:val="clear" w:color="auto" w:fill="auto"/>
                      <w:lang w:val="en-US" w:eastAsia="zh-CN"/>
                    </w:rPr>
                    <w:t>3号楼</w:t>
                  </w:r>
                  <w:r>
                    <w:rPr>
                      <w:rFonts w:hint="eastAsia" w:ascii="Times New Roman" w:hAnsi="Times New Roman" w:cs="Times New Roman"/>
                      <w:snapToGrid w:val="0"/>
                      <w:color w:val="auto"/>
                      <w:kern w:val="0"/>
                      <w:sz w:val="21"/>
                      <w:szCs w:val="21"/>
                      <w:highlight w:val="none"/>
                      <w:shd w:val="clear" w:color="auto" w:fill="auto"/>
                      <w:lang w:val="en-US" w:eastAsia="zh-CN"/>
                    </w:rPr>
                    <w:t>激光切割废气</w:t>
                  </w:r>
                </w:p>
              </w:tc>
              <w:tc>
                <w:tcPr>
                  <w:tcW w:w="565" w:type="pct"/>
                  <w:noWrap w:val="0"/>
                  <w:vAlign w:val="center"/>
                </w:tcPr>
                <w:p w14:paraId="4E659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3号楼</w:t>
                  </w:r>
                </w:p>
              </w:tc>
              <w:tc>
                <w:tcPr>
                  <w:tcW w:w="621" w:type="pct"/>
                  <w:noWrap w:val="0"/>
                  <w:vAlign w:val="center"/>
                </w:tcPr>
                <w:p w14:paraId="4E1544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pacing w:val="0"/>
                      <w:sz w:val="21"/>
                      <w:szCs w:val="21"/>
                      <w:highlight w:val="none"/>
                      <w:shd w:val="clear" w:color="auto" w:fill="auto"/>
                      <w:lang w:val="en-US" w:eastAsia="zh-CN"/>
                    </w:rPr>
                  </w:pPr>
                  <w:r>
                    <w:rPr>
                      <w:rFonts w:hint="eastAsia" w:ascii="Times New Roman" w:hAnsi="Times New Roman" w:cs="Times New Roman"/>
                      <w:color w:val="auto"/>
                      <w:spacing w:val="0"/>
                      <w:sz w:val="21"/>
                      <w:szCs w:val="21"/>
                      <w:highlight w:val="none"/>
                      <w:shd w:val="clear" w:color="auto" w:fill="auto"/>
                      <w:lang w:val="en-US" w:eastAsia="zh-CN"/>
                    </w:rPr>
                    <w:t>颗粒物、氮氧化物</w:t>
                  </w:r>
                </w:p>
              </w:tc>
              <w:tc>
                <w:tcPr>
                  <w:tcW w:w="1831" w:type="pct"/>
                  <w:noWrap w:val="0"/>
                  <w:vAlign w:val="center"/>
                </w:tcPr>
                <w:p w14:paraId="58F8A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一级碱喷淋+一级水喷淋</w:t>
                  </w:r>
                  <w:r>
                    <w:rPr>
                      <w:rFonts w:hint="eastAsia" w:ascii="Times New Roman" w:hAnsi="Times New Roman"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除雾器+</w:t>
                  </w:r>
                  <w:r>
                    <w:rPr>
                      <w:rFonts w:hint="eastAsia" w:ascii="Times New Roman" w:hAnsi="Times New Roman" w:cs="Times New Roman"/>
                      <w:color w:val="auto"/>
                      <w:sz w:val="21"/>
                      <w:szCs w:val="21"/>
                      <w:highlight w:val="none"/>
                      <w:shd w:val="clear" w:color="auto" w:fill="auto"/>
                      <w:lang w:val="en-US" w:eastAsia="zh-CN"/>
                    </w:rPr>
                    <w:t>二级活性炭吸附装置（风机风量15000m</w:t>
                  </w:r>
                  <w:r>
                    <w:rPr>
                      <w:rFonts w:hint="eastAsia" w:ascii="Times New Roman" w:hAnsi="Times New Roman" w:cs="Times New Roman"/>
                      <w:color w:val="auto"/>
                      <w:sz w:val="21"/>
                      <w:szCs w:val="21"/>
                      <w:highlight w:val="none"/>
                      <w:shd w:val="clear" w:color="auto" w:fill="auto"/>
                      <w:vertAlign w:val="superscript"/>
                      <w:lang w:val="en-US" w:eastAsia="zh-CN"/>
                    </w:rPr>
                    <w:t>3</w:t>
                  </w:r>
                  <w:r>
                    <w:rPr>
                      <w:rFonts w:hint="eastAsia" w:ascii="Times New Roman" w:hAnsi="Times New Roman" w:cs="Times New Roman"/>
                      <w:color w:val="auto"/>
                      <w:sz w:val="21"/>
                      <w:szCs w:val="21"/>
                      <w:highlight w:val="none"/>
                      <w:shd w:val="clear" w:color="auto" w:fill="auto"/>
                      <w:lang w:val="en-US" w:eastAsia="zh-CN"/>
                    </w:rPr>
                    <w:t>/h）</w:t>
                  </w:r>
                </w:p>
              </w:tc>
              <w:tc>
                <w:tcPr>
                  <w:tcW w:w="814" w:type="pct"/>
                  <w:tcBorders>
                    <w:top w:val="single" w:color="000000" w:sz="4" w:space="0"/>
                  </w:tcBorders>
                  <w:noWrap w:val="0"/>
                  <w:vAlign w:val="center"/>
                </w:tcPr>
                <w:p w14:paraId="5103F6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排气筒</w:t>
                  </w:r>
                  <w:r>
                    <w:rPr>
                      <w:rFonts w:hint="eastAsia" w:ascii="Times New Roman" w:hAnsi="Times New Roman" w:cs="Times New Roman"/>
                      <w:color w:val="auto"/>
                      <w:sz w:val="21"/>
                      <w:szCs w:val="21"/>
                      <w:highlight w:val="none"/>
                      <w:shd w:val="clear" w:color="auto" w:fill="auto"/>
                      <w:lang w:val="en-US" w:eastAsia="zh-CN"/>
                    </w:rPr>
                    <w:t>FQ17</w:t>
                  </w:r>
                </w:p>
              </w:tc>
            </w:tr>
          </w:tbl>
          <w:p w14:paraId="49497AB1">
            <w:pPr>
              <w:pStyle w:val="12"/>
              <w:keepNext w:val="0"/>
              <w:keepLines w:val="0"/>
              <w:pageBreakBefore w:val="0"/>
              <w:widowControl w:val="0"/>
              <w:numPr>
                <w:ilvl w:val="0"/>
                <w:numId w:val="0"/>
              </w:numPr>
              <w:suppressLineNumbers w:val="0"/>
              <w:tabs>
                <w:tab w:val="left" w:pos="2037"/>
                <w:tab w:val="clear" w:pos="2040"/>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color w:val="auto"/>
                <w:highlight w:val="none"/>
                <w:vertAlign w:val="baseline"/>
              </w:rPr>
            </w:pPr>
            <w:r>
              <w:rPr>
                <w:rFonts w:hint="default"/>
                <w:color w:val="auto"/>
                <w:sz w:val="24"/>
                <w:szCs w:val="24"/>
                <w:highlight w:val="none"/>
                <w:vertAlign w:val="baseline"/>
                <w:lang w:val="en-US" w:eastAsia="zh-CN"/>
              </w:rPr>
              <w:t>根据《时代天使创美基地项目二阶段、年产1亿个隐形矫治器技术改造项目一阶段、年产一亿个口腔隐形正畸产品的个性化定制与柔性制造协同创新模式应用项目一阶段》竣工环境保护验收报告中废气检测报告，编号为SZJC2411004，检测日期2024年11月4日~5日，已建投产部分大气污染物排放、达标情况如下。</w:t>
            </w:r>
          </w:p>
        </w:tc>
      </w:tr>
    </w:tbl>
    <w:p w14:paraId="677C8766">
      <w:pPr>
        <w:pStyle w:val="12"/>
        <w:rPr>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5"/>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
        <w:gridCol w:w="8895"/>
      </w:tblGrid>
      <w:tr w14:paraId="3EDD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3" w:hRule="atLeast"/>
        </w:trPr>
        <w:tc>
          <w:tcPr>
            <w:tcW w:w="323" w:type="dxa"/>
          </w:tcPr>
          <w:p w14:paraId="11E55382">
            <w:pPr>
              <w:pStyle w:val="12"/>
              <w:keepNext w:val="0"/>
              <w:keepLines w:val="0"/>
              <w:suppressLineNumbers w:val="0"/>
              <w:spacing w:before="0" w:beforeAutospacing="0" w:after="0" w:afterAutospacing="0"/>
              <w:ind w:left="0" w:right="0"/>
              <w:rPr>
                <w:rFonts w:hint="default"/>
                <w:color w:val="auto"/>
                <w:highlight w:val="none"/>
                <w:vertAlign w:val="baseline"/>
              </w:rPr>
            </w:pPr>
          </w:p>
        </w:tc>
        <w:tc>
          <w:tcPr>
            <w:tcW w:w="8895" w:type="dxa"/>
          </w:tcPr>
          <w:p w14:paraId="61AD726C">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表2-</w:t>
            </w:r>
            <w:r>
              <w:rPr>
                <w:rFonts w:hint="eastAsia" w:cs="Times New Roman"/>
                <w:b/>
                <w:bCs/>
                <w:color w:val="auto"/>
                <w:kern w:val="2"/>
                <w:sz w:val="21"/>
                <w:szCs w:val="21"/>
                <w:highlight w:val="none"/>
                <w:lang w:val="en-US" w:eastAsia="zh-CN" w:bidi="ar-SA"/>
              </w:rPr>
              <w:t>10</w:t>
            </w:r>
            <w:r>
              <w:rPr>
                <w:rFonts w:hint="eastAsia"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sz w:val="21"/>
                <w:szCs w:val="21"/>
                <w:highlight w:val="none"/>
                <w:lang w:val="en-US" w:eastAsia="zh-CN"/>
              </w:rPr>
              <w:t>现有项目有组织排放达标情况表（已建投产部分）</w:t>
            </w:r>
          </w:p>
          <w:tbl>
            <w:tblPr>
              <w:tblStyle w:val="3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
              <w:gridCol w:w="941"/>
              <w:gridCol w:w="845"/>
              <w:gridCol w:w="1288"/>
              <w:gridCol w:w="886"/>
              <w:gridCol w:w="1380"/>
              <w:gridCol w:w="876"/>
              <w:gridCol w:w="876"/>
              <w:gridCol w:w="934"/>
            </w:tblGrid>
            <w:tr w14:paraId="77511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jc w:val="center"/>
              </w:trPr>
              <w:tc>
                <w:tcPr>
                  <w:tcW w:w="419" w:type="dxa"/>
                  <w:vMerge w:val="restart"/>
                  <w:tcBorders>
                    <w:top w:val="single" w:color="000000" w:sz="12" w:space="0"/>
                    <w:left w:val="single" w:color="000000" w:sz="6" w:space="0"/>
                    <w:bottom w:val="single" w:color="000000" w:sz="6" w:space="0"/>
                    <w:right w:val="single" w:color="000000" w:sz="6" w:space="0"/>
                  </w:tcBorders>
                  <w:vAlign w:val="center"/>
                </w:tcPr>
                <w:p w14:paraId="433B859F">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检测</w:t>
                  </w:r>
                </w:p>
                <w:p w14:paraId="74F765BC">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点位</w:t>
                  </w:r>
                </w:p>
              </w:tc>
              <w:tc>
                <w:tcPr>
                  <w:tcW w:w="941" w:type="dxa"/>
                  <w:vMerge w:val="restart"/>
                  <w:tcBorders>
                    <w:top w:val="single" w:color="000000" w:sz="12" w:space="0"/>
                    <w:left w:val="single" w:color="000000" w:sz="6" w:space="0"/>
                    <w:bottom w:val="single" w:color="000000" w:sz="6" w:space="0"/>
                    <w:right w:val="single" w:color="000000" w:sz="6" w:space="0"/>
                  </w:tcBorders>
                  <w:vAlign w:val="center"/>
                </w:tcPr>
                <w:p w14:paraId="38D0E4F3">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检测</w:t>
                  </w:r>
                </w:p>
                <w:p w14:paraId="6CA365E9">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项目</w:t>
                  </w:r>
                </w:p>
              </w:tc>
              <w:tc>
                <w:tcPr>
                  <w:tcW w:w="2133" w:type="dxa"/>
                  <w:gridSpan w:val="2"/>
                  <w:tcBorders>
                    <w:top w:val="single" w:color="000000" w:sz="12" w:space="0"/>
                    <w:left w:val="single" w:color="000000" w:sz="6" w:space="0"/>
                    <w:bottom w:val="single" w:color="000000" w:sz="6" w:space="0"/>
                    <w:right w:val="single" w:color="000000" w:sz="6" w:space="0"/>
                  </w:tcBorders>
                  <w:vAlign w:val="center"/>
                </w:tcPr>
                <w:p w14:paraId="458420EE">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有组织检测结果</w:t>
                  </w:r>
                </w:p>
              </w:tc>
              <w:tc>
                <w:tcPr>
                  <w:tcW w:w="886" w:type="dxa"/>
                  <w:vMerge w:val="restart"/>
                  <w:tcBorders>
                    <w:top w:val="single" w:color="000000" w:sz="12" w:space="0"/>
                    <w:left w:val="single" w:color="000000" w:sz="6" w:space="0"/>
                    <w:bottom w:val="single" w:color="000000" w:sz="6" w:space="0"/>
                    <w:right w:val="single" w:color="000000" w:sz="6" w:space="0"/>
                  </w:tcBorders>
                  <w:vAlign w:val="center"/>
                </w:tcPr>
                <w:p w14:paraId="5E9A7415">
                  <w:pPr>
                    <w:spacing w:line="144" w:lineRule="auto"/>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年运行小时h</w:t>
                  </w:r>
                </w:p>
              </w:tc>
              <w:tc>
                <w:tcPr>
                  <w:tcW w:w="1380" w:type="dxa"/>
                  <w:vMerge w:val="restart"/>
                  <w:tcBorders>
                    <w:top w:val="single" w:color="000000" w:sz="12" w:space="0"/>
                    <w:left w:val="single" w:color="000000" w:sz="6" w:space="0"/>
                    <w:bottom w:val="single" w:color="000000" w:sz="6" w:space="0"/>
                    <w:right w:val="single" w:color="000000" w:sz="6" w:space="0"/>
                  </w:tcBorders>
                  <w:vAlign w:val="center"/>
                </w:tcPr>
                <w:p w14:paraId="21AEA566">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val="en-US" w:eastAsia="zh-CN"/>
                    </w:rPr>
                    <w:t>实际年排放量（t/a）</w:t>
                  </w:r>
                </w:p>
              </w:tc>
              <w:tc>
                <w:tcPr>
                  <w:tcW w:w="876" w:type="dxa"/>
                  <w:vMerge w:val="restart"/>
                  <w:tcBorders>
                    <w:top w:val="single" w:color="000000" w:sz="12" w:space="0"/>
                    <w:left w:val="single" w:color="000000" w:sz="6" w:space="0"/>
                    <w:bottom w:val="single" w:color="000000" w:sz="6" w:space="0"/>
                    <w:right w:val="single" w:color="000000" w:sz="6" w:space="0"/>
                  </w:tcBorders>
                  <w:vAlign w:val="center"/>
                </w:tcPr>
                <w:p w14:paraId="3B4023A7">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排气筒高度m</w:t>
                  </w:r>
                </w:p>
              </w:tc>
              <w:tc>
                <w:tcPr>
                  <w:tcW w:w="1810" w:type="dxa"/>
                  <w:gridSpan w:val="2"/>
                  <w:vMerge w:val="restart"/>
                  <w:tcBorders>
                    <w:top w:val="single" w:color="000000" w:sz="12" w:space="0"/>
                    <w:left w:val="single" w:color="000000" w:sz="6" w:space="0"/>
                    <w:bottom w:val="single" w:color="000000" w:sz="6" w:space="0"/>
                    <w:right w:val="nil"/>
                  </w:tcBorders>
                  <w:vAlign w:val="center"/>
                </w:tcPr>
                <w:p w14:paraId="00850102">
                  <w:pPr>
                    <w:spacing w:line="144" w:lineRule="auto"/>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排放标准</w:t>
                  </w:r>
                </w:p>
              </w:tc>
            </w:tr>
            <w:tr w14:paraId="243FD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419" w:type="dxa"/>
                  <w:vMerge w:val="continue"/>
                  <w:tcBorders>
                    <w:top w:val="single" w:color="000000" w:sz="6" w:space="0"/>
                    <w:left w:val="nil"/>
                    <w:bottom w:val="single" w:color="000000" w:sz="6" w:space="0"/>
                    <w:right w:val="single" w:color="000000" w:sz="6" w:space="0"/>
                  </w:tcBorders>
                  <w:vAlign w:val="center"/>
                </w:tcPr>
                <w:p w14:paraId="5ECB79D6">
                  <w:pPr>
                    <w:spacing w:line="144" w:lineRule="auto"/>
                    <w:jc w:val="center"/>
                    <w:rPr>
                      <w:rFonts w:hint="default" w:ascii="Times New Roman" w:hAnsi="Times New Roman" w:eastAsia="宋体" w:cs="Times New Roman"/>
                      <w:b/>
                      <w:bCs/>
                      <w:color w:val="auto"/>
                      <w:sz w:val="18"/>
                      <w:szCs w:val="18"/>
                      <w:highlight w:val="none"/>
                    </w:rPr>
                  </w:pPr>
                </w:p>
              </w:tc>
              <w:tc>
                <w:tcPr>
                  <w:tcW w:w="941" w:type="dxa"/>
                  <w:vMerge w:val="continue"/>
                  <w:tcBorders>
                    <w:top w:val="single" w:color="000000" w:sz="6" w:space="0"/>
                    <w:left w:val="single" w:color="000000" w:sz="6" w:space="0"/>
                    <w:bottom w:val="single" w:color="000000" w:sz="6" w:space="0"/>
                    <w:right w:val="single" w:color="000000" w:sz="6" w:space="0"/>
                  </w:tcBorders>
                  <w:vAlign w:val="center"/>
                </w:tcPr>
                <w:p w14:paraId="4BEBE485">
                  <w:pPr>
                    <w:spacing w:line="144" w:lineRule="auto"/>
                    <w:jc w:val="center"/>
                    <w:rPr>
                      <w:rFonts w:hint="default" w:ascii="Times New Roman" w:hAnsi="Times New Roman" w:eastAsia="宋体" w:cs="Times New Roman"/>
                      <w:b/>
                      <w:bCs/>
                      <w:color w:val="auto"/>
                      <w:sz w:val="18"/>
                      <w:szCs w:val="18"/>
                      <w:highlight w:val="none"/>
                    </w:rPr>
                  </w:pPr>
                </w:p>
              </w:tc>
              <w:tc>
                <w:tcPr>
                  <w:tcW w:w="845" w:type="dxa"/>
                  <w:vMerge w:val="restart"/>
                  <w:tcBorders>
                    <w:top w:val="single" w:color="000000" w:sz="6" w:space="0"/>
                    <w:left w:val="single" w:color="000000" w:sz="6" w:space="0"/>
                    <w:right w:val="single" w:color="000000" w:sz="6" w:space="0"/>
                  </w:tcBorders>
                  <w:vAlign w:val="center"/>
                </w:tcPr>
                <w:p w14:paraId="5476DC67">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排放浓度</w:t>
                  </w:r>
                </w:p>
                <w:p w14:paraId="225B4135">
                  <w:pPr>
                    <w:spacing w:line="144" w:lineRule="auto"/>
                    <w:jc w:val="center"/>
                    <w:rPr>
                      <w:rFonts w:hint="default"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eastAsia" w:ascii="Times New Roman" w:hAnsi="Times New Roman" w:eastAsia="宋体" w:cs="Times New Roman"/>
                      <w:b/>
                      <w:bCs/>
                      <w:color w:val="auto"/>
                      <w:sz w:val="18"/>
                      <w:szCs w:val="18"/>
                      <w:highlight w:val="none"/>
                      <w:lang w:eastAsia="zh-CN"/>
                    </w:rPr>
                    <w:t>）</w:t>
                  </w:r>
                </w:p>
              </w:tc>
              <w:tc>
                <w:tcPr>
                  <w:tcW w:w="1288" w:type="dxa"/>
                  <w:vMerge w:val="restart"/>
                  <w:tcBorders>
                    <w:top w:val="single" w:color="000000" w:sz="6" w:space="0"/>
                    <w:left w:val="single" w:color="000000" w:sz="6" w:space="0"/>
                    <w:right w:val="single" w:color="000000" w:sz="6" w:space="0"/>
                  </w:tcBorders>
                  <w:vAlign w:val="center"/>
                </w:tcPr>
                <w:p w14:paraId="6BBE25A3">
                  <w:pPr>
                    <w:spacing w:line="144" w:lineRule="auto"/>
                    <w:jc w:val="center"/>
                    <w:rPr>
                      <w:rFonts w:hint="default" w:ascii="Times New Roman" w:hAnsi="Times New Roman" w:eastAsia="宋体" w:cs="Times New Roman"/>
                      <w:b/>
                      <w:bCs/>
                      <w:color w:val="auto"/>
                      <w:sz w:val="18"/>
                      <w:szCs w:val="18"/>
                      <w:highlight w:val="none"/>
                    </w:rPr>
                  </w:pPr>
                  <w:r>
                    <w:rPr>
                      <w:rFonts w:hint="eastAsia" w:ascii="Times New Roman" w:hAnsi="Times New Roman" w:eastAsia="宋体" w:cs="Times New Roman"/>
                      <w:b/>
                      <w:bCs/>
                      <w:color w:val="auto"/>
                      <w:sz w:val="18"/>
                      <w:szCs w:val="18"/>
                      <w:highlight w:val="none"/>
                      <w:lang w:val="en-US" w:eastAsia="zh-CN"/>
                    </w:rPr>
                    <w:t>平均</w:t>
                  </w:r>
                  <w:r>
                    <w:rPr>
                      <w:rFonts w:hint="default" w:ascii="Times New Roman" w:hAnsi="Times New Roman" w:eastAsia="宋体" w:cs="Times New Roman"/>
                      <w:b/>
                      <w:bCs/>
                      <w:color w:val="auto"/>
                      <w:sz w:val="18"/>
                      <w:szCs w:val="18"/>
                      <w:highlight w:val="none"/>
                    </w:rPr>
                    <w:t>排放速率kg/h</w:t>
                  </w:r>
                </w:p>
              </w:tc>
              <w:tc>
                <w:tcPr>
                  <w:tcW w:w="886" w:type="dxa"/>
                  <w:vMerge w:val="continue"/>
                  <w:tcBorders>
                    <w:top w:val="single" w:color="000000" w:sz="6" w:space="0"/>
                    <w:left w:val="single" w:color="000000" w:sz="6" w:space="0"/>
                    <w:bottom w:val="single" w:color="000000" w:sz="6" w:space="0"/>
                    <w:right w:val="single" w:color="000000" w:sz="6" w:space="0"/>
                  </w:tcBorders>
                  <w:vAlign w:val="center"/>
                </w:tcPr>
                <w:p w14:paraId="5D1C62A7">
                  <w:pPr>
                    <w:spacing w:line="144" w:lineRule="auto"/>
                    <w:jc w:val="center"/>
                    <w:rPr>
                      <w:rFonts w:hint="default" w:ascii="Times New Roman" w:hAnsi="Times New Roman" w:eastAsia="宋体" w:cs="Times New Roman"/>
                      <w:b/>
                      <w:bCs/>
                      <w:color w:val="auto"/>
                      <w:sz w:val="18"/>
                      <w:szCs w:val="18"/>
                      <w:highlight w:val="none"/>
                      <w:lang w:val="en-US" w:eastAsia="zh-CN"/>
                    </w:rPr>
                  </w:pPr>
                </w:p>
              </w:tc>
              <w:tc>
                <w:tcPr>
                  <w:tcW w:w="1380" w:type="dxa"/>
                  <w:vMerge w:val="continue"/>
                  <w:tcBorders>
                    <w:top w:val="single" w:color="000000" w:sz="6" w:space="0"/>
                    <w:left w:val="single" w:color="000000" w:sz="6" w:space="0"/>
                    <w:bottom w:val="single" w:color="000000" w:sz="6" w:space="0"/>
                    <w:right w:val="single" w:color="000000" w:sz="6" w:space="0"/>
                  </w:tcBorders>
                  <w:vAlign w:val="center"/>
                </w:tcPr>
                <w:p w14:paraId="450F0737">
                  <w:pPr>
                    <w:spacing w:line="144" w:lineRule="auto"/>
                    <w:jc w:val="center"/>
                    <w:rPr>
                      <w:rFonts w:hint="default" w:ascii="Times New Roman" w:hAnsi="Times New Roman" w:eastAsia="宋体" w:cs="Times New Roman"/>
                      <w:b/>
                      <w:bCs/>
                      <w:color w:val="auto"/>
                      <w:sz w:val="18"/>
                      <w:szCs w:val="18"/>
                      <w:highlight w:val="none"/>
                    </w:rPr>
                  </w:pPr>
                </w:p>
              </w:tc>
              <w:tc>
                <w:tcPr>
                  <w:tcW w:w="876" w:type="dxa"/>
                  <w:vMerge w:val="continue"/>
                  <w:tcBorders>
                    <w:top w:val="single" w:color="000000" w:sz="6" w:space="0"/>
                    <w:left w:val="single" w:color="000000" w:sz="6" w:space="0"/>
                    <w:bottom w:val="single" w:color="000000" w:sz="6" w:space="0"/>
                    <w:right w:val="single" w:color="000000" w:sz="6" w:space="0"/>
                  </w:tcBorders>
                  <w:vAlign w:val="center"/>
                </w:tcPr>
                <w:p w14:paraId="166D59B4">
                  <w:pPr>
                    <w:spacing w:line="144" w:lineRule="auto"/>
                    <w:jc w:val="center"/>
                    <w:rPr>
                      <w:rFonts w:hint="default" w:ascii="Times New Roman" w:hAnsi="Times New Roman" w:eastAsia="宋体" w:cs="Times New Roman"/>
                      <w:b w:val="0"/>
                      <w:bCs w:val="0"/>
                      <w:color w:val="auto"/>
                      <w:sz w:val="18"/>
                      <w:szCs w:val="18"/>
                      <w:highlight w:val="none"/>
                    </w:rPr>
                  </w:pPr>
                </w:p>
              </w:tc>
              <w:tc>
                <w:tcPr>
                  <w:tcW w:w="1810" w:type="dxa"/>
                  <w:gridSpan w:val="2"/>
                  <w:vMerge w:val="continue"/>
                  <w:tcBorders>
                    <w:top w:val="single" w:color="000000" w:sz="6" w:space="0"/>
                    <w:left w:val="single" w:color="000000" w:sz="6" w:space="0"/>
                    <w:bottom w:val="single" w:color="000000" w:sz="6" w:space="0"/>
                    <w:right w:val="nil"/>
                  </w:tcBorders>
                  <w:vAlign w:val="center"/>
                </w:tcPr>
                <w:p w14:paraId="0BE887A4">
                  <w:pPr>
                    <w:spacing w:line="144" w:lineRule="auto"/>
                    <w:jc w:val="center"/>
                    <w:rPr>
                      <w:rFonts w:hint="default" w:ascii="Times New Roman" w:hAnsi="Times New Roman" w:eastAsia="宋体" w:cs="Times New Roman"/>
                      <w:b w:val="0"/>
                      <w:bCs w:val="0"/>
                      <w:color w:val="auto"/>
                      <w:sz w:val="18"/>
                      <w:szCs w:val="18"/>
                      <w:highlight w:val="none"/>
                    </w:rPr>
                  </w:pPr>
                </w:p>
              </w:tc>
            </w:tr>
            <w:tr w14:paraId="4CBE4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jc w:val="center"/>
              </w:trPr>
              <w:tc>
                <w:tcPr>
                  <w:tcW w:w="419" w:type="dxa"/>
                  <w:vMerge w:val="continue"/>
                  <w:tcBorders>
                    <w:top w:val="single" w:color="000000" w:sz="6" w:space="0"/>
                    <w:left w:val="nil"/>
                    <w:bottom w:val="single" w:color="000000" w:sz="6" w:space="0"/>
                    <w:right w:val="single" w:color="000000" w:sz="6" w:space="0"/>
                  </w:tcBorders>
                  <w:vAlign w:val="center"/>
                </w:tcPr>
                <w:p w14:paraId="6829AD48">
                  <w:pPr>
                    <w:spacing w:line="144" w:lineRule="auto"/>
                    <w:jc w:val="center"/>
                    <w:rPr>
                      <w:rFonts w:hint="default" w:ascii="Times New Roman" w:hAnsi="Times New Roman" w:eastAsia="宋体" w:cs="Times New Roman"/>
                      <w:b/>
                      <w:bCs/>
                      <w:color w:val="auto"/>
                      <w:sz w:val="18"/>
                      <w:szCs w:val="18"/>
                      <w:highlight w:val="none"/>
                    </w:rPr>
                  </w:pPr>
                </w:p>
              </w:tc>
              <w:tc>
                <w:tcPr>
                  <w:tcW w:w="941" w:type="dxa"/>
                  <w:vMerge w:val="continue"/>
                  <w:tcBorders>
                    <w:left w:val="single" w:color="000000" w:sz="6" w:space="0"/>
                    <w:bottom w:val="single" w:color="000000" w:sz="6" w:space="0"/>
                    <w:right w:val="single" w:color="000000" w:sz="6" w:space="0"/>
                  </w:tcBorders>
                  <w:vAlign w:val="center"/>
                </w:tcPr>
                <w:p w14:paraId="27A48BEB">
                  <w:pPr>
                    <w:spacing w:line="144" w:lineRule="auto"/>
                    <w:jc w:val="center"/>
                    <w:rPr>
                      <w:rFonts w:hint="default" w:ascii="Times New Roman" w:hAnsi="Times New Roman" w:eastAsia="宋体" w:cs="Times New Roman"/>
                      <w:b/>
                      <w:bCs/>
                      <w:color w:val="auto"/>
                      <w:sz w:val="18"/>
                      <w:szCs w:val="18"/>
                      <w:highlight w:val="none"/>
                    </w:rPr>
                  </w:pPr>
                </w:p>
              </w:tc>
              <w:tc>
                <w:tcPr>
                  <w:tcW w:w="845" w:type="dxa"/>
                  <w:vMerge w:val="continue"/>
                  <w:tcBorders>
                    <w:left w:val="single" w:color="000000" w:sz="6" w:space="0"/>
                    <w:bottom w:val="single" w:color="000000" w:sz="6" w:space="0"/>
                    <w:right w:val="single" w:color="000000" w:sz="6" w:space="0"/>
                  </w:tcBorders>
                  <w:vAlign w:val="center"/>
                </w:tcPr>
                <w:p w14:paraId="3F4AC0CC">
                  <w:pPr>
                    <w:spacing w:line="144" w:lineRule="auto"/>
                    <w:jc w:val="center"/>
                    <w:rPr>
                      <w:rFonts w:hint="eastAsia" w:ascii="Times New Roman" w:hAnsi="Times New Roman" w:eastAsia="宋体" w:cs="Times New Roman"/>
                      <w:b/>
                      <w:bCs/>
                      <w:color w:val="auto"/>
                      <w:sz w:val="18"/>
                      <w:szCs w:val="18"/>
                      <w:highlight w:val="none"/>
                      <w:lang w:eastAsia="zh-CN"/>
                    </w:rPr>
                  </w:pPr>
                </w:p>
              </w:tc>
              <w:tc>
                <w:tcPr>
                  <w:tcW w:w="1288" w:type="dxa"/>
                  <w:vMerge w:val="continue"/>
                  <w:tcBorders>
                    <w:left w:val="single" w:color="000000" w:sz="6" w:space="0"/>
                    <w:bottom w:val="single" w:color="000000" w:sz="6" w:space="0"/>
                    <w:right w:val="single" w:color="000000" w:sz="6" w:space="0"/>
                  </w:tcBorders>
                  <w:vAlign w:val="center"/>
                </w:tcPr>
                <w:p w14:paraId="2727A701">
                  <w:pPr>
                    <w:spacing w:line="144" w:lineRule="auto"/>
                    <w:jc w:val="center"/>
                    <w:rPr>
                      <w:rFonts w:hint="eastAsia" w:ascii="Times New Roman" w:hAnsi="Times New Roman" w:eastAsia="宋体" w:cs="Times New Roman"/>
                      <w:b/>
                      <w:bCs/>
                      <w:color w:val="auto"/>
                      <w:sz w:val="18"/>
                      <w:szCs w:val="18"/>
                      <w:highlight w:val="none"/>
                      <w:lang w:val="en-US" w:eastAsia="zh-CN"/>
                    </w:rPr>
                  </w:pPr>
                </w:p>
              </w:tc>
              <w:tc>
                <w:tcPr>
                  <w:tcW w:w="886" w:type="dxa"/>
                  <w:vMerge w:val="continue"/>
                  <w:tcBorders>
                    <w:left w:val="single" w:color="000000" w:sz="6" w:space="0"/>
                    <w:bottom w:val="single" w:color="000000" w:sz="6" w:space="0"/>
                    <w:right w:val="single" w:color="000000" w:sz="6" w:space="0"/>
                  </w:tcBorders>
                  <w:vAlign w:val="center"/>
                </w:tcPr>
                <w:p w14:paraId="6EF6819B">
                  <w:pPr>
                    <w:spacing w:line="144" w:lineRule="auto"/>
                    <w:jc w:val="center"/>
                    <w:rPr>
                      <w:rFonts w:hint="default" w:ascii="Times New Roman" w:hAnsi="Times New Roman" w:eastAsia="宋体" w:cs="Times New Roman"/>
                      <w:b/>
                      <w:bCs/>
                      <w:color w:val="auto"/>
                      <w:sz w:val="18"/>
                      <w:szCs w:val="18"/>
                      <w:highlight w:val="none"/>
                      <w:lang w:val="en-US" w:eastAsia="zh-CN"/>
                    </w:rPr>
                  </w:pPr>
                </w:p>
              </w:tc>
              <w:tc>
                <w:tcPr>
                  <w:tcW w:w="1380" w:type="dxa"/>
                  <w:vMerge w:val="continue"/>
                  <w:tcBorders>
                    <w:left w:val="single" w:color="000000" w:sz="6" w:space="0"/>
                    <w:bottom w:val="single" w:color="000000" w:sz="6" w:space="0"/>
                    <w:right w:val="single" w:color="000000" w:sz="6" w:space="0"/>
                  </w:tcBorders>
                  <w:vAlign w:val="center"/>
                </w:tcPr>
                <w:p w14:paraId="3B181A10">
                  <w:pPr>
                    <w:spacing w:line="144" w:lineRule="auto"/>
                    <w:jc w:val="center"/>
                    <w:rPr>
                      <w:rFonts w:hint="default" w:ascii="Times New Roman" w:hAnsi="Times New Roman" w:eastAsia="宋体" w:cs="Times New Roman"/>
                      <w:b/>
                      <w:bCs/>
                      <w:color w:val="auto"/>
                      <w:sz w:val="18"/>
                      <w:szCs w:val="18"/>
                      <w:highlight w:val="none"/>
                    </w:rPr>
                  </w:pPr>
                </w:p>
              </w:tc>
              <w:tc>
                <w:tcPr>
                  <w:tcW w:w="876" w:type="dxa"/>
                  <w:vMerge w:val="continue"/>
                  <w:tcBorders>
                    <w:left w:val="single" w:color="000000" w:sz="6" w:space="0"/>
                    <w:bottom w:val="single" w:color="000000" w:sz="6" w:space="0"/>
                    <w:right w:val="single" w:color="000000" w:sz="6" w:space="0"/>
                  </w:tcBorders>
                  <w:vAlign w:val="center"/>
                </w:tcPr>
                <w:p w14:paraId="74735E29">
                  <w:pPr>
                    <w:spacing w:line="144" w:lineRule="auto"/>
                    <w:jc w:val="center"/>
                    <w:rPr>
                      <w:rFonts w:hint="default" w:ascii="Times New Roman" w:hAnsi="Times New Roman" w:eastAsia="宋体" w:cs="Times New Roman"/>
                      <w:b w:val="0"/>
                      <w:bCs w:val="0"/>
                      <w:color w:val="auto"/>
                      <w:sz w:val="18"/>
                      <w:szCs w:val="18"/>
                      <w:highlight w:val="none"/>
                    </w:rPr>
                  </w:pPr>
                </w:p>
              </w:tc>
              <w:tc>
                <w:tcPr>
                  <w:tcW w:w="876" w:type="dxa"/>
                  <w:tcBorders>
                    <w:top w:val="single" w:color="000000" w:sz="6" w:space="0"/>
                    <w:left w:val="single" w:color="000000" w:sz="6" w:space="0"/>
                    <w:bottom w:val="single" w:color="000000" w:sz="6" w:space="0"/>
                    <w:right w:val="single" w:color="000000" w:sz="6" w:space="0"/>
                  </w:tcBorders>
                  <w:vAlign w:val="center"/>
                </w:tcPr>
                <w:p w14:paraId="7E7C9FB9">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排放浓度</w:t>
                  </w:r>
                </w:p>
                <w:p w14:paraId="6F9DB4A7">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eastAsia" w:ascii="Times New Roman" w:hAnsi="Times New Roman" w:eastAsia="宋体" w:cs="Times New Roman"/>
                      <w:b/>
                      <w:bCs/>
                      <w:color w:val="auto"/>
                      <w:sz w:val="18"/>
                      <w:szCs w:val="18"/>
                      <w:highlight w:val="none"/>
                      <w:lang w:eastAsia="zh-CN"/>
                    </w:rPr>
                    <w:t>）</w:t>
                  </w:r>
                </w:p>
              </w:tc>
              <w:tc>
                <w:tcPr>
                  <w:tcW w:w="934" w:type="dxa"/>
                  <w:tcBorders>
                    <w:top w:val="single" w:color="000000" w:sz="6" w:space="0"/>
                    <w:left w:val="single" w:color="000000" w:sz="6" w:space="0"/>
                    <w:bottom w:val="single" w:color="000000" w:sz="6" w:space="0"/>
                    <w:right w:val="nil"/>
                  </w:tcBorders>
                  <w:vAlign w:val="center"/>
                </w:tcPr>
                <w:p w14:paraId="731ADD08">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bCs/>
                      <w:color w:val="auto"/>
                      <w:sz w:val="18"/>
                      <w:szCs w:val="18"/>
                      <w:highlight w:val="none"/>
                    </w:rPr>
                    <w:t>排放速率kg/h</w:t>
                  </w:r>
                </w:p>
              </w:tc>
            </w:tr>
            <w:tr w14:paraId="66B95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419" w:type="dxa"/>
                  <w:vMerge w:val="restart"/>
                  <w:tcBorders>
                    <w:top w:val="single" w:color="000000" w:sz="6" w:space="0"/>
                    <w:left w:val="nil"/>
                    <w:bottom w:val="single" w:color="000000" w:sz="6" w:space="0"/>
                    <w:right w:val="single" w:color="000000" w:sz="6" w:space="0"/>
                  </w:tcBorders>
                  <w:vAlign w:val="center"/>
                </w:tcPr>
                <w:p w14:paraId="36262E4A">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FQ01</w:t>
                  </w:r>
                </w:p>
              </w:tc>
              <w:tc>
                <w:tcPr>
                  <w:tcW w:w="941" w:type="dxa"/>
                  <w:tcBorders>
                    <w:top w:val="single" w:color="000000" w:sz="6" w:space="0"/>
                    <w:left w:val="single" w:color="000000" w:sz="6" w:space="0"/>
                    <w:bottom w:val="single" w:color="000000" w:sz="6" w:space="0"/>
                    <w:right w:val="single" w:color="000000" w:sz="6" w:space="0"/>
                  </w:tcBorders>
                  <w:vAlign w:val="center"/>
                </w:tcPr>
                <w:p w14:paraId="257F44D3">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非甲烷总烃</w:t>
                  </w:r>
                </w:p>
              </w:tc>
              <w:tc>
                <w:tcPr>
                  <w:tcW w:w="845" w:type="dxa"/>
                  <w:tcBorders>
                    <w:top w:val="single" w:color="000000" w:sz="6" w:space="0"/>
                    <w:left w:val="single" w:color="000000" w:sz="6" w:space="0"/>
                    <w:bottom w:val="single" w:color="000000" w:sz="6" w:space="0"/>
                    <w:right w:val="single" w:color="000000" w:sz="6" w:space="0"/>
                  </w:tcBorders>
                  <w:vAlign w:val="center"/>
                </w:tcPr>
                <w:p w14:paraId="366263ED">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1.26-1.64</w:t>
                  </w:r>
                </w:p>
              </w:tc>
              <w:tc>
                <w:tcPr>
                  <w:tcW w:w="1288" w:type="dxa"/>
                  <w:tcBorders>
                    <w:top w:val="single" w:color="000000" w:sz="6" w:space="0"/>
                    <w:left w:val="single" w:color="000000" w:sz="6" w:space="0"/>
                    <w:bottom w:val="single" w:color="000000" w:sz="6" w:space="0"/>
                    <w:right w:val="single" w:color="000000" w:sz="6" w:space="0"/>
                  </w:tcBorders>
                  <w:vAlign w:val="center"/>
                </w:tcPr>
                <w:p w14:paraId="7D42C28A">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9.49</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886" w:type="dxa"/>
                  <w:vMerge w:val="restart"/>
                  <w:tcBorders>
                    <w:top w:val="single" w:color="000000" w:sz="6" w:space="0"/>
                    <w:left w:val="single" w:color="000000" w:sz="6" w:space="0"/>
                    <w:right w:val="single" w:color="000000" w:sz="6" w:space="0"/>
                  </w:tcBorders>
                  <w:vAlign w:val="center"/>
                </w:tcPr>
                <w:p w14:paraId="64AF7ECF">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1800</w:t>
                  </w:r>
                </w:p>
              </w:tc>
              <w:tc>
                <w:tcPr>
                  <w:tcW w:w="1380" w:type="dxa"/>
                  <w:tcBorders>
                    <w:top w:val="single" w:color="000000" w:sz="6" w:space="0"/>
                    <w:left w:val="single" w:color="000000" w:sz="6" w:space="0"/>
                    <w:bottom w:val="single" w:color="000000" w:sz="6" w:space="0"/>
                    <w:right w:val="single" w:color="000000" w:sz="6" w:space="0"/>
                  </w:tcBorders>
                  <w:vAlign w:val="center"/>
                </w:tcPr>
                <w:p w14:paraId="53BC760C">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0.0171</w:t>
                  </w:r>
                </w:p>
              </w:tc>
              <w:tc>
                <w:tcPr>
                  <w:tcW w:w="876" w:type="dxa"/>
                  <w:tcBorders>
                    <w:top w:val="single" w:color="000000" w:sz="6" w:space="0"/>
                    <w:left w:val="single" w:color="000000" w:sz="6" w:space="0"/>
                    <w:bottom w:val="single" w:color="000000" w:sz="6" w:space="0"/>
                    <w:right w:val="single" w:color="000000" w:sz="6" w:space="0"/>
                  </w:tcBorders>
                  <w:vAlign w:val="center"/>
                </w:tcPr>
                <w:p w14:paraId="28D59617">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77AE8B66">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934" w:type="dxa"/>
                  <w:tcBorders>
                    <w:top w:val="single" w:color="000000" w:sz="6" w:space="0"/>
                    <w:left w:val="single" w:color="000000" w:sz="6" w:space="0"/>
                    <w:bottom w:val="single" w:color="000000" w:sz="6" w:space="0"/>
                    <w:right w:val="nil"/>
                  </w:tcBorders>
                  <w:vAlign w:val="center"/>
                </w:tcPr>
                <w:p w14:paraId="489B93C1">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r>
            <w:tr w14:paraId="2FB71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 w:hRule="atLeast"/>
                <w:jc w:val="center"/>
              </w:trPr>
              <w:tc>
                <w:tcPr>
                  <w:tcW w:w="419" w:type="dxa"/>
                  <w:vMerge w:val="continue"/>
                  <w:tcBorders>
                    <w:top w:val="single" w:color="000000" w:sz="6" w:space="0"/>
                    <w:left w:val="nil"/>
                    <w:bottom w:val="single" w:color="000000" w:sz="6" w:space="0"/>
                    <w:right w:val="single" w:color="000000" w:sz="6" w:space="0"/>
                  </w:tcBorders>
                  <w:vAlign w:val="center"/>
                </w:tcPr>
                <w:p w14:paraId="3AEE1B75">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p>
              </w:tc>
              <w:tc>
                <w:tcPr>
                  <w:tcW w:w="941" w:type="dxa"/>
                  <w:tcBorders>
                    <w:top w:val="single" w:color="000000" w:sz="6" w:space="0"/>
                    <w:left w:val="single" w:color="000000" w:sz="6" w:space="0"/>
                    <w:bottom w:val="single" w:color="000000" w:sz="6" w:space="0"/>
                    <w:right w:val="single" w:color="000000" w:sz="6" w:space="0"/>
                  </w:tcBorders>
                  <w:vAlign w:val="center"/>
                </w:tcPr>
                <w:p w14:paraId="1194AD09">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酚类化合物</w:t>
                  </w:r>
                </w:p>
              </w:tc>
              <w:tc>
                <w:tcPr>
                  <w:tcW w:w="845" w:type="dxa"/>
                  <w:tcBorders>
                    <w:top w:val="single" w:color="000000" w:sz="6" w:space="0"/>
                    <w:left w:val="single" w:color="000000" w:sz="6" w:space="0"/>
                    <w:bottom w:val="single" w:color="000000" w:sz="6" w:space="0"/>
                    <w:right w:val="single" w:color="000000" w:sz="6" w:space="0"/>
                  </w:tcBorders>
                  <w:vAlign w:val="center"/>
                </w:tcPr>
                <w:p w14:paraId="3E546B88">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ND~ND</w:t>
                  </w:r>
                </w:p>
              </w:tc>
              <w:tc>
                <w:tcPr>
                  <w:tcW w:w="1288" w:type="dxa"/>
                  <w:tcBorders>
                    <w:top w:val="single" w:color="000000" w:sz="6" w:space="0"/>
                    <w:left w:val="single" w:color="000000" w:sz="6" w:space="0"/>
                    <w:bottom w:val="single" w:color="000000" w:sz="6" w:space="0"/>
                    <w:right w:val="single" w:color="000000" w:sz="6" w:space="0"/>
                  </w:tcBorders>
                  <w:vAlign w:val="center"/>
                </w:tcPr>
                <w:p w14:paraId="1697747F">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886" w:type="dxa"/>
                  <w:vMerge w:val="continue"/>
                  <w:tcBorders>
                    <w:left w:val="single" w:color="000000" w:sz="6" w:space="0"/>
                    <w:bottom w:val="single" w:color="000000" w:sz="6" w:space="0"/>
                    <w:right w:val="single" w:color="000000" w:sz="6" w:space="0"/>
                  </w:tcBorders>
                  <w:vAlign w:val="center"/>
                </w:tcPr>
                <w:p w14:paraId="010ABC4F">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1380" w:type="dxa"/>
                  <w:tcBorders>
                    <w:top w:val="single" w:color="000000" w:sz="6" w:space="0"/>
                    <w:left w:val="single" w:color="000000" w:sz="6" w:space="0"/>
                    <w:bottom w:val="single" w:color="000000" w:sz="6" w:space="0"/>
                    <w:right w:val="single" w:color="000000" w:sz="6" w:space="0"/>
                  </w:tcBorders>
                  <w:vAlign w:val="center"/>
                </w:tcPr>
                <w:p w14:paraId="0A2C08EE">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876" w:type="dxa"/>
                  <w:tcBorders>
                    <w:top w:val="single" w:color="000000" w:sz="6" w:space="0"/>
                    <w:left w:val="single" w:color="000000" w:sz="6" w:space="0"/>
                    <w:bottom w:val="single" w:color="000000" w:sz="6" w:space="0"/>
                    <w:right w:val="single" w:color="000000" w:sz="6" w:space="0"/>
                  </w:tcBorders>
                  <w:vAlign w:val="center"/>
                </w:tcPr>
                <w:p w14:paraId="57052229">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40FC3270">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15</w:t>
                  </w:r>
                </w:p>
              </w:tc>
              <w:tc>
                <w:tcPr>
                  <w:tcW w:w="934" w:type="dxa"/>
                  <w:tcBorders>
                    <w:top w:val="single" w:color="000000" w:sz="6" w:space="0"/>
                    <w:left w:val="single" w:color="000000" w:sz="6" w:space="0"/>
                    <w:bottom w:val="single" w:color="000000" w:sz="6" w:space="0"/>
                    <w:right w:val="nil"/>
                  </w:tcBorders>
                  <w:vAlign w:val="center"/>
                </w:tcPr>
                <w:p w14:paraId="545F7E0A">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r>
            <w:tr w14:paraId="0D39A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 w:hRule="atLeast"/>
                <w:jc w:val="center"/>
              </w:trPr>
              <w:tc>
                <w:tcPr>
                  <w:tcW w:w="419" w:type="dxa"/>
                  <w:tcBorders>
                    <w:top w:val="single" w:color="000000" w:sz="6" w:space="0"/>
                    <w:left w:val="nil"/>
                    <w:bottom w:val="single" w:color="000000" w:sz="6" w:space="0"/>
                    <w:right w:val="single" w:color="000000" w:sz="6" w:space="0"/>
                  </w:tcBorders>
                  <w:vAlign w:val="center"/>
                </w:tcPr>
                <w:p w14:paraId="58D572C1">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FQ</w:t>
                  </w:r>
                  <w:r>
                    <w:rPr>
                      <w:rFonts w:hint="eastAsia" w:ascii="Times New Roman" w:hAnsi="Times New Roman" w:eastAsia="宋体" w:cs="Times New Roman"/>
                      <w:b w:val="0"/>
                      <w:bCs w:val="0"/>
                      <w:color w:val="auto"/>
                      <w:sz w:val="18"/>
                      <w:szCs w:val="18"/>
                      <w:highlight w:val="none"/>
                      <w:lang w:val="en-US" w:eastAsia="zh-CN"/>
                    </w:rPr>
                    <w:t>02</w:t>
                  </w:r>
                </w:p>
              </w:tc>
              <w:tc>
                <w:tcPr>
                  <w:tcW w:w="941" w:type="dxa"/>
                  <w:tcBorders>
                    <w:top w:val="single" w:color="000000" w:sz="6" w:space="0"/>
                    <w:left w:val="single" w:color="000000" w:sz="6" w:space="0"/>
                    <w:bottom w:val="single" w:color="000000" w:sz="6" w:space="0"/>
                    <w:right w:val="single" w:color="000000" w:sz="6" w:space="0"/>
                  </w:tcBorders>
                  <w:vAlign w:val="center"/>
                </w:tcPr>
                <w:p w14:paraId="68A761A3">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845" w:type="dxa"/>
                  <w:tcBorders>
                    <w:top w:val="single" w:color="000000" w:sz="6" w:space="0"/>
                    <w:left w:val="single" w:color="000000" w:sz="6" w:space="0"/>
                    <w:bottom w:val="single" w:color="000000" w:sz="6" w:space="0"/>
                    <w:right w:val="single" w:color="000000" w:sz="6" w:space="0"/>
                  </w:tcBorders>
                  <w:vAlign w:val="center"/>
                </w:tcPr>
                <w:p w14:paraId="0B21A7A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1.22~1.58</w:t>
                  </w:r>
                </w:p>
              </w:tc>
              <w:tc>
                <w:tcPr>
                  <w:tcW w:w="1288" w:type="dxa"/>
                  <w:tcBorders>
                    <w:top w:val="single" w:color="000000" w:sz="6" w:space="0"/>
                    <w:left w:val="single" w:color="000000" w:sz="6" w:space="0"/>
                    <w:bottom w:val="single" w:color="000000" w:sz="6" w:space="0"/>
                    <w:right w:val="single" w:color="000000" w:sz="6" w:space="0"/>
                  </w:tcBorders>
                  <w:vAlign w:val="center"/>
                </w:tcPr>
                <w:p w14:paraId="11558CA0">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1.675</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-2</w:t>
                  </w:r>
                </w:p>
              </w:tc>
              <w:tc>
                <w:tcPr>
                  <w:tcW w:w="886" w:type="dxa"/>
                  <w:tcBorders>
                    <w:top w:val="single" w:color="000000" w:sz="6" w:space="0"/>
                    <w:left w:val="single" w:color="000000" w:sz="6" w:space="0"/>
                    <w:bottom w:val="single" w:color="000000" w:sz="6" w:space="0"/>
                    <w:right w:val="single" w:color="000000" w:sz="6" w:space="0"/>
                  </w:tcBorders>
                  <w:vAlign w:val="center"/>
                </w:tcPr>
                <w:p w14:paraId="6CBC6A11">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1800</w:t>
                  </w:r>
                </w:p>
              </w:tc>
              <w:tc>
                <w:tcPr>
                  <w:tcW w:w="1380" w:type="dxa"/>
                  <w:tcBorders>
                    <w:top w:val="single" w:color="000000" w:sz="6" w:space="0"/>
                    <w:left w:val="single" w:color="000000" w:sz="6" w:space="0"/>
                    <w:bottom w:val="single" w:color="000000" w:sz="6" w:space="0"/>
                    <w:right w:val="single" w:color="000000" w:sz="6" w:space="0"/>
                  </w:tcBorders>
                  <w:vAlign w:val="center"/>
                </w:tcPr>
                <w:p w14:paraId="7BCE07BF">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0.0302</w:t>
                  </w:r>
                </w:p>
              </w:tc>
              <w:tc>
                <w:tcPr>
                  <w:tcW w:w="876" w:type="dxa"/>
                  <w:tcBorders>
                    <w:top w:val="single" w:color="000000" w:sz="6" w:space="0"/>
                    <w:left w:val="single" w:color="000000" w:sz="6" w:space="0"/>
                    <w:bottom w:val="single" w:color="000000" w:sz="6" w:space="0"/>
                    <w:right w:val="single" w:color="000000" w:sz="6" w:space="0"/>
                  </w:tcBorders>
                  <w:vAlign w:val="center"/>
                </w:tcPr>
                <w:p w14:paraId="420B74F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4332CF93">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934" w:type="dxa"/>
                  <w:tcBorders>
                    <w:top w:val="single" w:color="000000" w:sz="6" w:space="0"/>
                    <w:left w:val="single" w:color="000000" w:sz="6" w:space="0"/>
                    <w:bottom w:val="single" w:color="000000" w:sz="6" w:space="0"/>
                    <w:right w:val="nil"/>
                  </w:tcBorders>
                  <w:vAlign w:val="center"/>
                </w:tcPr>
                <w:p w14:paraId="0EB6ED63">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r>
            <w:tr w14:paraId="2F670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19" w:type="dxa"/>
                  <w:vMerge w:val="restart"/>
                  <w:tcBorders>
                    <w:top w:val="single" w:color="000000" w:sz="6" w:space="0"/>
                    <w:left w:val="nil"/>
                    <w:bottom w:val="single" w:color="000000" w:sz="6" w:space="0"/>
                    <w:right w:val="single" w:color="000000" w:sz="6" w:space="0"/>
                  </w:tcBorders>
                  <w:vAlign w:val="center"/>
                </w:tcPr>
                <w:p w14:paraId="30F6D5B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rPr>
                    <w:t>FQ</w:t>
                  </w:r>
                  <w:r>
                    <w:rPr>
                      <w:rFonts w:hint="eastAsia" w:ascii="Times New Roman" w:hAnsi="Times New Roman" w:eastAsia="宋体" w:cs="Times New Roman"/>
                      <w:b w:val="0"/>
                      <w:bCs w:val="0"/>
                      <w:color w:val="auto"/>
                      <w:sz w:val="18"/>
                      <w:szCs w:val="18"/>
                      <w:highlight w:val="none"/>
                      <w:lang w:val="en-US" w:eastAsia="zh-CN"/>
                    </w:rPr>
                    <w:t>07</w:t>
                  </w:r>
                </w:p>
              </w:tc>
              <w:tc>
                <w:tcPr>
                  <w:tcW w:w="941" w:type="dxa"/>
                  <w:tcBorders>
                    <w:top w:val="single" w:color="000000" w:sz="6" w:space="0"/>
                    <w:left w:val="single" w:color="000000" w:sz="6" w:space="0"/>
                    <w:bottom w:val="single" w:color="000000" w:sz="6" w:space="0"/>
                    <w:right w:val="single" w:color="000000" w:sz="6" w:space="0"/>
                  </w:tcBorders>
                  <w:vAlign w:val="center"/>
                </w:tcPr>
                <w:p w14:paraId="7732CEAC">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845" w:type="dxa"/>
                  <w:tcBorders>
                    <w:top w:val="single" w:color="000000" w:sz="6" w:space="0"/>
                    <w:left w:val="single" w:color="000000" w:sz="6" w:space="0"/>
                    <w:bottom w:val="single" w:color="000000" w:sz="6" w:space="0"/>
                    <w:right w:val="single" w:color="000000" w:sz="6" w:space="0"/>
                  </w:tcBorders>
                  <w:vAlign w:val="center"/>
                </w:tcPr>
                <w:p w14:paraId="12E1629A">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1.25~1.63</w:t>
                  </w:r>
                </w:p>
              </w:tc>
              <w:tc>
                <w:tcPr>
                  <w:tcW w:w="1288" w:type="dxa"/>
                  <w:tcBorders>
                    <w:top w:val="single" w:color="000000" w:sz="6" w:space="0"/>
                    <w:left w:val="single" w:color="000000" w:sz="6" w:space="0"/>
                    <w:bottom w:val="single" w:color="000000" w:sz="6" w:space="0"/>
                    <w:right w:val="single" w:color="000000" w:sz="6" w:space="0"/>
                  </w:tcBorders>
                  <w:vAlign w:val="center"/>
                </w:tcPr>
                <w:p w14:paraId="0862F4DE">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6.86</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886" w:type="dxa"/>
                  <w:vMerge w:val="restart"/>
                  <w:tcBorders>
                    <w:top w:val="single" w:color="000000" w:sz="6" w:space="0"/>
                    <w:left w:val="single" w:color="000000" w:sz="6" w:space="0"/>
                    <w:right w:val="single" w:color="000000" w:sz="6" w:space="0"/>
                  </w:tcBorders>
                  <w:vAlign w:val="center"/>
                </w:tcPr>
                <w:p w14:paraId="36D69E98">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2100</w:t>
                  </w:r>
                </w:p>
              </w:tc>
              <w:tc>
                <w:tcPr>
                  <w:tcW w:w="1380" w:type="dxa"/>
                  <w:tcBorders>
                    <w:top w:val="single" w:color="000000" w:sz="6" w:space="0"/>
                    <w:left w:val="single" w:color="000000" w:sz="6" w:space="0"/>
                    <w:bottom w:val="single" w:color="000000" w:sz="6" w:space="0"/>
                    <w:right w:val="single" w:color="000000" w:sz="6" w:space="0"/>
                  </w:tcBorders>
                  <w:vAlign w:val="center"/>
                </w:tcPr>
                <w:p w14:paraId="3265707D">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0.0144</w:t>
                  </w:r>
                </w:p>
              </w:tc>
              <w:tc>
                <w:tcPr>
                  <w:tcW w:w="876" w:type="dxa"/>
                  <w:tcBorders>
                    <w:top w:val="single" w:color="000000" w:sz="6" w:space="0"/>
                    <w:left w:val="single" w:color="000000" w:sz="6" w:space="0"/>
                    <w:bottom w:val="single" w:color="000000" w:sz="6" w:space="0"/>
                    <w:right w:val="single" w:color="000000" w:sz="6" w:space="0"/>
                  </w:tcBorders>
                  <w:vAlign w:val="center"/>
                </w:tcPr>
                <w:p w14:paraId="5A2B0A53">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585EF881">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50</w:t>
                  </w:r>
                </w:p>
              </w:tc>
              <w:tc>
                <w:tcPr>
                  <w:tcW w:w="934" w:type="dxa"/>
                  <w:tcBorders>
                    <w:top w:val="single" w:color="000000" w:sz="6" w:space="0"/>
                    <w:left w:val="single" w:color="000000" w:sz="6" w:space="0"/>
                    <w:bottom w:val="single" w:color="000000" w:sz="6" w:space="0"/>
                    <w:right w:val="nil"/>
                  </w:tcBorders>
                  <w:vAlign w:val="center"/>
                </w:tcPr>
                <w:p w14:paraId="6A11461A">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w:t>
                  </w:r>
                </w:p>
              </w:tc>
            </w:tr>
            <w:tr w14:paraId="229FA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19" w:type="dxa"/>
                  <w:vMerge w:val="continue"/>
                  <w:tcBorders>
                    <w:top w:val="single" w:color="000000" w:sz="6" w:space="0"/>
                    <w:left w:val="nil"/>
                    <w:bottom w:val="single" w:color="000000" w:sz="6" w:space="0"/>
                    <w:right w:val="single" w:color="000000" w:sz="6" w:space="0"/>
                  </w:tcBorders>
                  <w:vAlign w:val="center"/>
                </w:tcPr>
                <w:p w14:paraId="53F4339B">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p>
              </w:tc>
              <w:tc>
                <w:tcPr>
                  <w:tcW w:w="941" w:type="dxa"/>
                  <w:tcBorders>
                    <w:top w:val="single" w:color="000000" w:sz="6" w:space="0"/>
                    <w:left w:val="single" w:color="000000" w:sz="6" w:space="0"/>
                    <w:bottom w:val="single" w:color="000000" w:sz="6" w:space="0"/>
                    <w:right w:val="single" w:color="000000" w:sz="6" w:space="0"/>
                  </w:tcBorders>
                  <w:vAlign w:val="center"/>
                </w:tcPr>
                <w:p w14:paraId="18C9214C">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氟化物</w:t>
                  </w:r>
                </w:p>
              </w:tc>
              <w:tc>
                <w:tcPr>
                  <w:tcW w:w="845" w:type="dxa"/>
                  <w:tcBorders>
                    <w:top w:val="single" w:color="000000" w:sz="6" w:space="0"/>
                    <w:left w:val="single" w:color="000000" w:sz="6" w:space="0"/>
                    <w:bottom w:val="single" w:color="000000" w:sz="6" w:space="0"/>
                    <w:right w:val="single" w:color="000000" w:sz="6" w:space="0"/>
                  </w:tcBorders>
                  <w:vAlign w:val="center"/>
                </w:tcPr>
                <w:p w14:paraId="00259D69">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0.06~0.08</w:t>
                  </w:r>
                </w:p>
              </w:tc>
              <w:tc>
                <w:tcPr>
                  <w:tcW w:w="1288" w:type="dxa"/>
                  <w:tcBorders>
                    <w:top w:val="single" w:color="000000" w:sz="6" w:space="0"/>
                    <w:left w:val="single" w:color="000000" w:sz="6" w:space="0"/>
                    <w:bottom w:val="single" w:color="000000" w:sz="6" w:space="0"/>
                    <w:right w:val="single" w:color="000000" w:sz="6" w:space="0"/>
                  </w:tcBorders>
                  <w:vAlign w:val="center"/>
                </w:tcPr>
                <w:p w14:paraId="2CC709D9">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3.25</w:t>
                  </w:r>
                  <w:r>
                    <w:rPr>
                      <w:rFonts w:hint="default" w:ascii="Times New Roman" w:hAnsi="Times New Roman" w:eastAsia="宋体"/>
                      <w:color w:val="auto"/>
                      <w:sz w:val="18"/>
                      <w:szCs w:val="18"/>
                      <w:highlight w:val="none"/>
                      <w:lang w:val="en-US" w:eastAsia="zh-CN"/>
                    </w:rPr>
                    <w:t>×10</w:t>
                  </w:r>
                  <w:r>
                    <w:rPr>
                      <w:rFonts w:hint="default" w:ascii="Times New Roman" w:hAnsi="Times New Roman" w:eastAsia="宋体"/>
                      <w:color w:val="auto"/>
                      <w:sz w:val="18"/>
                      <w:szCs w:val="18"/>
                      <w:highlight w:val="none"/>
                      <w:vertAlign w:val="superscript"/>
                      <w:lang w:val="en-US" w:eastAsia="zh-CN"/>
                    </w:rPr>
                    <w:t>-</w:t>
                  </w:r>
                  <w:r>
                    <w:rPr>
                      <w:rFonts w:hint="eastAsia" w:ascii="Times New Roman" w:hAnsi="Times New Roman" w:eastAsia="宋体"/>
                      <w:color w:val="auto"/>
                      <w:sz w:val="18"/>
                      <w:szCs w:val="18"/>
                      <w:highlight w:val="none"/>
                      <w:vertAlign w:val="superscript"/>
                      <w:lang w:val="en-US" w:eastAsia="zh-CN"/>
                    </w:rPr>
                    <w:t>4</w:t>
                  </w:r>
                </w:p>
              </w:tc>
              <w:tc>
                <w:tcPr>
                  <w:tcW w:w="886" w:type="dxa"/>
                  <w:vMerge w:val="continue"/>
                  <w:tcBorders>
                    <w:left w:val="single" w:color="000000" w:sz="6" w:space="0"/>
                    <w:bottom w:val="single" w:color="000000" w:sz="6" w:space="0"/>
                    <w:right w:val="single" w:color="000000" w:sz="6" w:space="0"/>
                  </w:tcBorders>
                  <w:vAlign w:val="center"/>
                </w:tcPr>
                <w:p w14:paraId="38F6FE56">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1380" w:type="dxa"/>
                  <w:tcBorders>
                    <w:top w:val="single" w:color="000000" w:sz="6" w:space="0"/>
                    <w:left w:val="single" w:color="000000" w:sz="6" w:space="0"/>
                    <w:bottom w:val="single" w:color="000000" w:sz="6" w:space="0"/>
                    <w:right w:val="single" w:color="000000" w:sz="6" w:space="0"/>
                  </w:tcBorders>
                  <w:vAlign w:val="center"/>
                </w:tcPr>
                <w:p w14:paraId="4BE41944">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0.0007</w:t>
                  </w:r>
                </w:p>
              </w:tc>
              <w:tc>
                <w:tcPr>
                  <w:tcW w:w="876" w:type="dxa"/>
                  <w:tcBorders>
                    <w:top w:val="single" w:color="000000" w:sz="6" w:space="0"/>
                    <w:left w:val="single" w:color="000000" w:sz="6" w:space="0"/>
                    <w:bottom w:val="single" w:color="000000" w:sz="6" w:space="0"/>
                    <w:right w:val="single" w:color="000000" w:sz="6" w:space="0"/>
                  </w:tcBorders>
                  <w:vAlign w:val="center"/>
                </w:tcPr>
                <w:p w14:paraId="47960257">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53A4179A">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w:t>
                  </w:r>
                </w:p>
              </w:tc>
              <w:tc>
                <w:tcPr>
                  <w:tcW w:w="934" w:type="dxa"/>
                  <w:tcBorders>
                    <w:top w:val="single" w:color="000000" w:sz="6" w:space="0"/>
                    <w:left w:val="single" w:color="000000" w:sz="6" w:space="0"/>
                    <w:bottom w:val="single" w:color="000000" w:sz="6" w:space="0"/>
                    <w:right w:val="nil"/>
                  </w:tcBorders>
                  <w:vAlign w:val="center"/>
                </w:tcPr>
                <w:p w14:paraId="4B46CD32">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0.072</w:t>
                  </w:r>
                </w:p>
              </w:tc>
            </w:tr>
            <w:tr w14:paraId="368FD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19" w:type="dxa"/>
                  <w:tcBorders>
                    <w:top w:val="single" w:color="000000" w:sz="6" w:space="0"/>
                    <w:left w:val="nil"/>
                    <w:bottom w:val="single" w:color="000000" w:sz="6" w:space="0"/>
                    <w:right w:val="single" w:color="000000" w:sz="6" w:space="0"/>
                  </w:tcBorders>
                  <w:vAlign w:val="center"/>
                </w:tcPr>
                <w:p w14:paraId="5EA5FE5B">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FQ08</w:t>
                  </w:r>
                </w:p>
              </w:tc>
              <w:tc>
                <w:tcPr>
                  <w:tcW w:w="941" w:type="dxa"/>
                  <w:tcBorders>
                    <w:top w:val="single" w:color="000000" w:sz="6" w:space="0"/>
                    <w:left w:val="single" w:color="000000" w:sz="6" w:space="0"/>
                    <w:bottom w:val="single" w:color="000000" w:sz="6" w:space="0"/>
                    <w:right w:val="single" w:color="000000" w:sz="6" w:space="0"/>
                  </w:tcBorders>
                  <w:vAlign w:val="center"/>
                </w:tcPr>
                <w:p w14:paraId="0AD835BA">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颗粒物</w:t>
                  </w:r>
                </w:p>
              </w:tc>
              <w:tc>
                <w:tcPr>
                  <w:tcW w:w="845" w:type="dxa"/>
                  <w:tcBorders>
                    <w:top w:val="single" w:color="000000" w:sz="6" w:space="0"/>
                    <w:left w:val="single" w:color="000000" w:sz="6" w:space="0"/>
                    <w:bottom w:val="single" w:color="000000" w:sz="6" w:space="0"/>
                    <w:right w:val="single" w:color="000000" w:sz="6" w:space="0"/>
                  </w:tcBorders>
                  <w:vAlign w:val="center"/>
                </w:tcPr>
                <w:p w14:paraId="5F2117DD">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2.0~2.4</w:t>
                  </w:r>
                </w:p>
              </w:tc>
              <w:tc>
                <w:tcPr>
                  <w:tcW w:w="1288" w:type="dxa"/>
                  <w:tcBorders>
                    <w:top w:val="single" w:color="000000" w:sz="6" w:space="0"/>
                    <w:left w:val="single" w:color="000000" w:sz="6" w:space="0"/>
                    <w:bottom w:val="single" w:color="000000" w:sz="6" w:space="0"/>
                    <w:right w:val="single" w:color="000000" w:sz="6" w:space="0"/>
                  </w:tcBorders>
                  <w:vAlign w:val="center"/>
                </w:tcPr>
                <w:p w14:paraId="073250CA">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-2</w:t>
                  </w:r>
                </w:p>
              </w:tc>
              <w:tc>
                <w:tcPr>
                  <w:tcW w:w="886" w:type="dxa"/>
                  <w:tcBorders>
                    <w:top w:val="single" w:color="000000" w:sz="6" w:space="0"/>
                    <w:left w:val="single" w:color="000000" w:sz="6" w:space="0"/>
                    <w:bottom w:val="single" w:color="000000" w:sz="6" w:space="0"/>
                    <w:right w:val="single" w:color="000000" w:sz="6" w:space="0"/>
                  </w:tcBorders>
                  <w:vAlign w:val="center"/>
                </w:tcPr>
                <w:p w14:paraId="3A0C591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4800</w:t>
                  </w:r>
                </w:p>
              </w:tc>
              <w:tc>
                <w:tcPr>
                  <w:tcW w:w="1380" w:type="dxa"/>
                  <w:tcBorders>
                    <w:top w:val="single" w:color="000000" w:sz="6" w:space="0"/>
                    <w:left w:val="single" w:color="000000" w:sz="6" w:space="0"/>
                    <w:bottom w:val="single" w:color="000000" w:sz="6" w:space="0"/>
                    <w:right w:val="single" w:color="000000" w:sz="6" w:space="0"/>
                  </w:tcBorders>
                  <w:vAlign w:val="center"/>
                </w:tcPr>
                <w:p w14:paraId="16E5E7C2">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0.0528</w:t>
                  </w:r>
                </w:p>
              </w:tc>
              <w:tc>
                <w:tcPr>
                  <w:tcW w:w="876" w:type="dxa"/>
                  <w:tcBorders>
                    <w:top w:val="single" w:color="000000" w:sz="6" w:space="0"/>
                    <w:left w:val="single" w:color="000000" w:sz="6" w:space="0"/>
                    <w:bottom w:val="single" w:color="000000" w:sz="6" w:space="0"/>
                    <w:right w:val="single" w:color="000000" w:sz="6" w:space="0"/>
                  </w:tcBorders>
                  <w:vAlign w:val="center"/>
                </w:tcPr>
                <w:p w14:paraId="11008B92">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59DFC1B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w:t>
                  </w:r>
                </w:p>
              </w:tc>
              <w:tc>
                <w:tcPr>
                  <w:tcW w:w="934" w:type="dxa"/>
                  <w:tcBorders>
                    <w:top w:val="single" w:color="000000" w:sz="6" w:space="0"/>
                    <w:left w:val="single" w:color="000000" w:sz="6" w:space="0"/>
                    <w:bottom w:val="single" w:color="000000" w:sz="6" w:space="0"/>
                    <w:right w:val="nil"/>
                  </w:tcBorders>
                  <w:vAlign w:val="center"/>
                </w:tcPr>
                <w:p w14:paraId="3433A9E5">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w:t>
                  </w:r>
                </w:p>
              </w:tc>
            </w:tr>
            <w:tr w14:paraId="62A9B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jc w:val="center"/>
              </w:trPr>
              <w:tc>
                <w:tcPr>
                  <w:tcW w:w="419" w:type="dxa"/>
                  <w:tcBorders>
                    <w:top w:val="single" w:color="000000" w:sz="6" w:space="0"/>
                    <w:left w:val="nil"/>
                    <w:bottom w:val="single" w:color="000000" w:sz="6" w:space="0"/>
                    <w:right w:val="single" w:color="000000" w:sz="6" w:space="0"/>
                  </w:tcBorders>
                  <w:vAlign w:val="center"/>
                </w:tcPr>
                <w:p w14:paraId="3A2E38F3">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FQ10</w:t>
                  </w:r>
                </w:p>
              </w:tc>
              <w:tc>
                <w:tcPr>
                  <w:tcW w:w="941" w:type="dxa"/>
                  <w:tcBorders>
                    <w:top w:val="single" w:color="000000" w:sz="6" w:space="0"/>
                    <w:left w:val="single" w:color="000000" w:sz="6" w:space="0"/>
                    <w:bottom w:val="single" w:color="000000" w:sz="6" w:space="0"/>
                    <w:right w:val="single" w:color="000000" w:sz="6" w:space="0"/>
                  </w:tcBorders>
                  <w:vAlign w:val="center"/>
                </w:tcPr>
                <w:p w14:paraId="44AF6187">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845" w:type="dxa"/>
                  <w:tcBorders>
                    <w:top w:val="single" w:color="000000" w:sz="6" w:space="0"/>
                    <w:left w:val="single" w:color="000000" w:sz="6" w:space="0"/>
                    <w:bottom w:val="single" w:color="000000" w:sz="6" w:space="0"/>
                    <w:right w:val="single" w:color="000000" w:sz="6" w:space="0"/>
                  </w:tcBorders>
                  <w:vAlign w:val="center"/>
                </w:tcPr>
                <w:p w14:paraId="153EDE5C">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1.27~1.60</w:t>
                  </w:r>
                </w:p>
              </w:tc>
              <w:tc>
                <w:tcPr>
                  <w:tcW w:w="1288" w:type="dxa"/>
                  <w:tcBorders>
                    <w:top w:val="single" w:color="000000" w:sz="6" w:space="0"/>
                    <w:left w:val="single" w:color="000000" w:sz="6" w:space="0"/>
                    <w:bottom w:val="single" w:color="000000" w:sz="6" w:space="0"/>
                    <w:right w:val="single" w:color="000000" w:sz="6" w:space="0"/>
                  </w:tcBorders>
                  <w:vAlign w:val="center"/>
                </w:tcPr>
                <w:p w14:paraId="5A7F0A35">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8.745</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886" w:type="dxa"/>
                  <w:tcBorders>
                    <w:top w:val="single" w:color="000000" w:sz="6" w:space="0"/>
                    <w:left w:val="single" w:color="000000" w:sz="6" w:space="0"/>
                    <w:bottom w:val="single" w:color="000000" w:sz="6" w:space="0"/>
                    <w:right w:val="single" w:color="000000" w:sz="6" w:space="0"/>
                  </w:tcBorders>
                  <w:vAlign w:val="center"/>
                </w:tcPr>
                <w:p w14:paraId="6862451B">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1800</w:t>
                  </w:r>
                </w:p>
              </w:tc>
              <w:tc>
                <w:tcPr>
                  <w:tcW w:w="1380" w:type="dxa"/>
                  <w:tcBorders>
                    <w:top w:val="single" w:color="000000" w:sz="6" w:space="0"/>
                    <w:left w:val="single" w:color="000000" w:sz="6" w:space="0"/>
                    <w:bottom w:val="single" w:color="000000" w:sz="6" w:space="0"/>
                    <w:right w:val="single" w:color="000000" w:sz="6" w:space="0"/>
                  </w:tcBorders>
                  <w:vAlign w:val="center"/>
                </w:tcPr>
                <w:p w14:paraId="68B3332D">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0.0157</w:t>
                  </w:r>
                </w:p>
              </w:tc>
              <w:tc>
                <w:tcPr>
                  <w:tcW w:w="876" w:type="dxa"/>
                  <w:tcBorders>
                    <w:top w:val="single" w:color="000000" w:sz="6" w:space="0"/>
                    <w:left w:val="single" w:color="000000" w:sz="6" w:space="0"/>
                    <w:bottom w:val="single" w:color="000000" w:sz="6" w:space="0"/>
                    <w:right w:val="single" w:color="000000" w:sz="6" w:space="0"/>
                  </w:tcBorders>
                  <w:vAlign w:val="center"/>
                </w:tcPr>
                <w:p w14:paraId="2DD6E876">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6C081830">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934" w:type="dxa"/>
                  <w:tcBorders>
                    <w:top w:val="single" w:color="000000" w:sz="6" w:space="0"/>
                    <w:left w:val="single" w:color="000000" w:sz="6" w:space="0"/>
                    <w:bottom w:val="single" w:color="000000" w:sz="6" w:space="0"/>
                    <w:right w:val="nil"/>
                  </w:tcBorders>
                  <w:vAlign w:val="center"/>
                </w:tcPr>
                <w:p w14:paraId="2CB62F9B">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w:t>
                  </w:r>
                </w:p>
              </w:tc>
            </w:tr>
            <w:tr w14:paraId="72AB1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419" w:type="dxa"/>
                  <w:tcBorders>
                    <w:top w:val="single" w:color="000000" w:sz="6" w:space="0"/>
                    <w:left w:val="nil"/>
                    <w:bottom w:val="single" w:color="000000" w:sz="6" w:space="0"/>
                    <w:right w:val="single" w:color="000000" w:sz="6" w:space="0"/>
                  </w:tcBorders>
                  <w:vAlign w:val="center"/>
                </w:tcPr>
                <w:p w14:paraId="21263E9D">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FQ13</w:t>
                  </w:r>
                </w:p>
              </w:tc>
              <w:tc>
                <w:tcPr>
                  <w:tcW w:w="941" w:type="dxa"/>
                  <w:tcBorders>
                    <w:top w:val="single" w:color="000000" w:sz="6" w:space="0"/>
                    <w:left w:val="single" w:color="000000" w:sz="6" w:space="0"/>
                    <w:bottom w:val="single" w:color="000000" w:sz="6" w:space="0"/>
                    <w:right w:val="single" w:color="000000" w:sz="6" w:space="0"/>
                  </w:tcBorders>
                  <w:vAlign w:val="center"/>
                </w:tcPr>
                <w:p w14:paraId="09FD8D4C">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颗粒物</w:t>
                  </w:r>
                </w:p>
              </w:tc>
              <w:tc>
                <w:tcPr>
                  <w:tcW w:w="845" w:type="dxa"/>
                  <w:tcBorders>
                    <w:top w:val="single" w:color="000000" w:sz="6" w:space="0"/>
                    <w:left w:val="single" w:color="000000" w:sz="6" w:space="0"/>
                    <w:bottom w:val="single" w:color="000000" w:sz="6" w:space="0"/>
                    <w:right w:val="single" w:color="000000" w:sz="6" w:space="0"/>
                  </w:tcBorders>
                  <w:vAlign w:val="center"/>
                </w:tcPr>
                <w:p w14:paraId="3EE20076">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2.0~2.3</w:t>
                  </w:r>
                </w:p>
              </w:tc>
              <w:tc>
                <w:tcPr>
                  <w:tcW w:w="1288" w:type="dxa"/>
                  <w:tcBorders>
                    <w:top w:val="single" w:color="000000" w:sz="6" w:space="0"/>
                    <w:left w:val="single" w:color="000000" w:sz="6" w:space="0"/>
                    <w:bottom w:val="single" w:color="000000" w:sz="6" w:space="0"/>
                    <w:right w:val="single" w:color="000000" w:sz="6" w:space="0"/>
                  </w:tcBorders>
                  <w:vAlign w:val="center"/>
                </w:tcPr>
                <w:p w14:paraId="77E6A677">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1.3</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-2</w:t>
                  </w:r>
                </w:p>
              </w:tc>
              <w:tc>
                <w:tcPr>
                  <w:tcW w:w="886" w:type="dxa"/>
                  <w:tcBorders>
                    <w:top w:val="single" w:color="000000" w:sz="6" w:space="0"/>
                    <w:left w:val="single" w:color="000000" w:sz="6" w:space="0"/>
                    <w:bottom w:val="single" w:color="000000" w:sz="6" w:space="0"/>
                    <w:right w:val="single" w:color="000000" w:sz="6" w:space="0"/>
                  </w:tcBorders>
                  <w:vAlign w:val="center"/>
                </w:tcPr>
                <w:p w14:paraId="489C46B7">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4800</w:t>
                  </w:r>
                </w:p>
              </w:tc>
              <w:tc>
                <w:tcPr>
                  <w:tcW w:w="1380" w:type="dxa"/>
                  <w:tcBorders>
                    <w:top w:val="single" w:color="000000" w:sz="6" w:space="0"/>
                    <w:left w:val="single" w:color="000000" w:sz="6" w:space="0"/>
                    <w:bottom w:val="single" w:color="000000" w:sz="6" w:space="0"/>
                    <w:right w:val="single" w:color="000000" w:sz="6" w:space="0"/>
                  </w:tcBorders>
                  <w:vAlign w:val="center"/>
                </w:tcPr>
                <w:p w14:paraId="511B7866">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0.0624</w:t>
                  </w:r>
                </w:p>
              </w:tc>
              <w:tc>
                <w:tcPr>
                  <w:tcW w:w="876" w:type="dxa"/>
                  <w:tcBorders>
                    <w:top w:val="single" w:color="000000" w:sz="6" w:space="0"/>
                    <w:left w:val="single" w:color="000000" w:sz="6" w:space="0"/>
                    <w:bottom w:val="single" w:color="000000" w:sz="6" w:space="0"/>
                    <w:right w:val="single" w:color="000000" w:sz="6" w:space="0"/>
                  </w:tcBorders>
                  <w:vAlign w:val="center"/>
                </w:tcPr>
                <w:p w14:paraId="6162874E">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1D29BCEC">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w:t>
                  </w:r>
                </w:p>
              </w:tc>
              <w:tc>
                <w:tcPr>
                  <w:tcW w:w="934" w:type="dxa"/>
                  <w:tcBorders>
                    <w:top w:val="single" w:color="000000" w:sz="6" w:space="0"/>
                    <w:left w:val="single" w:color="000000" w:sz="6" w:space="0"/>
                    <w:bottom w:val="single" w:color="000000" w:sz="6" w:space="0"/>
                    <w:right w:val="nil"/>
                  </w:tcBorders>
                  <w:vAlign w:val="center"/>
                </w:tcPr>
                <w:p w14:paraId="45D9F7E0">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w:t>
                  </w:r>
                </w:p>
              </w:tc>
            </w:tr>
            <w:tr w14:paraId="5E108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19" w:type="dxa"/>
                  <w:vMerge w:val="restart"/>
                  <w:tcBorders>
                    <w:top w:val="single" w:color="000000" w:sz="6" w:space="0"/>
                    <w:left w:val="nil"/>
                    <w:bottom w:val="single" w:color="000000" w:sz="6" w:space="0"/>
                    <w:right w:val="single" w:color="000000" w:sz="6" w:space="0"/>
                  </w:tcBorders>
                  <w:vAlign w:val="center"/>
                </w:tcPr>
                <w:p w14:paraId="3DEDFF68">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FQ16</w:t>
                  </w:r>
                </w:p>
              </w:tc>
              <w:tc>
                <w:tcPr>
                  <w:tcW w:w="941" w:type="dxa"/>
                  <w:tcBorders>
                    <w:top w:val="single" w:color="000000" w:sz="6" w:space="0"/>
                    <w:left w:val="single" w:color="000000" w:sz="6" w:space="0"/>
                    <w:bottom w:val="single" w:color="000000" w:sz="6" w:space="0"/>
                    <w:right w:val="single" w:color="000000" w:sz="6" w:space="0"/>
                  </w:tcBorders>
                  <w:vAlign w:val="center"/>
                </w:tcPr>
                <w:p w14:paraId="3EE91285">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845" w:type="dxa"/>
                  <w:tcBorders>
                    <w:top w:val="single" w:color="000000" w:sz="6" w:space="0"/>
                    <w:left w:val="single" w:color="000000" w:sz="6" w:space="0"/>
                    <w:bottom w:val="single" w:color="000000" w:sz="6" w:space="0"/>
                    <w:right w:val="single" w:color="000000" w:sz="6" w:space="0"/>
                  </w:tcBorders>
                  <w:vAlign w:val="center"/>
                </w:tcPr>
                <w:p w14:paraId="522B3725">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1.39~1.60</w:t>
                  </w:r>
                </w:p>
              </w:tc>
              <w:tc>
                <w:tcPr>
                  <w:tcW w:w="1288" w:type="dxa"/>
                  <w:tcBorders>
                    <w:top w:val="single" w:color="000000" w:sz="6" w:space="0"/>
                    <w:left w:val="single" w:color="000000" w:sz="6" w:space="0"/>
                    <w:bottom w:val="single" w:color="000000" w:sz="6" w:space="0"/>
                    <w:right w:val="single" w:color="000000" w:sz="6" w:space="0"/>
                  </w:tcBorders>
                  <w:vAlign w:val="center"/>
                </w:tcPr>
                <w:p w14:paraId="2427932B">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1.81</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-2</w:t>
                  </w:r>
                </w:p>
              </w:tc>
              <w:tc>
                <w:tcPr>
                  <w:tcW w:w="886" w:type="dxa"/>
                  <w:vMerge w:val="restart"/>
                  <w:tcBorders>
                    <w:top w:val="single" w:color="000000" w:sz="6" w:space="0"/>
                    <w:left w:val="single" w:color="000000" w:sz="6" w:space="0"/>
                    <w:right w:val="single" w:color="000000" w:sz="6" w:space="0"/>
                  </w:tcBorders>
                  <w:vAlign w:val="center"/>
                </w:tcPr>
                <w:p w14:paraId="710D2BE9">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600</w:t>
                  </w:r>
                </w:p>
              </w:tc>
              <w:tc>
                <w:tcPr>
                  <w:tcW w:w="1380" w:type="dxa"/>
                  <w:tcBorders>
                    <w:top w:val="single" w:color="000000" w:sz="6" w:space="0"/>
                    <w:left w:val="single" w:color="000000" w:sz="6" w:space="0"/>
                    <w:bottom w:val="single" w:color="000000" w:sz="6" w:space="0"/>
                    <w:right w:val="single" w:color="000000" w:sz="6" w:space="0"/>
                  </w:tcBorders>
                  <w:vAlign w:val="center"/>
                </w:tcPr>
                <w:p w14:paraId="170EF5E8">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0.0109</w:t>
                  </w:r>
                </w:p>
              </w:tc>
              <w:tc>
                <w:tcPr>
                  <w:tcW w:w="876" w:type="dxa"/>
                  <w:tcBorders>
                    <w:top w:val="single" w:color="000000" w:sz="6" w:space="0"/>
                    <w:left w:val="single" w:color="000000" w:sz="6" w:space="0"/>
                    <w:bottom w:val="single" w:color="000000" w:sz="6" w:space="0"/>
                    <w:right w:val="single" w:color="000000" w:sz="6" w:space="0"/>
                  </w:tcBorders>
                  <w:vAlign w:val="center"/>
                </w:tcPr>
                <w:p w14:paraId="7A280D51">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3B63B5D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934" w:type="dxa"/>
                  <w:tcBorders>
                    <w:top w:val="single" w:color="000000" w:sz="6" w:space="0"/>
                    <w:left w:val="single" w:color="000000" w:sz="6" w:space="0"/>
                    <w:bottom w:val="single" w:color="000000" w:sz="6" w:space="0"/>
                    <w:right w:val="nil"/>
                  </w:tcBorders>
                  <w:vAlign w:val="center"/>
                </w:tcPr>
                <w:p w14:paraId="63C6ACFF">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w:t>
                  </w:r>
                </w:p>
              </w:tc>
            </w:tr>
            <w:tr w14:paraId="3723B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19" w:type="dxa"/>
                  <w:vMerge w:val="continue"/>
                  <w:tcBorders>
                    <w:top w:val="single" w:color="000000" w:sz="6" w:space="0"/>
                    <w:left w:val="nil"/>
                    <w:bottom w:val="single" w:color="000000" w:sz="6" w:space="0"/>
                    <w:right w:val="single" w:color="000000" w:sz="6" w:space="0"/>
                  </w:tcBorders>
                  <w:vAlign w:val="center"/>
                </w:tcPr>
                <w:p w14:paraId="1620E3AE">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p>
              </w:tc>
              <w:tc>
                <w:tcPr>
                  <w:tcW w:w="941" w:type="dxa"/>
                  <w:tcBorders>
                    <w:top w:val="single" w:color="000000" w:sz="6" w:space="0"/>
                    <w:left w:val="single" w:color="000000" w:sz="6" w:space="0"/>
                    <w:bottom w:val="single" w:color="000000" w:sz="6" w:space="0"/>
                    <w:right w:val="single" w:color="000000" w:sz="6" w:space="0"/>
                  </w:tcBorders>
                  <w:vAlign w:val="center"/>
                </w:tcPr>
                <w:p w14:paraId="2F8D038E">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氮氧化物</w:t>
                  </w:r>
                </w:p>
              </w:tc>
              <w:tc>
                <w:tcPr>
                  <w:tcW w:w="845" w:type="dxa"/>
                  <w:tcBorders>
                    <w:top w:val="single" w:color="000000" w:sz="6" w:space="0"/>
                    <w:left w:val="single" w:color="000000" w:sz="6" w:space="0"/>
                    <w:bottom w:val="single" w:color="000000" w:sz="6" w:space="0"/>
                    <w:right w:val="single" w:color="000000" w:sz="6" w:space="0"/>
                  </w:tcBorders>
                  <w:vAlign w:val="center"/>
                </w:tcPr>
                <w:p w14:paraId="255CA30D">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ND~3</w:t>
                  </w:r>
                </w:p>
              </w:tc>
              <w:tc>
                <w:tcPr>
                  <w:tcW w:w="1288" w:type="dxa"/>
                  <w:tcBorders>
                    <w:top w:val="single" w:color="000000" w:sz="6" w:space="0"/>
                    <w:left w:val="single" w:color="000000" w:sz="6" w:space="0"/>
                    <w:bottom w:val="single" w:color="000000" w:sz="6" w:space="0"/>
                    <w:right w:val="single" w:color="000000" w:sz="6" w:space="0"/>
                  </w:tcBorders>
                  <w:vAlign w:val="center"/>
                </w:tcPr>
                <w:p w14:paraId="38EDAC42">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3.6</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-2</w:t>
                  </w:r>
                </w:p>
              </w:tc>
              <w:tc>
                <w:tcPr>
                  <w:tcW w:w="886" w:type="dxa"/>
                  <w:vMerge w:val="continue"/>
                  <w:tcBorders>
                    <w:left w:val="single" w:color="000000" w:sz="6" w:space="0"/>
                    <w:bottom w:val="single" w:color="000000" w:sz="6" w:space="0"/>
                    <w:right w:val="single" w:color="000000" w:sz="6" w:space="0"/>
                  </w:tcBorders>
                  <w:vAlign w:val="center"/>
                </w:tcPr>
                <w:p w14:paraId="626D58C9">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p>
              </w:tc>
              <w:tc>
                <w:tcPr>
                  <w:tcW w:w="1380" w:type="dxa"/>
                  <w:tcBorders>
                    <w:top w:val="single" w:color="000000" w:sz="6" w:space="0"/>
                    <w:left w:val="single" w:color="000000" w:sz="6" w:space="0"/>
                    <w:bottom w:val="single" w:color="000000" w:sz="6" w:space="0"/>
                    <w:right w:val="single" w:color="000000" w:sz="6" w:space="0"/>
                  </w:tcBorders>
                  <w:vAlign w:val="center"/>
                </w:tcPr>
                <w:p w14:paraId="598FCAB2">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876" w:type="dxa"/>
                  <w:tcBorders>
                    <w:top w:val="single" w:color="000000" w:sz="6" w:space="0"/>
                    <w:left w:val="single" w:color="000000" w:sz="6" w:space="0"/>
                    <w:bottom w:val="single" w:color="000000" w:sz="6" w:space="0"/>
                    <w:right w:val="single" w:color="000000" w:sz="6" w:space="0"/>
                  </w:tcBorders>
                  <w:vAlign w:val="center"/>
                </w:tcPr>
                <w:p w14:paraId="5473624F">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088DECFF">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100</w:t>
                  </w:r>
                </w:p>
              </w:tc>
              <w:tc>
                <w:tcPr>
                  <w:tcW w:w="934" w:type="dxa"/>
                  <w:tcBorders>
                    <w:top w:val="single" w:color="000000" w:sz="6" w:space="0"/>
                    <w:left w:val="single" w:color="000000" w:sz="6" w:space="0"/>
                    <w:bottom w:val="single" w:color="000000" w:sz="6" w:space="0"/>
                    <w:right w:val="nil"/>
                  </w:tcBorders>
                  <w:vAlign w:val="center"/>
                </w:tcPr>
                <w:p w14:paraId="317C5CF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0.47</w:t>
                  </w:r>
                </w:p>
              </w:tc>
            </w:tr>
            <w:tr w14:paraId="3F9AF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419" w:type="dxa"/>
                  <w:vMerge w:val="restart"/>
                  <w:tcBorders>
                    <w:top w:val="single" w:color="000000" w:sz="6" w:space="0"/>
                    <w:left w:val="nil"/>
                    <w:bottom w:val="single" w:color="000000" w:sz="12" w:space="0"/>
                    <w:right w:val="single" w:color="000000" w:sz="6" w:space="0"/>
                  </w:tcBorders>
                  <w:vAlign w:val="center"/>
                </w:tcPr>
                <w:p w14:paraId="60EBEF52">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FQ17</w:t>
                  </w:r>
                </w:p>
              </w:tc>
              <w:tc>
                <w:tcPr>
                  <w:tcW w:w="941" w:type="dxa"/>
                  <w:tcBorders>
                    <w:top w:val="single" w:color="000000" w:sz="6" w:space="0"/>
                    <w:left w:val="single" w:color="000000" w:sz="6" w:space="0"/>
                    <w:bottom w:val="single" w:color="000000" w:sz="6" w:space="0"/>
                    <w:right w:val="single" w:color="000000" w:sz="6" w:space="0"/>
                  </w:tcBorders>
                  <w:vAlign w:val="center"/>
                </w:tcPr>
                <w:p w14:paraId="6E6D5D02">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845" w:type="dxa"/>
                  <w:tcBorders>
                    <w:top w:val="single" w:color="000000" w:sz="6" w:space="0"/>
                    <w:left w:val="single" w:color="000000" w:sz="6" w:space="0"/>
                    <w:bottom w:val="single" w:color="000000" w:sz="6" w:space="0"/>
                    <w:right w:val="single" w:color="000000" w:sz="6" w:space="0"/>
                  </w:tcBorders>
                  <w:vAlign w:val="center"/>
                </w:tcPr>
                <w:p w14:paraId="7827004B">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1.35~1.64</w:t>
                  </w:r>
                </w:p>
              </w:tc>
              <w:tc>
                <w:tcPr>
                  <w:tcW w:w="1288" w:type="dxa"/>
                  <w:tcBorders>
                    <w:top w:val="single" w:color="000000" w:sz="6" w:space="0"/>
                    <w:left w:val="single" w:color="000000" w:sz="6" w:space="0"/>
                    <w:bottom w:val="single" w:color="000000" w:sz="6" w:space="0"/>
                    <w:right w:val="single" w:color="000000" w:sz="6" w:space="0"/>
                  </w:tcBorders>
                  <w:vAlign w:val="center"/>
                </w:tcPr>
                <w:p w14:paraId="6DA5C6C0">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eastAsia"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1.64</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-2</w:t>
                  </w:r>
                </w:p>
              </w:tc>
              <w:tc>
                <w:tcPr>
                  <w:tcW w:w="886" w:type="dxa"/>
                  <w:vMerge w:val="restart"/>
                  <w:tcBorders>
                    <w:top w:val="single" w:color="000000" w:sz="6" w:space="0"/>
                    <w:left w:val="single" w:color="000000" w:sz="6" w:space="0"/>
                    <w:right w:val="single" w:color="000000" w:sz="6" w:space="0"/>
                  </w:tcBorders>
                  <w:vAlign w:val="center"/>
                </w:tcPr>
                <w:p w14:paraId="24F28CDE">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600</w:t>
                  </w:r>
                </w:p>
              </w:tc>
              <w:tc>
                <w:tcPr>
                  <w:tcW w:w="1380" w:type="dxa"/>
                  <w:tcBorders>
                    <w:top w:val="single" w:color="000000" w:sz="6" w:space="0"/>
                    <w:left w:val="single" w:color="000000" w:sz="6" w:space="0"/>
                    <w:bottom w:val="single" w:color="000000" w:sz="6" w:space="0"/>
                    <w:right w:val="single" w:color="000000" w:sz="6" w:space="0"/>
                  </w:tcBorders>
                  <w:vAlign w:val="center"/>
                </w:tcPr>
                <w:p w14:paraId="39A90FEA">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0.0098</w:t>
                  </w:r>
                </w:p>
              </w:tc>
              <w:tc>
                <w:tcPr>
                  <w:tcW w:w="876" w:type="dxa"/>
                  <w:tcBorders>
                    <w:top w:val="single" w:color="000000" w:sz="6" w:space="0"/>
                    <w:left w:val="single" w:color="000000" w:sz="6" w:space="0"/>
                    <w:bottom w:val="single" w:color="000000" w:sz="6" w:space="0"/>
                    <w:right w:val="single" w:color="000000" w:sz="6" w:space="0"/>
                  </w:tcBorders>
                  <w:vAlign w:val="center"/>
                </w:tcPr>
                <w:p w14:paraId="27A3A41E">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876" w:type="dxa"/>
                  <w:tcBorders>
                    <w:top w:val="single" w:color="000000" w:sz="6" w:space="0"/>
                    <w:left w:val="single" w:color="000000" w:sz="6" w:space="0"/>
                    <w:bottom w:val="single" w:color="000000" w:sz="6" w:space="0"/>
                    <w:right w:val="single" w:color="000000" w:sz="6" w:space="0"/>
                  </w:tcBorders>
                  <w:vAlign w:val="center"/>
                </w:tcPr>
                <w:p w14:paraId="65F0F57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60</w:t>
                  </w:r>
                </w:p>
              </w:tc>
              <w:tc>
                <w:tcPr>
                  <w:tcW w:w="934" w:type="dxa"/>
                  <w:tcBorders>
                    <w:top w:val="single" w:color="000000" w:sz="6" w:space="0"/>
                    <w:left w:val="single" w:color="000000" w:sz="6" w:space="0"/>
                    <w:bottom w:val="single" w:color="000000" w:sz="6" w:space="0"/>
                    <w:right w:val="nil"/>
                  </w:tcBorders>
                  <w:vAlign w:val="center"/>
                </w:tcPr>
                <w:p w14:paraId="571D28F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w:t>
                  </w:r>
                </w:p>
              </w:tc>
            </w:tr>
            <w:tr w14:paraId="58BED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419" w:type="dxa"/>
                  <w:vMerge w:val="continue"/>
                  <w:tcBorders>
                    <w:top w:val="single" w:color="000000" w:sz="12" w:space="0"/>
                    <w:left w:val="nil"/>
                    <w:bottom w:val="single" w:color="000000" w:sz="12" w:space="0"/>
                    <w:right w:val="single" w:color="000000" w:sz="6" w:space="0"/>
                  </w:tcBorders>
                  <w:vAlign w:val="center"/>
                </w:tcPr>
                <w:p w14:paraId="53A583EB">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p>
              </w:tc>
              <w:tc>
                <w:tcPr>
                  <w:tcW w:w="941" w:type="dxa"/>
                  <w:tcBorders>
                    <w:top w:val="single" w:color="000000" w:sz="6" w:space="0"/>
                    <w:left w:val="single" w:color="000000" w:sz="6" w:space="0"/>
                    <w:bottom w:val="single" w:color="000000" w:sz="12" w:space="0"/>
                    <w:right w:val="single" w:color="000000" w:sz="6" w:space="0"/>
                  </w:tcBorders>
                  <w:vAlign w:val="center"/>
                </w:tcPr>
                <w:p w14:paraId="2B73241F">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氮氧化物</w:t>
                  </w:r>
                </w:p>
              </w:tc>
              <w:tc>
                <w:tcPr>
                  <w:tcW w:w="845" w:type="dxa"/>
                  <w:tcBorders>
                    <w:top w:val="single" w:color="000000" w:sz="6" w:space="0"/>
                    <w:left w:val="single" w:color="000000" w:sz="6" w:space="0"/>
                    <w:bottom w:val="single" w:color="000000" w:sz="12" w:space="0"/>
                    <w:right w:val="single" w:color="000000" w:sz="6" w:space="0"/>
                  </w:tcBorders>
                  <w:vAlign w:val="center"/>
                </w:tcPr>
                <w:p w14:paraId="6D5EB944">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ND~ND</w:t>
                  </w:r>
                </w:p>
              </w:tc>
              <w:tc>
                <w:tcPr>
                  <w:tcW w:w="1288" w:type="dxa"/>
                  <w:tcBorders>
                    <w:top w:val="single" w:color="000000" w:sz="6" w:space="0"/>
                    <w:left w:val="single" w:color="000000" w:sz="6" w:space="0"/>
                    <w:bottom w:val="single" w:color="000000" w:sz="12" w:space="0"/>
                    <w:right w:val="single" w:color="000000" w:sz="6" w:space="0"/>
                  </w:tcBorders>
                  <w:vAlign w:val="center"/>
                </w:tcPr>
                <w:p w14:paraId="63BEFA34">
                  <w:pPr>
                    <w:keepNext w:val="0"/>
                    <w:keepLines w:val="0"/>
                    <w:pageBreakBefore w:val="0"/>
                    <w:widowControl/>
                    <w:kinsoku/>
                    <w:wordWrap/>
                    <w:overflowPunct/>
                    <w:topLinePunct w:val="0"/>
                    <w:autoSpaceDE/>
                    <w:autoSpaceDN/>
                    <w:bidi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886" w:type="dxa"/>
                  <w:vMerge w:val="continue"/>
                  <w:tcBorders>
                    <w:left w:val="single" w:color="000000" w:sz="6" w:space="0"/>
                    <w:bottom w:val="single" w:color="000000" w:sz="12" w:space="0"/>
                    <w:right w:val="single" w:color="000000" w:sz="6" w:space="0"/>
                  </w:tcBorders>
                  <w:vAlign w:val="center"/>
                </w:tcPr>
                <w:p w14:paraId="0631F629">
                  <w:pPr>
                    <w:keepNext w:val="0"/>
                    <w:keepLines w:val="0"/>
                    <w:pageBreakBefore w:val="0"/>
                    <w:kinsoku/>
                    <w:wordWrap/>
                    <w:overflowPunct/>
                    <w:topLinePunct w:val="0"/>
                    <w:autoSpaceDE/>
                    <w:autoSpaceDN/>
                    <w:bidi w:val="0"/>
                    <w:spacing w:line="200" w:lineRule="atLeast"/>
                    <w:jc w:val="center"/>
                    <w:textAlignment w:val="auto"/>
                    <w:rPr>
                      <w:rFonts w:hint="eastAsia" w:ascii="Times New Roman" w:hAnsi="Times New Roman" w:eastAsia="宋体" w:cs="Times New Roman"/>
                      <w:b w:val="0"/>
                      <w:bCs w:val="0"/>
                      <w:color w:val="auto"/>
                      <w:sz w:val="18"/>
                      <w:szCs w:val="18"/>
                      <w:highlight w:val="none"/>
                      <w:lang w:val="en-US" w:eastAsia="zh-CN"/>
                    </w:rPr>
                  </w:pPr>
                </w:p>
              </w:tc>
              <w:tc>
                <w:tcPr>
                  <w:tcW w:w="1380" w:type="dxa"/>
                  <w:tcBorders>
                    <w:top w:val="single" w:color="000000" w:sz="6" w:space="0"/>
                    <w:left w:val="single" w:color="000000" w:sz="6" w:space="0"/>
                    <w:bottom w:val="single" w:color="000000" w:sz="12" w:space="0"/>
                    <w:right w:val="single" w:color="000000" w:sz="6" w:space="0"/>
                  </w:tcBorders>
                  <w:vAlign w:val="center"/>
                </w:tcPr>
                <w:p w14:paraId="70536854">
                  <w:pPr>
                    <w:keepNext w:val="0"/>
                    <w:keepLines w:val="0"/>
                    <w:pageBreakBefore w:val="0"/>
                    <w:kinsoku/>
                    <w:wordWrap/>
                    <w:overflowPunct/>
                    <w:topLinePunct w:val="0"/>
                    <w:autoSpaceDE/>
                    <w:autoSpaceDN/>
                    <w:bidi w:val="0"/>
                    <w:adjustRightInd w:val="0"/>
                    <w:snapToGrid w:val="0"/>
                    <w:spacing w:line="200" w:lineRule="atLeast"/>
                    <w:ind w:left="-63" w:leftChars="-30" w:right="-63" w:rightChars="-30"/>
                    <w:jc w:val="center"/>
                    <w:textAlignment w:val="auto"/>
                    <w:rPr>
                      <w:rFonts w:hint="default" w:ascii="Times New Roman" w:hAnsi="Times New Roman" w:eastAsia="宋体"/>
                      <w:color w:val="auto"/>
                      <w:sz w:val="18"/>
                      <w:szCs w:val="18"/>
                      <w:highlight w:val="none"/>
                      <w:lang w:val="en-US" w:eastAsia="zh-CN"/>
                    </w:rPr>
                  </w:pPr>
                  <w:r>
                    <w:rPr>
                      <w:rFonts w:hint="eastAsia" w:ascii="Times New Roman" w:hAnsi="Times New Roman" w:eastAsia="宋体"/>
                      <w:color w:val="auto"/>
                      <w:sz w:val="18"/>
                      <w:szCs w:val="18"/>
                      <w:highlight w:val="none"/>
                      <w:lang w:val="en-US" w:eastAsia="zh-CN"/>
                    </w:rPr>
                    <w:t>/</w:t>
                  </w:r>
                </w:p>
              </w:tc>
              <w:tc>
                <w:tcPr>
                  <w:tcW w:w="876" w:type="dxa"/>
                  <w:tcBorders>
                    <w:top w:val="single" w:color="000000" w:sz="6" w:space="0"/>
                    <w:left w:val="single" w:color="000000" w:sz="6" w:space="0"/>
                    <w:bottom w:val="single" w:color="000000" w:sz="12" w:space="0"/>
                    <w:right w:val="single" w:color="000000" w:sz="6" w:space="0"/>
                  </w:tcBorders>
                  <w:vAlign w:val="center"/>
                </w:tcPr>
                <w:p w14:paraId="6DDC0461">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28</w:t>
                  </w:r>
                </w:p>
              </w:tc>
              <w:tc>
                <w:tcPr>
                  <w:tcW w:w="876" w:type="dxa"/>
                  <w:tcBorders>
                    <w:top w:val="single" w:color="000000" w:sz="6" w:space="0"/>
                    <w:left w:val="single" w:color="000000" w:sz="6" w:space="0"/>
                    <w:bottom w:val="single" w:color="000000" w:sz="12" w:space="0"/>
                    <w:right w:val="single" w:color="000000" w:sz="6" w:space="0"/>
                  </w:tcBorders>
                  <w:vAlign w:val="center"/>
                </w:tcPr>
                <w:p w14:paraId="3683C3BF">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100</w:t>
                  </w:r>
                </w:p>
              </w:tc>
              <w:tc>
                <w:tcPr>
                  <w:tcW w:w="934" w:type="dxa"/>
                  <w:tcBorders>
                    <w:top w:val="single" w:color="000000" w:sz="6" w:space="0"/>
                    <w:left w:val="single" w:color="000000" w:sz="6" w:space="0"/>
                    <w:bottom w:val="single" w:color="000000" w:sz="12" w:space="0"/>
                    <w:right w:val="nil"/>
                  </w:tcBorders>
                  <w:vAlign w:val="center"/>
                </w:tcPr>
                <w:p w14:paraId="0F65E5B9">
                  <w:pPr>
                    <w:keepNext w:val="0"/>
                    <w:keepLines w:val="0"/>
                    <w:pageBreakBefore w:val="0"/>
                    <w:kinsoku/>
                    <w:wordWrap/>
                    <w:overflowPunct/>
                    <w:topLinePunct w:val="0"/>
                    <w:autoSpaceDE/>
                    <w:autoSpaceDN/>
                    <w:bidi w:val="0"/>
                    <w:spacing w:line="200" w:lineRule="atLeast"/>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0.47</w:t>
                  </w:r>
                </w:p>
              </w:tc>
            </w:tr>
          </w:tbl>
          <w:p w14:paraId="3B947C69">
            <w:pPr>
              <w:keepNext w:val="0"/>
              <w:keepLines w:val="0"/>
              <w:suppressLineNumbers w:val="0"/>
              <w:kinsoku w:val="0"/>
              <w:autoSpaceDE w:val="0"/>
              <w:autoSpaceDN w:val="0"/>
              <w:adjustRightInd w:val="0"/>
              <w:snapToGrid w:val="0"/>
              <w:spacing w:before="25" w:beforeAutospacing="0" w:after="0" w:afterAutospacing="0" w:line="220" w:lineRule="auto"/>
              <w:ind w:left="105" w:right="0"/>
              <w:jc w:val="left"/>
              <w:textAlignment w:val="baseline"/>
              <w:rPr>
                <w:rFonts w:hint="eastAsia" w:ascii="Times New Roman" w:hAnsi="Times New Roman" w:eastAsia="宋体"/>
                <w:color w:val="auto"/>
                <w:highlight w:val="none"/>
                <w:lang w:val="en-US" w:eastAsia="zh-CN"/>
              </w:rPr>
            </w:pPr>
            <w:r>
              <w:rPr>
                <w:rFonts w:hint="default" w:ascii="Times New Roman" w:hAnsi="Times New Roman" w:eastAsia="宋体" w:cs="宋体"/>
                <w:snapToGrid w:val="0"/>
                <w:color w:val="auto"/>
                <w:spacing w:val="-8"/>
                <w:kern w:val="0"/>
                <w:sz w:val="18"/>
                <w:szCs w:val="18"/>
                <w:highlight w:val="none"/>
                <w:lang w:val="en-US" w:eastAsia="en-US" w:bidi="ar-SA"/>
              </w:rPr>
              <w:t>注：</w:t>
            </w:r>
            <w:r>
              <w:rPr>
                <w:rFonts w:hint="default" w:ascii="Times New Roman" w:hAnsi="Times New Roman" w:eastAsia="宋体" w:cs="Times New Roman"/>
                <w:snapToGrid w:val="0"/>
                <w:color w:val="auto"/>
                <w:spacing w:val="-8"/>
                <w:kern w:val="0"/>
                <w:sz w:val="18"/>
                <w:szCs w:val="18"/>
                <w:highlight w:val="none"/>
                <w:lang w:val="en-US" w:eastAsia="en-US" w:bidi="ar-SA"/>
              </w:rPr>
              <w:t>ND</w:t>
            </w:r>
            <w:r>
              <w:rPr>
                <w:rFonts w:hint="default" w:ascii="Times New Roman" w:hAnsi="Times New Roman" w:eastAsia="宋体" w:cs="宋体"/>
                <w:snapToGrid w:val="0"/>
                <w:color w:val="auto"/>
                <w:spacing w:val="-8"/>
                <w:kern w:val="0"/>
                <w:sz w:val="18"/>
                <w:szCs w:val="18"/>
                <w:highlight w:val="none"/>
                <w:lang w:val="en-US" w:eastAsia="en-US" w:bidi="ar-SA"/>
              </w:rPr>
              <w:t>表示未检出。</w:t>
            </w:r>
          </w:p>
          <w:p w14:paraId="23FE1DB3">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表2-</w:t>
            </w:r>
            <w:r>
              <w:rPr>
                <w:rFonts w:hint="eastAsia" w:cs="Times New Roman"/>
                <w:b/>
                <w:bCs/>
                <w:color w:val="auto"/>
                <w:kern w:val="2"/>
                <w:sz w:val="21"/>
                <w:szCs w:val="21"/>
                <w:highlight w:val="none"/>
                <w:lang w:val="en-US" w:eastAsia="zh-CN" w:bidi="ar-SA"/>
              </w:rPr>
              <w:t>11</w:t>
            </w:r>
            <w:r>
              <w:rPr>
                <w:rFonts w:hint="eastAsia" w:ascii="Times New Roman" w:hAnsi="Times New Roman" w:eastAsia="宋体" w:cs="Times New Roman"/>
                <w:b/>
                <w:bCs/>
                <w:color w:val="auto"/>
                <w:kern w:val="2"/>
                <w:sz w:val="21"/>
                <w:szCs w:val="21"/>
                <w:highlight w:val="none"/>
                <w:lang w:val="en-US" w:eastAsia="zh-CN" w:bidi="ar-SA"/>
              </w:rPr>
              <w:t xml:space="preserve">  </w:t>
            </w:r>
            <w:r>
              <w:rPr>
                <w:rFonts w:hint="eastAsia" w:ascii="Times New Roman" w:hAnsi="Times New Roman" w:eastAsia="宋体" w:cs="Times New Roman"/>
                <w:b/>
                <w:bCs/>
                <w:color w:val="auto"/>
                <w:sz w:val="21"/>
                <w:szCs w:val="21"/>
                <w:highlight w:val="none"/>
                <w:lang w:val="en-US" w:eastAsia="zh-CN"/>
              </w:rPr>
              <w:t>现有项目厂界无组织排放达标情况表（已建投产部分）</w:t>
            </w:r>
          </w:p>
          <w:tbl>
            <w:tblPr>
              <w:tblStyle w:val="37"/>
              <w:tblW w:w="84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6"/>
              <w:gridCol w:w="1007"/>
              <w:gridCol w:w="1009"/>
              <w:gridCol w:w="1056"/>
              <w:gridCol w:w="1135"/>
              <w:gridCol w:w="1121"/>
              <w:gridCol w:w="1124"/>
              <w:gridCol w:w="1050"/>
            </w:tblGrid>
            <w:tr w14:paraId="7EEE5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956" w:type="dxa"/>
                  <w:vMerge w:val="restart"/>
                  <w:tcBorders>
                    <w:top w:val="single" w:color="000000" w:sz="12" w:space="0"/>
                    <w:left w:val="nil"/>
                    <w:bottom w:val="nil"/>
                  </w:tcBorders>
                  <w:vAlign w:val="center"/>
                </w:tcPr>
                <w:p w14:paraId="4B9AD54F">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w:t>
                  </w:r>
                </w:p>
                <w:p w14:paraId="1830A929">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日期</w:t>
                  </w:r>
                </w:p>
              </w:tc>
              <w:tc>
                <w:tcPr>
                  <w:tcW w:w="1007" w:type="dxa"/>
                  <w:vMerge w:val="restart"/>
                  <w:tcBorders>
                    <w:top w:val="single" w:color="000000" w:sz="12" w:space="0"/>
                    <w:bottom w:val="nil"/>
                  </w:tcBorders>
                  <w:vAlign w:val="center"/>
                </w:tcPr>
                <w:p w14:paraId="2CDCF7AE">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w:t>
                  </w:r>
                </w:p>
              </w:tc>
              <w:tc>
                <w:tcPr>
                  <w:tcW w:w="1009" w:type="dxa"/>
                  <w:vMerge w:val="restart"/>
                  <w:tcBorders>
                    <w:top w:val="single" w:color="000000" w:sz="12" w:space="0"/>
                    <w:bottom w:val="nil"/>
                  </w:tcBorders>
                  <w:vAlign w:val="center"/>
                </w:tcPr>
                <w:p w14:paraId="661A8AC5">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监测频次</w:t>
                  </w:r>
                </w:p>
              </w:tc>
              <w:tc>
                <w:tcPr>
                  <w:tcW w:w="4436" w:type="dxa"/>
                  <w:gridSpan w:val="4"/>
                  <w:tcBorders>
                    <w:top w:val="single" w:color="000000" w:sz="12" w:space="0"/>
                  </w:tcBorders>
                  <w:vAlign w:val="center"/>
                </w:tcPr>
                <w:p w14:paraId="741CD42B">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无组织检测结果（mg/m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rPr>
                    <w:t>）</w:t>
                  </w:r>
                </w:p>
              </w:tc>
              <w:tc>
                <w:tcPr>
                  <w:tcW w:w="1050" w:type="dxa"/>
                  <w:tcBorders>
                    <w:top w:val="single" w:color="000000" w:sz="12" w:space="0"/>
                    <w:right w:val="nil"/>
                  </w:tcBorders>
                  <w:vAlign w:val="center"/>
                </w:tcPr>
                <w:p w14:paraId="4FA677EE">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执行标准</w:t>
                  </w:r>
                </w:p>
              </w:tc>
            </w:tr>
            <w:tr w14:paraId="788E1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956" w:type="dxa"/>
                  <w:vMerge w:val="continue"/>
                  <w:tcBorders>
                    <w:top w:val="nil"/>
                    <w:left w:val="nil"/>
                  </w:tcBorders>
                  <w:vAlign w:val="center"/>
                </w:tcPr>
                <w:p w14:paraId="02A17751">
                  <w:pPr>
                    <w:spacing w:line="144" w:lineRule="auto"/>
                    <w:jc w:val="center"/>
                    <w:rPr>
                      <w:rFonts w:hint="default" w:ascii="Times New Roman" w:hAnsi="Times New Roman" w:eastAsia="宋体" w:cs="Times New Roman"/>
                      <w:b/>
                      <w:bCs/>
                      <w:color w:val="auto"/>
                      <w:sz w:val="18"/>
                      <w:szCs w:val="18"/>
                      <w:highlight w:val="none"/>
                    </w:rPr>
                  </w:pPr>
                </w:p>
              </w:tc>
              <w:tc>
                <w:tcPr>
                  <w:tcW w:w="1007" w:type="dxa"/>
                  <w:vMerge w:val="continue"/>
                  <w:tcBorders>
                    <w:top w:val="nil"/>
                  </w:tcBorders>
                  <w:vAlign w:val="center"/>
                </w:tcPr>
                <w:p w14:paraId="655659A5">
                  <w:pPr>
                    <w:spacing w:line="144" w:lineRule="auto"/>
                    <w:jc w:val="center"/>
                    <w:rPr>
                      <w:rFonts w:hint="default" w:ascii="Times New Roman" w:hAnsi="Times New Roman" w:eastAsia="宋体" w:cs="Times New Roman"/>
                      <w:b/>
                      <w:bCs/>
                      <w:color w:val="auto"/>
                      <w:sz w:val="18"/>
                      <w:szCs w:val="18"/>
                      <w:highlight w:val="none"/>
                    </w:rPr>
                  </w:pPr>
                </w:p>
              </w:tc>
              <w:tc>
                <w:tcPr>
                  <w:tcW w:w="1009" w:type="dxa"/>
                  <w:vMerge w:val="continue"/>
                  <w:tcBorders>
                    <w:top w:val="nil"/>
                  </w:tcBorders>
                  <w:vAlign w:val="center"/>
                </w:tcPr>
                <w:p w14:paraId="2C6E8B76">
                  <w:pPr>
                    <w:spacing w:line="144" w:lineRule="auto"/>
                    <w:jc w:val="center"/>
                    <w:rPr>
                      <w:rFonts w:hint="default" w:ascii="Times New Roman" w:hAnsi="Times New Roman" w:eastAsia="宋体" w:cs="Times New Roman"/>
                      <w:b/>
                      <w:bCs/>
                      <w:color w:val="auto"/>
                      <w:sz w:val="18"/>
                      <w:szCs w:val="18"/>
                      <w:highlight w:val="none"/>
                    </w:rPr>
                  </w:pPr>
                </w:p>
              </w:tc>
              <w:tc>
                <w:tcPr>
                  <w:tcW w:w="1056" w:type="dxa"/>
                  <w:vAlign w:val="center"/>
                </w:tcPr>
                <w:p w14:paraId="3068A9A4">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上风向G1</w:t>
                  </w:r>
                </w:p>
              </w:tc>
              <w:tc>
                <w:tcPr>
                  <w:tcW w:w="1135" w:type="dxa"/>
                  <w:vAlign w:val="center"/>
                </w:tcPr>
                <w:p w14:paraId="2934C0D6">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下风向G2</w:t>
                  </w:r>
                </w:p>
              </w:tc>
              <w:tc>
                <w:tcPr>
                  <w:tcW w:w="1121" w:type="dxa"/>
                  <w:vAlign w:val="center"/>
                </w:tcPr>
                <w:p w14:paraId="588B594B">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下风向G3</w:t>
                  </w:r>
                </w:p>
              </w:tc>
              <w:tc>
                <w:tcPr>
                  <w:tcW w:w="1124" w:type="dxa"/>
                  <w:vAlign w:val="center"/>
                </w:tcPr>
                <w:p w14:paraId="39D3A354">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下风向G4</w:t>
                  </w:r>
                </w:p>
              </w:tc>
              <w:tc>
                <w:tcPr>
                  <w:tcW w:w="1050" w:type="dxa"/>
                  <w:tcBorders>
                    <w:right w:val="nil"/>
                  </w:tcBorders>
                  <w:vAlign w:val="center"/>
                </w:tcPr>
                <w:p w14:paraId="550E009E">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p>
              </w:tc>
            </w:tr>
            <w:tr w14:paraId="224E7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restart"/>
                  <w:tcBorders>
                    <w:left w:val="nil"/>
                  </w:tcBorders>
                  <w:vAlign w:val="center"/>
                </w:tcPr>
                <w:p w14:paraId="6BD0454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2024.11.04</w:t>
                  </w:r>
                </w:p>
              </w:tc>
              <w:tc>
                <w:tcPr>
                  <w:tcW w:w="1007" w:type="dxa"/>
                  <w:vMerge w:val="restart"/>
                  <w:tcBorders>
                    <w:bottom w:val="nil"/>
                  </w:tcBorders>
                  <w:vAlign w:val="center"/>
                </w:tcPr>
                <w:p w14:paraId="3EBE545F">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1009" w:type="dxa"/>
                  <w:vAlign w:val="center"/>
                </w:tcPr>
                <w:p w14:paraId="6AE25648">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vAlign w:val="center"/>
                </w:tcPr>
                <w:p w14:paraId="1293850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0.31</w:t>
                  </w:r>
                </w:p>
              </w:tc>
              <w:tc>
                <w:tcPr>
                  <w:tcW w:w="1135" w:type="dxa"/>
                  <w:vAlign w:val="center"/>
                </w:tcPr>
                <w:p w14:paraId="09122394">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0.46</w:t>
                  </w:r>
                </w:p>
              </w:tc>
              <w:tc>
                <w:tcPr>
                  <w:tcW w:w="1121" w:type="dxa"/>
                  <w:vAlign w:val="center"/>
                </w:tcPr>
                <w:p w14:paraId="6A11EDA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0.46</w:t>
                  </w:r>
                </w:p>
              </w:tc>
              <w:tc>
                <w:tcPr>
                  <w:tcW w:w="1124" w:type="dxa"/>
                  <w:vAlign w:val="center"/>
                </w:tcPr>
                <w:p w14:paraId="0DA7C889">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0.47</w:t>
                  </w:r>
                </w:p>
              </w:tc>
              <w:tc>
                <w:tcPr>
                  <w:tcW w:w="1050" w:type="dxa"/>
                  <w:tcBorders>
                    <w:right w:val="nil"/>
                  </w:tcBorders>
                  <w:vAlign w:val="center"/>
                </w:tcPr>
                <w:p w14:paraId="28A0A9DF">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w:t>
                  </w:r>
                </w:p>
              </w:tc>
            </w:tr>
            <w:tr w14:paraId="04BEF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230AFE99">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nil"/>
                    <w:bottom w:val="nil"/>
                  </w:tcBorders>
                  <w:vAlign w:val="center"/>
                </w:tcPr>
                <w:p w14:paraId="35754936">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vAlign w:val="center"/>
                </w:tcPr>
                <w:p w14:paraId="2358ADD4">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vAlign w:val="center"/>
                </w:tcPr>
                <w:p w14:paraId="0770A1F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0.32</w:t>
                  </w:r>
                </w:p>
              </w:tc>
              <w:tc>
                <w:tcPr>
                  <w:tcW w:w="1135" w:type="dxa"/>
                  <w:vAlign w:val="center"/>
                </w:tcPr>
                <w:p w14:paraId="3BAF9AFF">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0.48</w:t>
                  </w:r>
                </w:p>
              </w:tc>
              <w:tc>
                <w:tcPr>
                  <w:tcW w:w="1121" w:type="dxa"/>
                  <w:vAlign w:val="center"/>
                </w:tcPr>
                <w:p w14:paraId="631DFD0D">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0.46</w:t>
                  </w:r>
                </w:p>
              </w:tc>
              <w:tc>
                <w:tcPr>
                  <w:tcW w:w="1124" w:type="dxa"/>
                  <w:vAlign w:val="center"/>
                </w:tcPr>
                <w:p w14:paraId="7B84EE15">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0.43</w:t>
                  </w:r>
                </w:p>
              </w:tc>
              <w:tc>
                <w:tcPr>
                  <w:tcW w:w="1050" w:type="dxa"/>
                  <w:tcBorders>
                    <w:right w:val="nil"/>
                  </w:tcBorders>
                  <w:vAlign w:val="center"/>
                </w:tcPr>
                <w:p w14:paraId="464EA74D">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w:t>
                  </w:r>
                </w:p>
              </w:tc>
            </w:tr>
            <w:tr w14:paraId="550B6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0E2AC2F0">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nil"/>
                  </w:tcBorders>
                  <w:vAlign w:val="center"/>
                </w:tcPr>
                <w:p w14:paraId="33D5BFB9">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vAlign w:val="center"/>
                </w:tcPr>
                <w:p w14:paraId="3A09F001">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vAlign w:val="center"/>
                </w:tcPr>
                <w:p w14:paraId="27EEBC3A">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0.32</w:t>
                  </w:r>
                </w:p>
              </w:tc>
              <w:tc>
                <w:tcPr>
                  <w:tcW w:w="1135" w:type="dxa"/>
                  <w:vAlign w:val="center"/>
                </w:tcPr>
                <w:p w14:paraId="1D349BE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0.50</w:t>
                  </w:r>
                </w:p>
              </w:tc>
              <w:tc>
                <w:tcPr>
                  <w:tcW w:w="1121" w:type="dxa"/>
                  <w:vAlign w:val="center"/>
                </w:tcPr>
                <w:p w14:paraId="11B701F1">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0.56</w:t>
                  </w:r>
                </w:p>
              </w:tc>
              <w:tc>
                <w:tcPr>
                  <w:tcW w:w="1124" w:type="dxa"/>
                  <w:vAlign w:val="center"/>
                </w:tcPr>
                <w:p w14:paraId="52BA229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0.58</w:t>
                  </w:r>
                </w:p>
              </w:tc>
              <w:tc>
                <w:tcPr>
                  <w:tcW w:w="1050" w:type="dxa"/>
                  <w:tcBorders>
                    <w:right w:val="nil"/>
                  </w:tcBorders>
                  <w:vAlign w:val="center"/>
                </w:tcPr>
                <w:p w14:paraId="470A61E1">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w:t>
                  </w:r>
                </w:p>
              </w:tc>
            </w:tr>
            <w:tr w14:paraId="52511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64C1BA0D">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restart"/>
                  <w:tcBorders>
                    <w:bottom w:val="nil"/>
                  </w:tcBorders>
                  <w:vAlign w:val="center"/>
                </w:tcPr>
                <w:p w14:paraId="105E5DF0">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酚类化合物</w:t>
                  </w:r>
                </w:p>
              </w:tc>
              <w:tc>
                <w:tcPr>
                  <w:tcW w:w="1009" w:type="dxa"/>
                  <w:vAlign w:val="center"/>
                </w:tcPr>
                <w:p w14:paraId="7606269A">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vAlign w:val="center"/>
                </w:tcPr>
                <w:p w14:paraId="4E944C37">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0.005</w:t>
                  </w:r>
                </w:p>
              </w:tc>
              <w:tc>
                <w:tcPr>
                  <w:tcW w:w="1135" w:type="dxa"/>
                  <w:vAlign w:val="center"/>
                </w:tcPr>
                <w:p w14:paraId="6A460E9A">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0.010</w:t>
                  </w:r>
                </w:p>
              </w:tc>
              <w:tc>
                <w:tcPr>
                  <w:tcW w:w="1121" w:type="dxa"/>
                  <w:vAlign w:val="center"/>
                </w:tcPr>
                <w:p w14:paraId="0D64E16E">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0.014</w:t>
                  </w:r>
                </w:p>
              </w:tc>
              <w:tc>
                <w:tcPr>
                  <w:tcW w:w="1124" w:type="dxa"/>
                  <w:vAlign w:val="center"/>
                </w:tcPr>
                <w:p w14:paraId="0C270A33">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0.014</w:t>
                  </w:r>
                </w:p>
              </w:tc>
              <w:tc>
                <w:tcPr>
                  <w:tcW w:w="1050" w:type="dxa"/>
                  <w:tcBorders>
                    <w:right w:val="nil"/>
                  </w:tcBorders>
                  <w:vAlign w:val="center"/>
                </w:tcPr>
                <w:p w14:paraId="7F84725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00BDF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651F970F">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nil"/>
                    <w:bottom w:val="nil"/>
                  </w:tcBorders>
                  <w:vAlign w:val="center"/>
                </w:tcPr>
                <w:p w14:paraId="448D260F">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vAlign w:val="center"/>
                </w:tcPr>
                <w:p w14:paraId="195DF6BC">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vAlign w:val="center"/>
                </w:tcPr>
                <w:p w14:paraId="5CE7E57B">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0.010</w:t>
                  </w:r>
                </w:p>
              </w:tc>
              <w:tc>
                <w:tcPr>
                  <w:tcW w:w="1135" w:type="dxa"/>
                  <w:vAlign w:val="center"/>
                </w:tcPr>
                <w:p w14:paraId="4E0E504C">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0.014</w:t>
                  </w:r>
                </w:p>
              </w:tc>
              <w:tc>
                <w:tcPr>
                  <w:tcW w:w="1121" w:type="dxa"/>
                  <w:vAlign w:val="center"/>
                </w:tcPr>
                <w:p w14:paraId="0EA60EB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0.019</w:t>
                  </w:r>
                </w:p>
              </w:tc>
              <w:tc>
                <w:tcPr>
                  <w:tcW w:w="1124" w:type="dxa"/>
                  <w:vAlign w:val="center"/>
                </w:tcPr>
                <w:p w14:paraId="3B0CCE45">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0.014</w:t>
                  </w:r>
                </w:p>
              </w:tc>
              <w:tc>
                <w:tcPr>
                  <w:tcW w:w="1050" w:type="dxa"/>
                  <w:tcBorders>
                    <w:right w:val="nil"/>
                  </w:tcBorders>
                  <w:vAlign w:val="center"/>
                </w:tcPr>
                <w:p w14:paraId="313BC52C">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30F35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697591CE">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nil"/>
                    <w:bottom w:val="single" w:color="000000" w:sz="2" w:space="0"/>
                  </w:tcBorders>
                  <w:vAlign w:val="center"/>
                </w:tcPr>
                <w:p w14:paraId="0F2203EE">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bottom w:val="single" w:color="000000" w:sz="2" w:space="0"/>
                  </w:tcBorders>
                  <w:vAlign w:val="center"/>
                </w:tcPr>
                <w:p w14:paraId="483612D8">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tcBorders>
                    <w:bottom w:val="single" w:color="000000" w:sz="2" w:space="0"/>
                  </w:tcBorders>
                  <w:vAlign w:val="center"/>
                </w:tcPr>
                <w:p w14:paraId="72D5D7AF">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0.005</w:t>
                  </w:r>
                </w:p>
              </w:tc>
              <w:tc>
                <w:tcPr>
                  <w:tcW w:w="1135" w:type="dxa"/>
                  <w:tcBorders>
                    <w:bottom w:val="single" w:color="000000" w:sz="2" w:space="0"/>
                  </w:tcBorders>
                  <w:vAlign w:val="center"/>
                </w:tcPr>
                <w:p w14:paraId="238234D4">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0.010</w:t>
                  </w:r>
                </w:p>
              </w:tc>
              <w:tc>
                <w:tcPr>
                  <w:tcW w:w="1121" w:type="dxa"/>
                  <w:tcBorders>
                    <w:bottom w:val="single" w:color="000000" w:sz="2" w:space="0"/>
                  </w:tcBorders>
                  <w:vAlign w:val="center"/>
                </w:tcPr>
                <w:p w14:paraId="4B815F7C">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0.014</w:t>
                  </w:r>
                </w:p>
              </w:tc>
              <w:tc>
                <w:tcPr>
                  <w:tcW w:w="1124" w:type="dxa"/>
                  <w:tcBorders>
                    <w:bottom w:val="single" w:color="000000" w:sz="2" w:space="0"/>
                  </w:tcBorders>
                  <w:vAlign w:val="center"/>
                </w:tcPr>
                <w:p w14:paraId="793F3EFA">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0.014</w:t>
                  </w:r>
                </w:p>
              </w:tc>
              <w:tc>
                <w:tcPr>
                  <w:tcW w:w="1050" w:type="dxa"/>
                  <w:tcBorders>
                    <w:bottom w:val="single" w:color="000000" w:sz="2" w:space="0"/>
                    <w:right w:val="nil"/>
                  </w:tcBorders>
                  <w:vAlign w:val="center"/>
                </w:tcPr>
                <w:p w14:paraId="63F3266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16238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5DB6E198">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restart"/>
                  <w:tcBorders>
                    <w:top w:val="single" w:color="000000" w:sz="2" w:space="0"/>
                    <w:bottom w:val="single" w:color="000000" w:sz="2" w:space="0"/>
                  </w:tcBorders>
                  <w:vAlign w:val="center"/>
                </w:tcPr>
                <w:p w14:paraId="710C97BF">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氮氧化物</w:t>
                  </w:r>
                </w:p>
              </w:tc>
              <w:tc>
                <w:tcPr>
                  <w:tcW w:w="1009" w:type="dxa"/>
                  <w:tcBorders>
                    <w:top w:val="single" w:color="000000" w:sz="2" w:space="0"/>
                    <w:bottom w:val="single" w:color="000000" w:sz="2" w:space="0"/>
                  </w:tcBorders>
                  <w:vAlign w:val="center"/>
                </w:tcPr>
                <w:p w14:paraId="164B239C">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tcBorders>
                    <w:top w:val="single" w:color="000000" w:sz="2" w:space="0"/>
                    <w:bottom w:val="single" w:color="000000" w:sz="2" w:space="0"/>
                  </w:tcBorders>
                  <w:vAlign w:val="center"/>
                </w:tcPr>
                <w:p w14:paraId="2F75EEEC">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0.054</w:t>
                  </w:r>
                </w:p>
              </w:tc>
              <w:tc>
                <w:tcPr>
                  <w:tcW w:w="1135" w:type="dxa"/>
                  <w:tcBorders>
                    <w:top w:val="single" w:color="000000" w:sz="2" w:space="0"/>
                    <w:bottom w:val="single" w:color="000000" w:sz="2" w:space="0"/>
                  </w:tcBorders>
                  <w:vAlign w:val="center"/>
                </w:tcPr>
                <w:p w14:paraId="2ADF083B">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0.060</w:t>
                  </w:r>
                </w:p>
              </w:tc>
              <w:tc>
                <w:tcPr>
                  <w:tcW w:w="1121" w:type="dxa"/>
                  <w:tcBorders>
                    <w:top w:val="single" w:color="000000" w:sz="2" w:space="0"/>
                    <w:bottom w:val="single" w:color="000000" w:sz="2" w:space="0"/>
                  </w:tcBorders>
                  <w:vAlign w:val="center"/>
                </w:tcPr>
                <w:p w14:paraId="04D695FA">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0.057</w:t>
                  </w:r>
                </w:p>
              </w:tc>
              <w:tc>
                <w:tcPr>
                  <w:tcW w:w="1124" w:type="dxa"/>
                  <w:tcBorders>
                    <w:top w:val="single" w:color="000000" w:sz="2" w:space="0"/>
                    <w:bottom w:val="single" w:color="000000" w:sz="2" w:space="0"/>
                  </w:tcBorders>
                  <w:vAlign w:val="center"/>
                </w:tcPr>
                <w:p w14:paraId="4119866C">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0.064</w:t>
                  </w:r>
                </w:p>
              </w:tc>
              <w:tc>
                <w:tcPr>
                  <w:tcW w:w="1050" w:type="dxa"/>
                  <w:tcBorders>
                    <w:top w:val="single" w:color="000000" w:sz="2" w:space="0"/>
                    <w:bottom w:val="single" w:color="000000" w:sz="2" w:space="0"/>
                    <w:right w:val="single" w:color="000000" w:sz="2" w:space="0"/>
                  </w:tcBorders>
                  <w:vAlign w:val="center"/>
                </w:tcPr>
                <w:p w14:paraId="3006FAB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0.12</w:t>
                  </w:r>
                </w:p>
              </w:tc>
            </w:tr>
            <w:tr w14:paraId="4B3E2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76FD6872">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single" w:color="000000" w:sz="2" w:space="0"/>
                    <w:bottom w:val="single" w:color="000000" w:sz="2" w:space="0"/>
                  </w:tcBorders>
                  <w:vAlign w:val="center"/>
                </w:tcPr>
                <w:p w14:paraId="440EE866">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6C5735E9">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tcBorders>
                    <w:top w:val="single" w:color="000000" w:sz="2" w:space="0"/>
                    <w:bottom w:val="single" w:color="000000" w:sz="2" w:space="0"/>
                  </w:tcBorders>
                  <w:vAlign w:val="center"/>
                </w:tcPr>
                <w:p w14:paraId="29A837C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0.046</w:t>
                  </w:r>
                </w:p>
              </w:tc>
              <w:tc>
                <w:tcPr>
                  <w:tcW w:w="1135" w:type="dxa"/>
                  <w:tcBorders>
                    <w:top w:val="single" w:color="000000" w:sz="2" w:space="0"/>
                    <w:bottom w:val="single" w:color="000000" w:sz="2" w:space="0"/>
                  </w:tcBorders>
                  <w:vAlign w:val="center"/>
                </w:tcPr>
                <w:p w14:paraId="18346677">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0.062</w:t>
                  </w:r>
                </w:p>
              </w:tc>
              <w:tc>
                <w:tcPr>
                  <w:tcW w:w="1121" w:type="dxa"/>
                  <w:tcBorders>
                    <w:top w:val="single" w:color="000000" w:sz="2" w:space="0"/>
                    <w:bottom w:val="single" w:color="000000" w:sz="2" w:space="0"/>
                  </w:tcBorders>
                  <w:vAlign w:val="center"/>
                </w:tcPr>
                <w:p w14:paraId="7B4CF708">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0.058</w:t>
                  </w:r>
                </w:p>
              </w:tc>
              <w:tc>
                <w:tcPr>
                  <w:tcW w:w="1124" w:type="dxa"/>
                  <w:tcBorders>
                    <w:top w:val="single" w:color="000000" w:sz="2" w:space="0"/>
                    <w:bottom w:val="single" w:color="000000" w:sz="2" w:space="0"/>
                  </w:tcBorders>
                  <w:vAlign w:val="center"/>
                </w:tcPr>
                <w:p w14:paraId="691AEA4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0.060</w:t>
                  </w:r>
                </w:p>
              </w:tc>
              <w:tc>
                <w:tcPr>
                  <w:tcW w:w="1050" w:type="dxa"/>
                  <w:tcBorders>
                    <w:top w:val="single" w:color="000000" w:sz="2" w:space="0"/>
                    <w:bottom w:val="single" w:color="000000" w:sz="2" w:space="0"/>
                    <w:right w:val="single" w:color="000000" w:sz="2" w:space="0"/>
                  </w:tcBorders>
                  <w:vAlign w:val="center"/>
                </w:tcPr>
                <w:p w14:paraId="5963DFE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0.12</w:t>
                  </w:r>
                </w:p>
              </w:tc>
            </w:tr>
            <w:tr w14:paraId="64556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1B49D70F">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single" w:color="000000" w:sz="2" w:space="0"/>
                    <w:bottom w:val="single" w:color="000000" w:sz="2" w:space="0"/>
                  </w:tcBorders>
                  <w:vAlign w:val="center"/>
                </w:tcPr>
                <w:p w14:paraId="6445407D">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0CB3E7B2">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tcBorders>
                    <w:top w:val="single" w:color="000000" w:sz="2" w:space="0"/>
                    <w:bottom w:val="single" w:color="000000" w:sz="2" w:space="0"/>
                  </w:tcBorders>
                  <w:vAlign w:val="center"/>
                </w:tcPr>
                <w:p w14:paraId="25A911E7">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0.049</w:t>
                  </w:r>
                </w:p>
              </w:tc>
              <w:tc>
                <w:tcPr>
                  <w:tcW w:w="1135" w:type="dxa"/>
                  <w:tcBorders>
                    <w:top w:val="single" w:color="000000" w:sz="2" w:space="0"/>
                    <w:bottom w:val="single" w:color="000000" w:sz="2" w:space="0"/>
                  </w:tcBorders>
                  <w:vAlign w:val="center"/>
                </w:tcPr>
                <w:p w14:paraId="2C8B997D">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0.057</w:t>
                  </w:r>
                </w:p>
              </w:tc>
              <w:tc>
                <w:tcPr>
                  <w:tcW w:w="1121" w:type="dxa"/>
                  <w:tcBorders>
                    <w:top w:val="single" w:color="000000" w:sz="2" w:space="0"/>
                    <w:bottom w:val="single" w:color="000000" w:sz="2" w:space="0"/>
                  </w:tcBorders>
                  <w:vAlign w:val="center"/>
                </w:tcPr>
                <w:p w14:paraId="67EB5E84">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0.059</w:t>
                  </w:r>
                </w:p>
              </w:tc>
              <w:tc>
                <w:tcPr>
                  <w:tcW w:w="1124" w:type="dxa"/>
                  <w:tcBorders>
                    <w:top w:val="single" w:color="000000" w:sz="2" w:space="0"/>
                    <w:bottom w:val="single" w:color="000000" w:sz="2" w:space="0"/>
                  </w:tcBorders>
                  <w:vAlign w:val="center"/>
                </w:tcPr>
                <w:p w14:paraId="36DBBFD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0.059</w:t>
                  </w:r>
                </w:p>
              </w:tc>
              <w:tc>
                <w:tcPr>
                  <w:tcW w:w="1050" w:type="dxa"/>
                  <w:tcBorders>
                    <w:top w:val="single" w:color="000000" w:sz="2" w:space="0"/>
                    <w:bottom w:val="single" w:color="000000" w:sz="2" w:space="0"/>
                    <w:right w:val="single" w:color="000000" w:sz="2" w:space="0"/>
                  </w:tcBorders>
                  <w:vAlign w:val="center"/>
                </w:tcPr>
                <w:p w14:paraId="7CC0C5EB">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0.12</w:t>
                  </w:r>
                </w:p>
              </w:tc>
            </w:tr>
            <w:tr w14:paraId="77C35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370EC149">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restart"/>
                  <w:tcBorders>
                    <w:top w:val="single" w:color="000000" w:sz="2" w:space="0"/>
                    <w:bottom w:val="single" w:color="000000" w:sz="2" w:space="0"/>
                  </w:tcBorders>
                  <w:vAlign w:val="center"/>
                </w:tcPr>
                <w:p w14:paraId="7443ED0D">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颗粒物</w:t>
                  </w:r>
                </w:p>
              </w:tc>
              <w:tc>
                <w:tcPr>
                  <w:tcW w:w="1009" w:type="dxa"/>
                  <w:tcBorders>
                    <w:top w:val="single" w:color="000000" w:sz="2" w:space="0"/>
                    <w:bottom w:val="single" w:color="000000" w:sz="2" w:space="0"/>
                  </w:tcBorders>
                  <w:vAlign w:val="center"/>
                </w:tcPr>
                <w:p w14:paraId="779B0F6D">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tcBorders>
                    <w:top w:val="single" w:color="000000" w:sz="2" w:space="0"/>
                    <w:bottom w:val="single" w:color="000000" w:sz="2" w:space="0"/>
                  </w:tcBorders>
                  <w:vAlign w:val="center"/>
                </w:tcPr>
                <w:p w14:paraId="191D3949">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0.054</w:t>
                  </w:r>
                </w:p>
              </w:tc>
              <w:tc>
                <w:tcPr>
                  <w:tcW w:w="1135" w:type="dxa"/>
                  <w:tcBorders>
                    <w:top w:val="single" w:color="000000" w:sz="2" w:space="0"/>
                    <w:bottom w:val="single" w:color="000000" w:sz="2" w:space="0"/>
                  </w:tcBorders>
                  <w:vAlign w:val="center"/>
                </w:tcPr>
                <w:p w14:paraId="50762A2E">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0.060</w:t>
                  </w:r>
                </w:p>
              </w:tc>
              <w:tc>
                <w:tcPr>
                  <w:tcW w:w="1121" w:type="dxa"/>
                  <w:tcBorders>
                    <w:top w:val="single" w:color="000000" w:sz="2" w:space="0"/>
                    <w:bottom w:val="single" w:color="000000" w:sz="2" w:space="0"/>
                  </w:tcBorders>
                  <w:vAlign w:val="center"/>
                </w:tcPr>
                <w:p w14:paraId="787B0FDD">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0.057</w:t>
                  </w:r>
                </w:p>
              </w:tc>
              <w:tc>
                <w:tcPr>
                  <w:tcW w:w="1124" w:type="dxa"/>
                  <w:tcBorders>
                    <w:top w:val="single" w:color="000000" w:sz="2" w:space="0"/>
                    <w:bottom w:val="single" w:color="000000" w:sz="2" w:space="0"/>
                  </w:tcBorders>
                  <w:vAlign w:val="center"/>
                </w:tcPr>
                <w:p w14:paraId="3F9DD4F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0.064</w:t>
                  </w:r>
                </w:p>
              </w:tc>
              <w:tc>
                <w:tcPr>
                  <w:tcW w:w="1050" w:type="dxa"/>
                  <w:tcBorders>
                    <w:top w:val="single" w:color="000000" w:sz="2" w:space="0"/>
                    <w:bottom w:val="single" w:color="000000" w:sz="2" w:space="0"/>
                    <w:right w:val="single" w:color="000000" w:sz="2" w:space="0"/>
                  </w:tcBorders>
                  <w:vAlign w:val="center"/>
                </w:tcPr>
                <w:p w14:paraId="511F61C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0.5</w:t>
                  </w:r>
                </w:p>
              </w:tc>
            </w:tr>
            <w:tr w14:paraId="16A26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956" w:type="dxa"/>
                  <w:vMerge w:val="continue"/>
                  <w:tcBorders>
                    <w:left w:val="nil"/>
                  </w:tcBorders>
                  <w:vAlign w:val="center"/>
                </w:tcPr>
                <w:p w14:paraId="632FF009">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single" w:color="000000" w:sz="2" w:space="0"/>
                    <w:bottom w:val="single" w:color="000000" w:sz="2" w:space="0"/>
                  </w:tcBorders>
                  <w:vAlign w:val="center"/>
                </w:tcPr>
                <w:p w14:paraId="79EA5B99">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0876A259">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tcBorders>
                    <w:top w:val="single" w:color="000000" w:sz="2" w:space="0"/>
                    <w:bottom w:val="single" w:color="000000" w:sz="2" w:space="0"/>
                  </w:tcBorders>
                  <w:vAlign w:val="center"/>
                </w:tcPr>
                <w:p w14:paraId="6049117B">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0.046</w:t>
                  </w:r>
                </w:p>
              </w:tc>
              <w:tc>
                <w:tcPr>
                  <w:tcW w:w="1135" w:type="dxa"/>
                  <w:tcBorders>
                    <w:top w:val="single" w:color="000000" w:sz="2" w:space="0"/>
                    <w:bottom w:val="single" w:color="000000" w:sz="2" w:space="0"/>
                  </w:tcBorders>
                  <w:vAlign w:val="center"/>
                </w:tcPr>
                <w:p w14:paraId="13E0355F">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0.062</w:t>
                  </w:r>
                </w:p>
              </w:tc>
              <w:tc>
                <w:tcPr>
                  <w:tcW w:w="1121" w:type="dxa"/>
                  <w:tcBorders>
                    <w:top w:val="single" w:color="000000" w:sz="2" w:space="0"/>
                    <w:bottom w:val="single" w:color="000000" w:sz="2" w:space="0"/>
                  </w:tcBorders>
                  <w:vAlign w:val="center"/>
                </w:tcPr>
                <w:p w14:paraId="12538F4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0.058</w:t>
                  </w:r>
                </w:p>
              </w:tc>
              <w:tc>
                <w:tcPr>
                  <w:tcW w:w="1124" w:type="dxa"/>
                  <w:tcBorders>
                    <w:top w:val="single" w:color="000000" w:sz="2" w:space="0"/>
                    <w:bottom w:val="single" w:color="000000" w:sz="2" w:space="0"/>
                  </w:tcBorders>
                  <w:vAlign w:val="center"/>
                </w:tcPr>
                <w:p w14:paraId="61B302F3">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0.060</w:t>
                  </w:r>
                </w:p>
              </w:tc>
              <w:tc>
                <w:tcPr>
                  <w:tcW w:w="1050" w:type="dxa"/>
                  <w:tcBorders>
                    <w:top w:val="single" w:color="000000" w:sz="2" w:space="0"/>
                    <w:bottom w:val="single" w:color="000000" w:sz="2" w:space="0"/>
                    <w:right w:val="single" w:color="000000" w:sz="2" w:space="0"/>
                  </w:tcBorders>
                  <w:vAlign w:val="center"/>
                </w:tcPr>
                <w:p w14:paraId="304130B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0.5</w:t>
                  </w:r>
                </w:p>
              </w:tc>
            </w:tr>
            <w:tr w14:paraId="4730D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6AEB58FA">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single" w:color="000000" w:sz="2" w:space="0"/>
                    <w:bottom w:val="single" w:color="000000" w:sz="2" w:space="0"/>
                  </w:tcBorders>
                  <w:vAlign w:val="center"/>
                </w:tcPr>
                <w:p w14:paraId="04B96D08">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7ED45B82">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tcBorders>
                    <w:top w:val="single" w:color="000000" w:sz="2" w:space="0"/>
                    <w:bottom w:val="single" w:color="000000" w:sz="2" w:space="0"/>
                  </w:tcBorders>
                  <w:vAlign w:val="center"/>
                </w:tcPr>
                <w:p w14:paraId="459EBA87">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0.049</w:t>
                  </w:r>
                </w:p>
              </w:tc>
              <w:tc>
                <w:tcPr>
                  <w:tcW w:w="1135" w:type="dxa"/>
                  <w:tcBorders>
                    <w:top w:val="single" w:color="000000" w:sz="2" w:space="0"/>
                    <w:bottom w:val="single" w:color="000000" w:sz="2" w:space="0"/>
                  </w:tcBorders>
                  <w:vAlign w:val="center"/>
                </w:tcPr>
                <w:p w14:paraId="096F18DB">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0.057</w:t>
                  </w:r>
                </w:p>
              </w:tc>
              <w:tc>
                <w:tcPr>
                  <w:tcW w:w="1121" w:type="dxa"/>
                  <w:tcBorders>
                    <w:top w:val="single" w:color="000000" w:sz="2" w:space="0"/>
                    <w:bottom w:val="single" w:color="000000" w:sz="2" w:space="0"/>
                  </w:tcBorders>
                  <w:vAlign w:val="center"/>
                </w:tcPr>
                <w:p w14:paraId="1ED92EBD">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0.059</w:t>
                  </w:r>
                </w:p>
              </w:tc>
              <w:tc>
                <w:tcPr>
                  <w:tcW w:w="1124" w:type="dxa"/>
                  <w:tcBorders>
                    <w:top w:val="single" w:color="000000" w:sz="2" w:space="0"/>
                    <w:bottom w:val="single" w:color="000000" w:sz="2" w:space="0"/>
                  </w:tcBorders>
                  <w:vAlign w:val="center"/>
                </w:tcPr>
                <w:p w14:paraId="6FC33E7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0.059</w:t>
                  </w:r>
                </w:p>
              </w:tc>
              <w:tc>
                <w:tcPr>
                  <w:tcW w:w="1050" w:type="dxa"/>
                  <w:tcBorders>
                    <w:top w:val="single" w:color="000000" w:sz="2" w:space="0"/>
                    <w:bottom w:val="single" w:color="000000" w:sz="2" w:space="0"/>
                    <w:right w:val="single" w:color="000000" w:sz="2" w:space="0"/>
                  </w:tcBorders>
                  <w:vAlign w:val="center"/>
                </w:tcPr>
                <w:p w14:paraId="6C2B1C87">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0.5</w:t>
                  </w:r>
                </w:p>
              </w:tc>
            </w:tr>
            <w:tr w14:paraId="33857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5912B43E">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restart"/>
                  <w:tcBorders>
                    <w:top w:val="single" w:color="000000" w:sz="2" w:space="0"/>
                    <w:bottom w:val="single" w:color="000000" w:sz="2" w:space="0"/>
                  </w:tcBorders>
                  <w:vAlign w:val="center"/>
                </w:tcPr>
                <w:p w14:paraId="54D37C4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氟化物</w:t>
                  </w:r>
                </w:p>
              </w:tc>
              <w:tc>
                <w:tcPr>
                  <w:tcW w:w="1009" w:type="dxa"/>
                  <w:tcBorders>
                    <w:top w:val="single" w:color="000000" w:sz="2" w:space="0"/>
                    <w:bottom w:val="single" w:color="000000" w:sz="2" w:space="0"/>
                  </w:tcBorders>
                  <w:vAlign w:val="center"/>
                </w:tcPr>
                <w:p w14:paraId="1FF92474">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tcBorders>
                    <w:top w:val="single" w:color="000000" w:sz="2" w:space="0"/>
                    <w:bottom w:val="single" w:color="000000" w:sz="2" w:space="0"/>
                  </w:tcBorders>
                  <w:vAlign w:val="center"/>
                </w:tcPr>
                <w:p w14:paraId="36E53CE7">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3.4</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35" w:type="dxa"/>
                  <w:tcBorders>
                    <w:top w:val="single" w:color="000000" w:sz="2" w:space="0"/>
                    <w:bottom w:val="single" w:color="000000" w:sz="2" w:space="0"/>
                  </w:tcBorders>
                  <w:vAlign w:val="center"/>
                </w:tcPr>
                <w:p w14:paraId="194874AE">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4.4</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1" w:type="dxa"/>
                  <w:tcBorders>
                    <w:top w:val="single" w:color="000000" w:sz="2" w:space="0"/>
                    <w:bottom w:val="single" w:color="000000" w:sz="2" w:space="0"/>
                  </w:tcBorders>
                  <w:vAlign w:val="center"/>
                </w:tcPr>
                <w:p w14:paraId="09683691">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3.7</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4" w:type="dxa"/>
                  <w:tcBorders>
                    <w:top w:val="single" w:color="000000" w:sz="2" w:space="0"/>
                    <w:bottom w:val="single" w:color="000000" w:sz="2" w:space="0"/>
                  </w:tcBorders>
                  <w:vAlign w:val="center"/>
                </w:tcPr>
                <w:p w14:paraId="26160F7B">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4.0</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050" w:type="dxa"/>
                  <w:tcBorders>
                    <w:top w:val="single" w:color="000000" w:sz="2" w:space="0"/>
                    <w:bottom w:val="single" w:color="000000" w:sz="2" w:space="0"/>
                    <w:right w:val="single" w:color="000000" w:sz="2" w:space="0"/>
                  </w:tcBorders>
                  <w:vAlign w:val="center"/>
                </w:tcPr>
                <w:p w14:paraId="7B50E84D">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42CA8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4F343452">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single" w:color="000000" w:sz="2" w:space="0"/>
                    <w:bottom w:val="single" w:color="000000" w:sz="2" w:space="0"/>
                  </w:tcBorders>
                  <w:vAlign w:val="center"/>
                </w:tcPr>
                <w:p w14:paraId="4CED87C8">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164CED12">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tcBorders>
                    <w:top w:val="single" w:color="000000" w:sz="2" w:space="0"/>
                    <w:bottom w:val="single" w:color="000000" w:sz="2" w:space="0"/>
                  </w:tcBorders>
                  <w:vAlign w:val="center"/>
                </w:tcPr>
                <w:p w14:paraId="12644F3F">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2.9</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35" w:type="dxa"/>
                  <w:tcBorders>
                    <w:top w:val="single" w:color="000000" w:sz="2" w:space="0"/>
                    <w:bottom w:val="single" w:color="000000" w:sz="2" w:space="0"/>
                  </w:tcBorders>
                  <w:vAlign w:val="center"/>
                </w:tcPr>
                <w:p w14:paraId="6BD99EE8">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3.4</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1" w:type="dxa"/>
                  <w:tcBorders>
                    <w:top w:val="single" w:color="000000" w:sz="2" w:space="0"/>
                    <w:bottom w:val="single" w:color="000000" w:sz="2" w:space="0"/>
                  </w:tcBorders>
                  <w:vAlign w:val="center"/>
                </w:tcPr>
                <w:p w14:paraId="7D7DA2CF">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3.3</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4" w:type="dxa"/>
                  <w:tcBorders>
                    <w:top w:val="single" w:color="000000" w:sz="2" w:space="0"/>
                    <w:bottom w:val="single" w:color="000000" w:sz="2" w:space="0"/>
                  </w:tcBorders>
                  <w:vAlign w:val="center"/>
                </w:tcPr>
                <w:p w14:paraId="62B6972A">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3.5</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050" w:type="dxa"/>
                  <w:tcBorders>
                    <w:top w:val="single" w:color="000000" w:sz="2" w:space="0"/>
                    <w:bottom w:val="single" w:color="000000" w:sz="2" w:space="0"/>
                    <w:right w:val="single" w:color="000000" w:sz="2" w:space="0"/>
                  </w:tcBorders>
                  <w:vAlign w:val="center"/>
                </w:tcPr>
                <w:p w14:paraId="47DE41C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328EB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left w:val="nil"/>
                  </w:tcBorders>
                  <w:vAlign w:val="center"/>
                </w:tcPr>
                <w:p w14:paraId="56467DB3">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single" w:color="000000" w:sz="2" w:space="0"/>
                  </w:tcBorders>
                  <w:vAlign w:val="center"/>
                </w:tcPr>
                <w:p w14:paraId="6E6D6B28">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tcBorders>
                  <w:vAlign w:val="center"/>
                </w:tcPr>
                <w:p w14:paraId="6980A142">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tcBorders>
                    <w:top w:val="single" w:color="000000" w:sz="2" w:space="0"/>
                  </w:tcBorders>
                  <w:vAlign w:val="center"/>
                </w:tcPr>
                <w:p w14:paraId="12A5AD05">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2.8</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35" w:type="dxa"/>
                  <w:tcBorders>
                    <w:top w:val="single" w:color="000000" w:sz="2" w:space="0"/>
                  </w:tcBorders>
                  <w:vAlign w:val="center"/>
                </w:tcPr>
                <w:p w14:paraId="127D716D">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3.1</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1" w:type="dxa"/>
                  <w:tcBorders>
                    <w:top w:val="single" w:color="000000" w:sz="2" w:space="0"/>
                  </w:tcBorders>
                  <w:vAlign w:val="center"/>
                </w:tcPr>
                <w:p w14:paraId="2056F703">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3.2</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4" w:type="dxa"/>
                  <w:tcBorders>
                    <w:top w:val="single" w:color="000000" w:sz="2" w:space="0"/>
                  </w:tcBorders>
                  <w:vAlign w:val="center"/>
                </w:tcPr>
                <w:p w14:paraId="3F8ED8A6">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3.5</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050" w:type="dxa"/>
                  <w:tcBorders>
                    <w:top w:val="single" w:color="000000" w:sz="2" w:space="0"/>
                    <w:right w:val="single" w:color="000000" w:sz="2" w:space="0"/>
                  </w:tcBorders>
                  <w:vAlign w:val="center"/>
                </w:tcPr>
                <w:p w14:paraId="6ED8425F">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1F41C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restart"/>
                  <w:tcBorders>
                    <w:left w:val="nil"/>
                    <w:bottom w:val="nil"/>
                  </w:tcBorders>
                  <w:vAlign w:val="center"/>
                </w:tcPr>
                <w:p w14:paraId="31F18599">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2024.11.05</w:t>
                  </w:r>
                </w:p>
              </w:tc>
              <w:tc>
                <w:tcPr>
                  <w:tcW w:w="1007" w:type="dxa"/>
                  <w:vMerge w:val="restart"/>
                  <w:tcBorders>
                    <w:bottom w:val="single" w:color="000000" w:sz="2" w:space="0"/>
                  </w:tcBorders>
                  <w:vAlign w:val="center"/>
                </w:tcPr>
                <w:p w14:paraId="64F7D2BF">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1009" w:type="dxa"/>
                  <w:tcBorders>
                    <w:bottom w:val="single" w:color="000000" w:sz="2" w:space="0"/>
                  </w:tcBorders>
                  <w:vAlign w:val="center"/>
                </w:tcPr>
                <w:p w14:paraId="36696405">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tcBorders>
                    <w:bottom w:val="single" w:color="000000" w:sz="2" w:space="0"/>
                  </w:tcBorders>
                  <w:vAlign w:val="center"/>
                </w:tcPr>
                <w:p w14:paraId="4377D73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0.27</w:t>
                  </w:r>
                </w:p>
              </w:tc>
              <w:tc>
                <w:tcPr>
                  <w:tcW w:w="1135" w:type="dxa"/>
                  <w:tcBorders>
                    <w:bottom w:val="single" w:color="000000" w:sz="2" w:space="0"/>
                  </w:tcBorders>
                  <w:vAlign w:val="center"/>
                </w:tcPr>
                <w:p w14:paraId="613DC5B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0.29</w:t>
                  </w:r>
                </w:p>
              </w:tc>
              <w:tc>
                <w:tcPr>
                  <w:tcW w:w="1121" w:type="dxa"/>
                  <w:tcBorders>
                    <w:bottom w:val="single" w:color="000000" w:sz="2" w:space="0"/>
                  </w:tcBorders>
                  <w:vAlign w:val="center"/>
                </w:tcPr>
                <w:p w14:paraId="0876776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0.38</w:t>
                  </w:r>
                </w:p>
              </w:tc>
              <w:tc>
                <w:tcPr>
                  <w:tcW w:w="1124" w:type="dxa"/>
                  <w:tcBorders>
                    <w:bottom w:val="single" w:color="000000" w:sz="2" w:space="0"/>
                  </w:tcBorders>
                  <w:vAlign w:val="center"/>
                </w:tcPr>
                <w:p w14:paraId="2DB4682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0.42</w:t>
                  </w:r>
                </w:p>
              </w:tc>
              <w:tc>
                <w:tcPr>
                  <w:tcW w:w="1050" w:type="dxa"/>
                  <w:tcBorders>
                    <w:bottom w:val="single" w:color="000000" w:sz="2" w:space="0"/>
                    <w:right w:val="single" w:color="000000" w:sz="2" w:space="0"/>
                  </w:tcBorders>
                  <w:vAlign w:val="center"/>
                </w:tcPr>
                <w:p w14:paraId="56EDE061">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w:t>
                  </w:r>
                </w:p>
              </w:tc>
            </w:tr>
            <w:tr w14:paraId="122A4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4AB1FC91">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single" w:color="000000" w:sz="2" w:space="0"/>
                    <w:bottom w:val="single" w:color="000000" w:sz="2" w:space="0"/>
                  </w:tcBorders>
                  <w:vAlign w:val="center"/>
                </w:tcPr>
                <w:p w14:paraId="33B575E8">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541A8691">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tcBorders>
                    <w:top w:val="single" w:color="000000" w:sz="2" w:space="0"/>
                    <w:bottom w:val="single" w:color="000000" w:sz="2" w:space="0"/>
                  </w:tcBorders>
                  <w:vAlign w:val="center"/>
                </w:tcPr>
                <w:p w14:paraId="54D333F7">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0.33</w:t>
                  </w:r>
                </w:p>
              </w:tc>
              <w:tc>
                <w:tcPr>
                  <w:tcW w:w="1135" w:type="dxa"/>
                  <w:tcBorders>
                    <w:top w:val="single" w:color="000000" w:sz="2" w:space="0"/>
                    <w:bottom w:val="single" w:color="000000" w:sz="2" w:space="0"/>
                  </w:tcBorders>
                  <w:vAlign w:val="center"/>
                </w:tcPr>
                <w:p w14:paraId="4E02E2F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0.41</w:t>
                  </w:r>
                </w:p>
              </w:tc>
              <w:tc>
                <w:tcPr>
                  <w:tcW w:w="1121" w:type="dxa"/>
                  <w:tcBorders>
                    <w:top w:val="single" w:color="000000" w:sz="2" w:space="0"/>
                    <w:bottom w:val="single" w:color="000000" w:sz="2" w:space="0"/>
                  </w:tcBorders>
                  <w:vAlign w:val="center"/>
                </w:tcPr>
                <w:p w14:paraId="2879321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0.44</w:t>
                  </w:r>
                </w:p>
              </w:tc>
              <w:tc>
                <w:tcPr>
                  <w:tcW w:w="1124" w:type="dxa"/>
                  <w:tcBorders>
                    <w:top w:val="single" w:color="000000" w:sz="2" w:space="0"/>
                    <w:bottom w:val="single" w:color="000000" w:sz="2" w:space="0"/>
                  </w:tcBorders>
                  <w:vAlign w:val="center"/>
                </w:tcPr>
                <w:p w14:paraId="1DFAC7A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0.44</w:t>
                  </w:r>
                </w:p>
              </w:tc>
              <w:tc>
                <w:tcPr>
                  <w:tcW w:w="1050" w:type="dxa"/>
                  <w:tcBorders>
                    <w:top w:val="single" w:color="000000" w:sz="2" w:space="0"/>
                    <w:bottom w:val="single" w:color="000000" w:sz="2" w:space="0"/>
                    <w:right w:val="single" w:color="000000" w:sz="2" w:space="0"/>
                  </w:tcBorders>
                  <w:vAlign w:val="center"/>
                </w:tcPr>
                <w:p w14:paraId="2D96E7B8">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w:t>
                  </w:r>
                </w:p>
              </w:tc>
            </w:tr>
            <w:tr w14:paraId="57D3B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3E74ED4E">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single" w:color="000000" w:sz="2" w:space="0"/>
                    <w:bottom w:val="single" w:color="000000" w:sz="2" w:space="0"/>
                  </w:tcBorders>
                  <w:vAlign w:val="center"/>
                </w:tcPr>
                <w:p w14:paraId="10695A3F">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000631EE">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tcBorders>
                    <w:top w:val="single" w:color="000000" w:sz="2" w:space="0"/>
                    <w:bottom w:val="single" w:color="000000" w:sz="2" w:space="0"/>
                  </w:tcBorders>
                  <w:vAlign w:val="center"/>
                </w:tcPr>
                <w:p w14:paraId="4A1F902A">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0.29</w:t>
                  </w:r>
                </w:p>
              </w:tc>
              <w:tc>
                <w:tcPr>
                  <w:tcW w:w="1135" w:type="dxa"/>
                  <w:tcBorders>
                    <w:top w:val="single" w:color="000000" w:sz="2" w:space="0"/>
                    <w:bottom w:val="single" w:color="000000" w:sz="2" w:space="0"/>
                  </w:tcBorders>
                  <w:vAlign w:val="center"/>
                </w:tcPr>
                <w:p w14:paraId="5855B8EF">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0.41</w:t>
                  </w:r>
                </w:p>
              </w:tc>
              <w:tc>
                <w:tcPr>
                  <w:tcW w:w="1121" w:type="dxa"/>
                  <w:tcBorders>
                    <w:top w:val="single" w:color="000000" w:sz="2" w:space="0"/>
                    <w:bottom w:val="single" w:color="000000" w:sz="2" w:space="0"/>
                  </w:tcBorders>
                  <w:vAlign w:val="center"/>
                </w:tcPr>
                <w:p w14:paraId="6B0B2E9F">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0.47</w:t>
                  </w:r>
                </w:p>
              </w:tc>
              <w:tc>
                <w:tcPr>
                  <w:tcW w:w="1124" w:type="dxa"/>
                  <w:tcBorders>
                    <w:top w:val="single" w:color="000000" w:sz="2" w:space="0"/>
                    <w:bottom w:val="single" w:color="000000" w:sz="2" w:space="0"/>
                  </w:tcBorders>
                  <w:vAlign w:val="center"/>
                </w:tcPr>
                <w:p w14:paraId="4EFF28C3">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0.46</w:t>
                  </w:r>
                </w:p>
              </w:tc>
              <w:tc>
                <w:tcPr>
                  <w:tcW w:w="1050" w:type="dxa"/>
                  <w:tcBorders>
                    <w:top w:val="single" w:color="000000" w:sz="2" w:space="0"/>
                    <w:bottom w:val="single" w:color="000000" w:sz="2" w:space="0"/>
                    <w:right w:val="single" w:color="000000" w:sz="2" w:space="0"/>
                  </w:tcBorders>
                  <w:vAlign w:val="center"/>
                </w:tcPr>
                <w:p w14:paraId="03A56A69">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w:t>
                  </w:r>
                </w:p>
              </w:tc>
            </w:tr>
            <w:tr w14:paraId="34132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71CAB396">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restart"/>
                  <w:tcBorders>
                    <w:top w:val="single" w:color="000000" w:sz="2" w:space="0"/>
                  </w:tcBorders>
                  <w:vAlign w:val="center"/>
                </w:tcPr>
                <w:p w14:paraId="1B22883A">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酚类化合物</w:t>
                  </w:r>
                </w:p>
              </w:tc>
              <w:tc>
                <w:tcPr>
                  <w:tcW w:w="1009" w:type="dxa"/>
                  <w:tcBorders>
                    <w:top w:val="single" w:color="000000" w:sz="2" w:space="0"/>
                    <w:bottom w:val="single" w:color="000000" w:sz="2" w:space="0"/>
                  </w:tcBorders>
                  <w:vAlign w:val="center"/>
                </w:tcPr>
                <w:p w14:paraId="6E482810">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tcBorders>
                    <w:top w:val="single" w:color="000000" w:sz="2" w:space="0"/>
                    <w:bottom w:val="single" w:color="000000" w:sz="2" w:space="0"/>
                  </w:tcBorders>
                  <w:vAlign w:val="center"/>
                </w:tcPr>
                <w:p w14:paraId="662097F9">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w:t>
                  </w:r>
                </w:p>
              </w:tc>
              <w:tc>
                <w:tcPr>
                  <w:tcW w:w="1135" w:type="dxa"/>
                  <w:tcBorders>
                    <w:top w:val="single" w:color="000000" w:sz="2" w:space="0"/>
                    <w:bottom w:val="single" w:color="000000" w:sz="2" w:space="0"/>
                  </w:tcBorders>
                  <w:vAlign w:val="center"/>
                </w:tcPr>
                <w:p w14:paraId="718D1BE9">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0.010</w:t>
                  </w:r>
                </w:p>
              </w:tc>
              <w:tc>
                <w:tcPr>
                  <w:tcW w:w="1121" w:type="dxa"/>
                  <w:tcBorders>
                    <w:top w:val="single" w:color="000000" w:sz="2" w:space="0"/>
                    <w:bottom w:val="single" w:color="000000" w:sz="2" w:space="0"/>
                  </w:tcBorders>
                  <w:vAlign w:val="center"/>
                </w:tcPr>
                <w:p w14:paraId="3A05CA4E">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0.014</w:t>
                  </w:r>
                </w:p>
              </w:tc>
              <w:tc>
                <w:tcPr>
                  <w:tcW w:w="1124" w:type="dxa"/>
                  <w:tcBorders>
                    <w:top w:val="single" w:color="000000" w:sz="2" w:space="0"/>
                    <w:bottom w:val="single" w:color="000000" w:sz="2" w:space="0"/>
                  </w:tcBorders>
                  <w:vAlign w:val="center"/>
                </w:tcPr>
                <w:p w14:paraId="39A17373">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0.014</w:t>
                  </w:r>
                </w:p>
              </w:tc>
              <w:tc>
                <w:tcPr>
                  <w:tcW w:w="1050" w:type="dxa"/>
                  <w:tcBorders>
                    <w:top w:val="single" w:color="000000" w:sz="2" w:space="0"/>
                    <w:bottom w:val="single" w:color="000000" w:sz="2" w:space="0"/>
                    <w:right w:val="single" w:color="000000" w:sz="2" w:space="0"/>
                  </w:tcBorders>
                  <w:vAlign w:val="center"/>
                </w:tcPr>
                <w:p w14:paraId="1FD806BC">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782A0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956" w:type="dxa"/>
                  <w:vMerge w:val="continue"/>
                  <w:tcBorders>
                    <w:top w:val="nil"/>
                    <w:left w:val="nil"/>
                    <w:bottom w:val="nil"/>
                  </w:tcBorders>
                  <w:vAlign w:val="center"/>
                </w:tcPr>
                <w:p w14:paraId="36DE0FC2">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vAlign w:val="center"/>
                </w:tcPr>
                <w:p w14:paraId="376097E4">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06FA870A">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tcBorders>
                    <w:top w:val="single" w:color="000000" w:sz="2" w:space="0"/>
                    <w:bottom w:val="single" w:color="000000" w:sz="2" w:space="0"/>
                  </w:tcBorders>
                  <w:vAlign w:val="center"/>
                </w:tcPr>
                <w:p w14:paraId="781E02E4">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ND</w:t>
                  </w:r>
                </w:p>
              </w:tc>
              <w:tc>
                <w:tcPr>
                  <w:tcW w:w="1135" w:type="dxa"/>
                  <w:tcBorders>
                    <w:top w:val="single" w:color="000000" w:sz="2" w:space="0"/>
                    <w:bottom w:val="single" w:color="000000" w:sz="2" w:space="0"/>
                  </w:tcBorders>
                  <w:vAlign w:val="center"/>
                </w:tcPr>
                <w:p w14:paraId="44295F0A">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ND</w:t>
                  </w:r>
                </w:p>
              </w:tc>
              <w:tc>
                <w:tcPr>
                  <w:tcW w:w="1121" w:type="dxa"/>
                  <w:tcBorders>
                    <w:top w:val="single" w:color="000000" w:sz="2" w:space="0"/>
                    <w:bottom w:val="single" w:color="000000" w:sz="2" w:space="0"/>
                  </w:tcBorders>
                  <w:vAlign w:val="center"/>
                </w:tcPr>
                <w:p w14:paraId="427AFD5D">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ND</w:t>
                  </w:r>
                </w:p>
              </w:tc>
              <w:tc>
                <w:tcPr>
                  <w:tcW w:w="1124" w:type="dxa"/>
                  <w:tcBorders>
                    <w:top w:val="single" w:color="000000" w:sz="2" w:space="0"/>
                    <w:bottom w:val="single" w:color="000000" w:sz="2" w:space="0"/>
                  </w:tcBorders>
                  <w:vAlign w:val="center"/>
                </w:tcPr>
                <w:p w14:paraId="11A62C3A">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0.010</w:t>
                  </w:r>
                </w:p>
              </w:tc>
              <w:tc>
                <w:tcPr>
                  <w:tcW w:w="1050" w:type="dxa"/>
                  <w:tcBorders>
                    <w:top w:val="single" w:color="000000" w:sz="2" w:space="0"/>
                    <w:bottom w:val="single" w:color="000000" w:sz="2" w:space="0"/>
                    <w:right w:val="single" w:color="000000" w:sz="2" w:space="0"/>
                  </w:tcBorders>
                  <w:vAlign w:val="center"/>
                </w:tcPr>
                <w:p w14:paraId="41D0E24A">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0D832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jc w:val="center"/>
              </w:trPr>
              <w:tc>
                <w:tcPr>
                  <w:tcW w:w="956" w:type="dxa"/>
                  <w:vMerge w:val="continue"/>
                  <w:tcBorders>
                    <w:top w:val="nil"/>
                    <w:left w:val="nil"/>
                    <w:bottom w:val="nil"/>
                  </w:tcBorders>
                  <w:vAlign w:val="center"/>
                </w:tcPr>
                <w:p w14:paraId="34F05215">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bottom w:val="single" w:color="000000" w:sz="2" w:space="0"/>
                  </w:tcBorders>
                  <w:vAlign w:val="center"/>
                </w:tcPr>
                <w:p w14:paraId="709ACA72">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5E58239B">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tcBorders>
                    <w:top w:val="single" w:color="000000" w:sz="2" w:space="0"/>
                    <w:bottom w:val="single" w:color="000000" w:sz="2" w:space="0"/>
                  </w:tcBorders>
                  <w:vAlign w:val="center"/>
                </w:tcPr>
                <w:p w14:paraId="06A3428B">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ND</w:t>
                  </w:r>
                </w:p>
              </w:tc>
              <w:tc>
                <w:tcPr>
                  <w:tcW w:w="1135" w:type="dxa"/>
                  <w:tcBorders>
                    <w:top w:val="single" w:color="000000" w:sz="2" w:space="0"/>
                    <w:bottom w:val="single" w:color="000000" w:sz="2" w:space="0"/>
                  </w:tcBorders>
                  <w:vAlign w:val="center"/>
                </w:tcPr>
                <w:p w14:paraId="23108D2E">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0.010</w:t>
                  </w:r>
                </w:p>
              </w:tc>
              <w:tc>
                <w:tcPr>
                  <w:tcW w:w="1121" w:type="dxa"/>
                  <w:tcBorders>
                    <w:top w:val="single" w:color="000000" w:sz="2" w:space="0"/>
                    <w:bottom w:val="single" w:color="000000" w:sz="2" w:space="0"/>
                  </w:tcBorders>
                  <w:vAlign w:val="center"/>
                </w:tcPr>
                <w:p w14:paraId="2BD3FCB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0.005</w:t>
                  </w:r>
                </w:p>
              </w:tc>
              <w:tc>
                <w:tcPr>
                  <w:tcW w:w="1124" w:type="dxa"/>
                  <w:tcBorders>
                    <w:top w:val="single" w:color="000000" w:sz="2" w:space="0"/>
                    <w:bottom w:val="single" w:color="000000" w:sz="2" w:space="0"/>
                  </w:tcBorders>
                  <w:vAlign w:val="center"/>
                </w:tcPr>
                <w:p w14:paraId="61F5ED8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0.010</w:t>
                  </w:r>
                </w:p>
              </w:tc>
              <w:tc>
                <w:tcPr>
                  <w:tcW w:w="1050" w:type="dxa"/>
                  <w:tcBorders>
                    <w:top w:val="single" w:color="000000" w:sz="2" w:space="0"/>
                    <w:bottom w:val="single" w:color="000000" w:sz="2" w:space="0"/>
                    <w:right w:val="single" w:color="000000" w:sz="2" w:space="0"/>
                  </w:tcBorders>
                  <w:vAlign w:val="center"/>
                </w:tcPr>
                <w:p w14:paraId="5B9466A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382A9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11D80C2A">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restart"/>
                  <w:tcBorders>
                    <w:top w:val="single" w:color="000000" w:sz="2" w:space="0"/>
                  </w:tcBorders>
                  <w:vAlign w:val="center"/>
                </w:tcPr>
                <w:p w14:paraId="7D1DD582">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氮氧化物</w:t>
                  </w:r>
                </w:p>
              </w:tc>
              <w:tc>
                <w:tcPr>
                  <w:tcW w:w="1009" w:type="dxa"/>
                  <w:tcBorders>
                    <w:top w:val="single" w:color="000000" w:sz="2" w:space="0"/>
                    <w:bottom w:val="single" w:color="000000" w:sz="2" w:space="0"/>
                  </w:tcBorders>
                  <w:vAlign w:val="center"/>
                </w:tcPr>
                <w:p w14:paraId="12DD6300">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tcBorders>
                    <w:top w:val="single" w:color="000000" w:sz="2" w:space="0"/>
                    <w:bottom w:val="single" w:color="000000" w:sz="2" w:space="0"/>
                  </w:tcBorders>
                  <w:vAlign w:val="center"/>
                </w:tcPr>
                <w:p w14:paraId="75D8D28C">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0.046</w:t>
                  </w:r>
                </w:p>
              </w:tc>
              <w:tc>
                <w:tcPr>
                  <w:tcW w:w="1135" w:type="dxa"/>
                  <w:tcBorders>
                    <w:top w:val="single" w:color="000000" w:sz="2" w:space="0"/>
                    <w:bottom w:val="single" w:color="000000" w:sz="2" w:space="0"/>
                  </w:tcBorders>
                  <w:vAlign w:val="center"/>
                </w:tcPr>
                <w:p w14:paraId="0240754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0.063</w:t>
                  </w:r>
                </w:p>
              </w:tc>
              <w:tc>
                <w:tcPr>
                  <w:tcW w:w="1121" w:type="dxa"/>
                  <w:tcBorders>
                    <w:top w:val="single" w:color="000000" w:sz="2" w:space="0"/>
                    <w:bottom w:val="single" w:color="000000" w:sz="2" w:space="0"/>
                  </w:tcBorders>
                  <w:vAlign w:val="center"/>
                </w:tcPr>
                <w:p w14:paraId="5733E464">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0.062</w:t>
                  </w:r>
                </w:p>
              </w:tc>
              <w:tc>
                <w:tcPr>
                  <w:tcW w:w="1124" w:type="dxa"/>
                  <w:tcBorders>
                    <w:top w:val="single" w:color="000000" w:sz="2" w:space="0"/>
                    <w:bottom w:val="single" w:color="000000" w:sz="2" w:space="0"/>
                  </w:tcBorders>
                  <w:vAlign w:val="center"/>
                </w:tcPr>
                <w:p w14:paraId="511E76A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0.069</w:t>
                  </w:r>
                </w:p>
              </w:tc>
              <w:tc>
                <w:tcPr>
                  <w:tcW w:w="1050" w:type="dxa"/>
                  <w:tcBorders>
                    <w:top w:val="single" w:color="000000" w:sz="2" w:space="0"/>
                    <w:bottom w:val="single" w:color="000000" w:sz="2" w:space="0"/>
                    <w:right w:val="single" w:color="000000" w:sz="2" w:space="0"/>
                  </w:tcBorders>
                  <w:vAlign w:val="center"/>
                </w:tcPr>
                <w:p w14:paraId="292F6FD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0.12</w:t>
                  </w:r>
                </w:p>
              </w:tc>
            </w:tr>
            <w:tr w14:paraId="42B9A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3E1EC112">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vAlign w:val="center"/>
                </w:tcPr>
                <w:p w14:paraId="69C95A04">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6FFDCF4E">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tcBorders>
                    <w:top w:val="single" w:color="000000" w:sz="2" w:space="0"/>
                    <w:bottom w:val="single" w:color="000000" w:sz="2" w:space="0"/>
                  </w:tcBorders>
                  <w:vAlign w:val="center"/>
                </w:tcPr>
                <w:p w14:paraId="27FDD70E">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0.070</w:t>
                  </w:r>
                </w:p>
              </w:tc>
              <w:tc>
                <w:tcPr>
                  <w:tcW w:w="1135" w:type="dxa"/>
                  <w:tcBorders>
                    <w:top w:val="single" w:color="000000" w:sz="2" w:space="0"/>
                    <w:bottom w:val="single" w:color="000000" w:sz="2" w:space="0"/>
                  </w:tcBorders>
                  <w:vAlign w:val="center"/>
                </w:tcPr>
                <w:p w14:paraId="4F6C638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0.049</w:t>
                  </w:r>
                </w:p>
              </w:tc>
              <w:tc>
                <w:tcPr>
                  <w:tcW w:w="1121" w:type="dxa"/>
                  <w:tcBorders>
                    <w:top w:val="single" w:color="000000" w:sz="2" w:space="0"/>
                    <w:bottom w:val="single" w:color="000000" w:sz="2" w:space="0"/>
                  </w:tcBorders>
                  <w:vAlign w:val="center"/>
                </w:tcPr>
                <w:p w14:paraId="6470C18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0.067</w:t>
                  </w:r>
                </w:p>
              </w:tc>
              <w:tc>
                <w:tcPr>
                  <w:tcW w:w="1124" w:type="dxa"/>
                  <w:tcBorders>
                    <w:top w:val="single" w:color="000000" w:sz="2" w:space="0"/>
                    <w:bottom w:val="single" w:color="000000" w:sz="2" w:space="0"/>
                  </w:tcBorders>
                  <w:vAlign w:val="center"/>
                </w:tcPr>
                <w:p w14:paraId="67A9CAA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0.063</w:t>
                  </w:r>
                </w:p>
              </w:tc>
              <w:tc>
                <w:tcPr>
                  <w:tcW w:w="1050" w:type="dxa"/>
                  <w:tcBorders>
                    <w:top w:val="single" w:color="000000" w:sz="2" w:space="0"/>
                    <w:bottom w:val="single" w:color="000000" w:sz="2" w:space="0"/>
                    <w:right w:val="single" w:color="000000" w:sz="2" w:space="0"/>
                  </w:tcBorders>
                  <w:vAlign w:val="center"/>
                </w:tcPr>
                <w:p w14:paraId="63287CD0">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0.12</w:t>
                  </w:r>
                </w:p>
              </w:tc>
            </w:tr>
            <w:tr w14:paraId="05B59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6845D633">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bottom w:val="single" w:color="000000" w:sz="2" w:space="0"/>
                  </w:tcBorders>
                  <w:vAlign w:val="center"/>
                </w:tcPr>
                <w:p w14:paraId="28EB06D7">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352B2241">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tcBorders>
                    <w:top w:val="single" w:color="000000" w:sz="2" w:space="0"/>
                    <w:bottom w:val="single" w:color="000000" w:sz="2" w:space="0"/>
                  </w:tcBorders>
                  <w:vAlign w:val="center"/>
                </w:tcPr>
                <w:p w14:paraId="1A5F8A34">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0.070</w:t>
                  </w:r>
                </w:p>
              </w:tc>
              <w:tc>
                <w:tcPr>
                  <w:tcW w:w="1135" w:type="dxa"/>
                  <w:tcBorders>
                    <w:top w:val="single" w:color="000000" w:sz="2" w:space="0"/>
                    <w:bottom w:val="single" w:color="000000" w:sz="2" w:space="0"/>
                  </w:tcBorders>
                  <w:vAlign w:val="center"/>
                </w:tcPr>
                <w:p w14:paraId="4A3AF77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0.069</w:t>
                  </w:r>
                </w:p>
              </w:tc>
              <w:tc>
                <w:tcPr>
                  <w:tcW w:w="1121" w:type="dxa"/>
                  <w:tcBorders>
                    <w:top w:val="single" w:color="000000" w:sz="2" w:space="0"/>
                    <w:bottom w:val="single" w:color="000000" w:sz="2" w:space="0"/>
                  </w:tcBorders>
                  <w:vAlign w:val="center"/>
                </w:tcPr>
                <w:p w14:paraId="7EDA17F4">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0.057</w:t>
                  </w:r>
                </w:p>
              </w:tc>
              <w:tc>
                <w:tcPr>
                  <w:tcW w:w="1124" w:type="dxa"/>
                  <w:tcBorders>
                    <w:top w:val="single" w:color="000000" w:sz="2" w:space="0"/>
                    <w:bottom w:val="single" w:color="000000" w:sz="2" w:space="0"/>
                  </w:tcBorders>
                  <w:vAlign w:val="center"/>
                </w:tcPr>
                <w:p w14:paraId="31A8323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0.060</w:t>
                  </w:r>
                </w:p>
              </w:tc>
              <w:tc>
                <w:tcPr>
                  <w:tcW w:w="1050" w:type="dxa"/>
                  <w:tcBorders>
                    <w:top w:val="single" w:color="000000" w:sz="2" w:space="0"/>
                    <w:bottom w:val="single" w:color="000000" w:sz="2" w:space="0"/>
                    <w:right w:val="single" w:color="000000" w:sz="2" w:space="0"/>
                  </w:tcBorders>
                  <w:vAlign w:val="center"/>
                </w:tcPr>
                <w:p w14:paraId="126396C5">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0.12</w:t>
                  </w:r>
                </w:p>
              </w:tc>
            </w:tr>
            <w:tr w14:paraId="69B74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1CAFA42A">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restart"/>
                  <w:tcBorders>
                    <w:top w:val="single" w:color="000000" w:sz="2" w:space="0"/>
                  </w:tcBorders>
                  <w:vAlign w:val="center"/>
                </w:tcPr>
                <w:p w14:paraId="7C51AF0F">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颗粒物</w:t>
                  </w:r>
                </w:p>
              </w:tc>
              <w:tc>
                <w:tcPr>
                  <w:tcW w:w="1009" w:type="dxa"/>
                  <w:tcBorders>
                    <w:top w:val="single" w:color="000000" w:sz="2" w:space="0"/>
                    <w:bottom w:val="single" w:color="000000" w:sz="2" w:space="0"/>
                  </w:tcBorders>
                  <w:vAlign w:val="center"/>
                </w:tcPr>
                <w:p w14:paraId="3C779E0F">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tcBorders>
                    <w:top w:val="single" w:color="000000" w:sz="2" w:space="0"/>
                    <w:bottom w:val="single" w:color="000000" w:sz="2" w:space="0"/>
                  </w:tcBorders>
                  <w:vAlign w:val="center"/>
                </w:tcPr>
                <w:p w14:paraId="20ACE99D">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0.255</w:t>
                  </w:r>
                </w:p>
              </w:tc>
              <w:tc>
                <w:tcPr>
                  <w:tcW w:w="1135" w:type="dxa"/>
                  <w:tcBorders>
                    <w:top w:val="single" w:color="000000" w:sz="2" w:space="0"/>
                    <w:bottom w:val="single" w:color="000000" w:sz="2" w:space="0"/>
                  </w:tcBorders>
                  <w:vAlign w:val="center"/>
                </w:tcPr>
                <w:p w14:paraId="4801E70D">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0.279</w:t>
                  </w:r>
                </w:p>
              </w:tc>
              <w:tc>
                <w:tcPr>
                  <w:tcW w:w="1121" w:type="dxa"/>
                  <w:tcBorders>
                    <w:top w:val="single" w:color="000000" w:sz="2" w:space="0"/>
                    <w:bottom w:val="single" w:color="000000" w:sz="2" w:space="0"/>
                  </w:tcBorders>
                  <w:vAlign w:val="center"/>
                </w:tcPr>
                <w:p w14:paraId="2B90794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0.292</w:t>
                  </w:r>
                </w:p>
              </w:tc>
              <w:tc>
                <w:tcPr>
                  <w:tcW w:w="1124" w:type="dxa"/>
                  <w:tcBorders>
                    <w:top w:val="single" w:color="000000" w:sz="2" w:space="0"/>
                    <w:bottom w:val="single" w:color="000000" w:sz="2" w:space="0"/>
                  </w:tcBorders>
                  <w:vAlign w:val="center"/>
                </w:tcPr>
                <w:p w14:paraId="39BCD8A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0.286</w:t>
                  </w:r>
                </w:p>
              </w:tc>
              <w:tc>
                <w:tcPr>
                  <w:tcW w:w="1050" w:type="dxa"/>
                  <w:tcBorders>
                    <w:top w:val="single" w:color="000000" w:sz="2" w:space="0"/>
                    <w:bottom w:val="single" w:color="000000" w:sz="2" w:space="0"/>
                    <w:right w:val="single" w:color="000000" w:sz="2" w:space="0"/>
                  </w:tcBorders>
                  <w:vAlign w:val="center"/>
                </w:tcPr>
                <w:p w14:paraId="635AE02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0.5</w:t>
                  </w:r>
                </w:p>
              </w:tc>
            </w:tr>
            <w:tr w14:paraId="20662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726AD75B">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vAlign w:val="center"/>
                </w:tcPr>
                <w:p w14:paraId="09832BDE">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bottom w:val="single" w:color="000000" w:sz="2" w:space="0"/>
                  </w:tcBorders>
                  <w:vAlign w:val="center"/>
                </w:tcPr>
                <w:p w14:paraId="2D614AB0">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tcBorders>
                    <w:top w:val="single" w:color="000000" w:sz="2" w:space="0"/>
                    <w:bottom w:val="single" w:color="000000" w:sz="2" w:space="0"/>
                  </w:tcBorders>
                  <w:vAlign w:val="center"/>
                </w:tcPr>
                <w:p w14:paraId="7E97BEC2">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0.245</w:t>
                  </w:r>
                </w:p>
              </w:tc>
              <w:tc>
                <w:tcPr>
                  <w:tcW w:w="1135" w:type="dxa"/>
                  <w:tcBorders>
                    <w:top w:val="single" w:color="000000" w:sz="2" w:space="0"/>
                    <w:bottom w:val="single" w:color="000000" w:sz="2" w:space="0"/>
                  </w:tcBorders>
                  <w:vAlign w:val="center"/>
                </w:tcPr>
                <w:p w14:paraId="0C416C74">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0.273</w:t>
                  </w:r>
                </w:p>
              </w:tc>
              <w:tc>
                <w:tcPr>
                  <w:tcW w:w="1121" w:type="dxa"/>
                  <w:tcBorders>
                    <w:top w:val="single" w:color="000000" w:sz="2" w:space="0"/>
                    <w:bottom w:val="single" w:color="000000" w:sz="2" w:space="0"/>
                  </w:tcBorders>
                  <w:vAlign w:val="center"/>
                </w:tcPr>
                <w:p w14:paraId="79C824FF">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0.261</w:t>
                  </w:r>
                </w:p>
              </w:tc>
              <w:tc>
                <w:tcPr>
                  <w:tcW w:w="1124" w:type="dxa"/>
                  <w:tcBorders>
                    <w:top w:val="single" w:color="000000" w:sz="2" w:space="0"/>
                    <w:bottom w:val="single" w:color="000000" w:sz="2" w:space="0"/>
                  </w:tcBorders>
                  <w:vAlign w:val="center"/>
                </w:tcPr>
                <w:p w14:paraId="1F21D92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0.265</w:t>
                  </w:r>
                </w:p>
              </w:tc>
              <w:tc>
                <w:tcPr>
                  <w:tcW w:w="1050" w:type="dxa"/>
                  <w:tcBorders>
                    <w:top w:val="single" w:color="000000" w:sz="2" w:space="0"/>
                    <w:bottom w:val="single" w:color="000000" w:sz="2" w:space="0"/>
                    <w:right w:val="single" w:color="000000" w:sz="2" w:space="0"/>
                  </w:tcBorders>
                  <w:vAlign w:val="center"/>
                </w:tcPr>
                <w:p w14:paraId="55BE0F3C">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0.5</w:t>
                  </w:r>
                </w:p>
              </w:tc>
            </w:tr>
            <w:tr w14:paraId="7BD62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29283E57">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vAlign w:val="center"/>
                </w:tcPr>
                <w:p w14:paraId="54C5CF4E">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top w:val="single" w:color="000000" w:sz="2" w:space="0"/>
                  </w:tcBorders>
                  <w:vAlign w:val="center"/>
                </w:tcPr>
                <w:p w14:paraId="320726FD">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tcBorders>
                    <w:top w:val="single" w:color="000000" w:sz="2" w:space="0"/>
                  </w:tcBorders>
                  <w:vAlign w:val="center"/>
                </w:tcPr>
                <w:p w14:paraId="3EB1CD6E">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0.223</w:t>
                  </w:r>
                </w:p>
              </w:tc>
              <w:tc>
                <w:tcPr>
                  <w:tcW w:w="1135" w:type="dxa"/>
                  <w:tcBorders>
                    <w:top w:val="single" w:color="000000" w:sz="2" w:space="0"/>
                  </w:tcBorders>
                  <w:vAlign w:val="center"/>
                </w:tcPr>
                <w:p w14:paraId="75C3D99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0.266</w:t>
                  </w:r>
                </w:p>
              </w:tc>
              <w:tc>
                <w:tcPr>
                  <w:tcW w:w="1121" w:type="dxa"/>
                  <w:tcBorders>
                    <w:top w:val="single" w:color="000000" w:sz="2" w:space="0"/>
                  </w:tcBorders>
                  <w:vAlign w:val="center"/>
                </w:tcPr>
                <w:p w14:paraId="5AA3066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0.269</w:t>
                  </w:r>
                </w:p>
              </w:tc>
              <w:tc>
                <w:tcPr>
                  <w:tcW w:w="1124" w:type="dxa"/>
                  <w:tcBorders>
                    <w:top w:val="single" w:color="000000" w:sz="2" w:space="0"/>
                  </w:tcBorders>
                  <w:vAlign w:val="center"/>
                </w:tcPr>
                <w:p w14:paraId="51359EA1">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0.264</w:t>
                  </w:r>
                </w:p>
              </w:tc>
              <w:tc>
                <w:tcPr>
                  <w:tcW w:w="1050" w:type="dxa"/>
                  <w:tcBorders>
                    <w:top w:val="single" w:color="000000" w:sz="2" w:space="0"/>
                    <w:right w:val="single" w:color="000000" w:sz="2" w:space="0"/>
                  </w:tcBorders>
                  <w:vAlign w:val="center"/>
                </w:tcPr>
                <w:p w14:paraId="05CBA073">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0.5</w:t>
                  </w:r>
                </w:p>
              </w:tc>
            </w:tr>
            <w:tr w14:paraId="47011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67A47380">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restart"/>
                  <w:tcBorders>
                    <w:bottom w:val="nil"/>
                  </w:tcBorders>
                  <w:vAlign w:val="center"/>
                </w:tcPr>
                <w:p w14:paraId="7FBB52AF">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氟化物</w:t>
                  </w:r>
                </w:p>
              </w:tc>
              <w:tc>
                <w:tcPr>
                  <w:tcW w:w="1009" w:type="dxa"/>
                  <w:vAlign w:val="center"/>
                </w:tcPr>
                <w:p w14:paraId="71F22023">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056" w:type="dxa"/>
                  <w:vAlign w:val="center"/>
                </w:tcPr>
                <w:p w14:paraId="19832D7A">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3.7</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35" w:type="dxa"/>
                  <w:vAlign w:val="center"/>
                </w:tcPr>
                <w:p w14:paraId="473EA612">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4.4</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1" w:type="dxa"/>
                  <w:vAlign w:val="center"/>
                </w:tcPr>
                <w:p w14:paraId="6D25802F">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4.1</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4" w:type="dxa"/>
                  <w:vAlign w:val="center"/>
                </w:tcPr>
                <w:p w14:paraId="3F395A52">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3.9</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050" w:type="dxa"/>
                  <w:tcBorders>
                    <w:right w:val="nil"/>
                  </w:tcBorders>
                  <w:vAlign w:val="center"/>
                </w:tcPr>
                <w:p w14:paraId="12639C38">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7EECB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56" w:type="dxa"/>
                  <w:vMerge w:val="continue"/>
                  <w:tcBorders>
                    <w:top w:val="nil"/>
                    <w:left w:val="nil"/>
                    <w:bottom w:val="nil"/>
                  </w:tcBorders>
                  <w:vAlign w:val="center"/>
                </w:tcPr>
                <w:p w14:paraId="71EE54A8">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nil"/>
                    <w:bottom w:val="nil"/>
                  </w:tcBorders>
                  <w:vAlign w:val="center"/>
                </w:tcPr>
                <w:p w14:paraId="6E4E779D">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vAlign w:val="center"/>
                </w:tcPr>
                <w:p w14:paraId="3B260166">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056" w:type="dxa"/>
                  <w:vAlign w:val="center"/>
                </w:tcPr>
                <w:p w14:paraId="4B6AF813">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3.9</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35" w:type="dxa"/>
                  <w:vAlign w:val="center"/>
                </w:tcPr>
                <w:p w14:paraId="2D6AD3D7">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4.6</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1" w:type="dxa"/>
                  <w:vAlign w:val="center"/>
                </w:tcPr>
                <w:p w14:paraId="7D7DC974">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4.2</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4" w:type="dxa"/>
                  <w:vAlign w:val="center"/>
                </w:tcPr>
                <w:p w14:paraId="29E343CE">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4.4</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050" w:type="dxa"/>
                  <w:tcBorders>
                    <w:right w:val="nil"/>
                  </w:tcBorders>
                  <w:vAlign w:val="center"/>
                </w:tcPr>
                <w:p w14:paraId="3644AB24">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r w14:paraId="51FE6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956" w:type="dxa"/>
                  <w:vMerge w:val="continue"/>
                  <w:tcBorders>
                    <w:top w:val="nil"/>
                    <w:left w:val="nil"/>
                    <w:bottom w:val="single" w:color="000000" w:sz="12" w:space="0"/>
                  </w:tcBorders>
                  <w:vAlign w:val="center"/>
                </w:tcPr>
                <w:p w14:paraId="38BF505C">
                  <w:pPr>
                    <w:spacing w:line="144" w:lineRule="auto"/>
                    <w:jc w:val="center"/>
                    <w:rPr>
                      <w:rFonts w:hint="default" w:ascii="Times New Roman" w:hAnsi="Times New Roman" w:eastAsia="宋体" w:cs="Times New Roman"/>
                      <w:b w:val="0"/>
                      <w:bCs w:val="0"/>
                      <w:color w:val="auto"/>
                      <w:sz w:val="18"/>
                      <w:szCs w:val="18"/>
                      <w:highlight w:val="none"/>
                    </w:rPr>
                  </w:pPr>
                </w:p>
              </w:tc>
              <w:tc>
                <w:tcPr>
                  <w:tcW w:w="1007" w:type="dxa"/>
                  <w:vMerge w:val="continue"/>
                  <w:tcBorders>
                    <w:top w:val="nil"/>
                    <w:bottom w:val="single" w:color="000000" w:sz="12" w:space="0"/>
                  </w:tcBorders>
                  <w:vAlign w:val="center"/>
                </w:tcPr>
                <w:p w14:paraId="13479986">
                  <w:pPr>
                    <w:spacing w:line="144" w:lineRule="auto"/>
                    <w:jc w:val="center"/>
                    <w:rPr>
                      <w:rFonts w:hint="default" w:ascii="Times New Roman" w:hAnsi="Times New Roman" w:eastAsia="宋体" w:cs="Times New Roman"/>
                      <w:b w:val="0"/>
                      <w:bCs w:val="0"/>
                      <w:color w:val="auto"/>
                      <w:sz w:val="18"/>
                      <w:szCs w:val="18"/>
                      <w:highlight w:val="none"/>
                    </w:rPr>
                  </w:pPr>
                </w:p>
              </w:tc>
              <w:tc>
                <w:tcPr>
                  <w:tcW w:w="1009" w:type="dxa"/>
                  <w:tcBorders>
                    <w:bottom w:val="single" w:color="000000" w:sz="12" w:space="0"/>
                  </w:tcBorders>
                  <w:vAlign w:val="center"/>
                </w:tcPr>
                <w:p w14:paraId="0EA46891">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056" w:type="dxa"/>
                  <w:tcBorders>
                    <w:bottom w:val="single" w:color="000000" w:sz="12" w:space="0"/>
                  </w:tcBorders>
                  <w:vAlign w:val="center"/>
                </w:tcPr>
                <w:p w14:paraId="4185304D">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3.4</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35" w:type="dxa"/>
                  <w:tcBorders>
                    <w:bottom w:val="single" w:color="000000" w:sz="12" w:space="0"/>
                  </w:tcBorders>
                  <w:vAlign w:val="center"/>
                </w:tcPr>
                <w:p w14:paraId="7C447AC2">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4.1</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1" w:type="dxa"/>
                  <w:tcBorders>
                    <w:bottom w:val="single" w:color="000000" w:sz="12" w:space="0"/>
                  </w:tcBorders>
                  <w:vAlign w:val="center"/>
                </w:tcPr>
                <w:p w14:paraId="274E5C52">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4.0</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124" w:type="dxa"/>
                  <w:tcBorders>
                    <w:bottom w:val="single" w:color="000000" w:sz="12" w:space="0"/>
                  </w:tcBorders>
                  <w:vAlign w:val="center"/>
                </w:tcPr>
                <w:p w14:paraId="7BA46B63">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color w:val="auto"/>
                      <w:sz w:val="18"/>
                      <w:szCs w:val="18"/>
                      <w:highlight w:val="none"/>
                      <w:lang w:val="en-US" w:eastAsia="zh-CN"/>
                    </w:rPr>
                    <w:t>4.2</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10</w:t>
                  </w:r>
                  <w:r>
                    <w:rPr>
                      <w:rFonts w:hint="eastAsia" w:ascii="Times New Roman" w:hAnsi="Times New Roman" w:eastAsia="宋体" w:cs="Times New Roman"/>
                      <w:color w:val="auto"/>
                      <w:sz w:val="18"/>
                      <w:szCs w:val="18"/>
                      <w:highlight w:val="none"/>
                      <w:vertAlign w:val="superscript"/>
                      <w:lang w:val="en-US" w:eastAsia="zh-CN"/>
                    </w:rPr>
                    <w:t>-3</w:t>
                  </w:r>
                </w:p>
              </w:tc>
              <w:tc>
                <w:tcPr>
                  <w:tcW w:w="1050" w:type="dxa"/>
                  <w:tcBorders>
                    <w:bottom w:val="single" w:color="000000" w:sz="12" w:space="0"/>
                    <w:right w:val="nil"/>
                  </w:tcBorders>
                  <w:vAlign w:val="center"/>
                </w:tcPr>
                <w:p w14:paraId="73D42A94">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0.02</w:t>
                  </w:r>
                </w:p>
              </w:tc>
            </w:tr>
          </w:tbl>
          <w:p w14:paraId="3EB172B7">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12</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现有项目厂区内无组织排放达标情况表（已建投产部分）</w:t>
            </w:r>
          </w:p>
          <w:tbl>
            <w:tblPr>
              <w:tblStyle w:val="37"/>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4"/>
              <w:gridCol w:w="1058"/>
              <w:gridCol w:w="1116"/>
              <w:gridCol w:w="3307"/>
              <w:gridCol w:w="2076"/>
            </w:tblGrid>
            <w:tr w14:paraId="35937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642" w:type="pct"/>
                  <w:vMerge w:val="restart"/>
                  <w:tcBorders>
                    <w:top w:val="single" w:color="000000" w:sz="12" w:space="0"/>
                    <w:left w:val="nil"/>
                    <w:bottom w:val="nil"/>
                  </w:tcBorders>
                  <w:vAlign w:val="center"/>
                </w:tcPr>
                <w:p w14:paraId="760D55D0">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w:t>
                  </w:r>
                </w:p>
                <w:p w14:paraId="302D9759">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日期</w:t>
                  </w:r>
                </w:p>
              </w:tc>
              <w:tc>
                <w:tcPr>
                  <w:tcW w:w="610" w:type="pct"/>
                  <w:vMerge w:val="restart"/>
                  <w:tcBorders>
                    <w:top w:val="single" w:color="000000" w:sz="12" w:space="0"/>
                    <w:bottom w:val="nil"/>
                  </w:tcBorders>
                  <w:vAlign w:val="center"/>
                </w:tcPr>
                <w:p w14:paraId="77E09765">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w:t>
                  </w:r>
                </w:p>
              </w:tc>
              <w:tc>
                <w:tcPr>
                  <w:tcW w:w="643" w:type="pct"/>
                  <w:vMerge w:val="restart"/>
                  <w:tcBorders>
                    <w:top w:val="single" w:color="000000" w:sz="12" w:space="0"/>
                    <w:bottom w:val="nil"/>
                  </w:tcBorders>
                  <w:vAlign w:val="center"/>
                </w:tcPr>
                <w:p w14:paraId="3E3D136F">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监测频次</w:t>
                  </w:r>
                </w:p>
              </w:tc>
              <w:tc>
                <w:tcPr>
                  <w:tcW w:w="1906" w:type="pct"/>
                  <w:tcBorders>
                    <w:top w:val="single" w:color="000000" w:sz="12" w:space="0"/>
                  </w:tcBorders>
                  <w:vAlign w:val="center"/>
                </w:tcPr>
                <w:p w14:paraId="63F4F23E">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无组织检测结果（mg/m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rPr>
                    <w:t>）</w:t>
                  </w:r>
                </w:p>
              </w:tc>
              <w:tc>
                <w:tcPr>
                  <w:tcW w:w="1196" w:type="pct"/>
                  <w:tcBorders>
                    <w:top w:val="single" w:color="000000" w:sz="12" w:space="0"/>
                    <w:right w:val="nil"/>
                  </w:tcBorders>
                  <w:vAlign w:val="center"/>
                </w:tcPr>
                <w:p w14:paraId="66FE0C89">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执行标准</w:t>
                  </w:r>
                </w:p>
              </w:tc>
            </w:tr>
            <w:tr w14:paraId="5DEAE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642" w:type="pct"/>
                  <w:vMerge w:val="continue"/>
                  <w:tcBorders>
                    <w:top w:val="nil"/>
                    <w:left w:val="nil"/>
                  </w:tcBorders>
                  <w:vAlign w:val="center"/>
                </w:tcPr>
                <w:p w14:paraId="1495C464">
                  <w:pPr>
                    <w:spacing w:line="144" w:lineRule="auto"/>
                    <w:jc w:val="center"/>
                    <w:rPr>
                      <w:rFonts w:hint="default" w:ascii="Times New Roman" w:hAnsi="Times New Roman" w:eastAsia="宋体" w:cs="Times New Roman"/>
                      <w:b/>
                      <w:bCs/>
                      <w:color w:val="auto"/>
                      <w:sz w:val="18"/>
                      <w:szCs w:val="18"/>
                      <w:highlight w:val="none"/>
                    </w:rPr>
                  </w:pPr>
                </w:p>
              </w:tc>
              <w:tc>
                <w:tcPr>
                  <w:tcW w:w="610" w:type="pct"/>
                  <w:vMerge w:val="continue"/>
                  <w:tcBorders>
                    <w:top w:val="nil"/>
                  </w:tcBorders>
                  <w:vAlign w:val="center"/>
                </w:tcPr>
                <w:p w14:paraId="0284701E">
                  <w:pPr>
                    <w:spacing w:line="144" w:lineRule="auto"/>
                    <w:jc w:val="center"/>
                    <w:rPr>
                      <w:rFonts w:hint="default" w:ascii="Times New Roman" w:hAnsi="Times New Roman" w:eastAsia="宋体" w:cs="Times New Roman"/>
                      <w:b/>
                      <w:bCs/>
                      <w:color w:val="auto"/>
                      <w:sz w:val="18"/>
                      <w:szCs w:val="18"/>
                      <w:highlight w:val="none"/>
                    </w:rPr>
                  </w:pPr>
                </w:p>
              </w:tc>
              <w:tc>
                <w:tcPr>
                  <w:tcW w:w="643" w:type="pct"/>
                  <w:vMerge w:val="continue"/>
                  <w:tcBorders>
                    <w:top w:val="nil"/>
                  </w:tcBorders>
                  <w:vAlign w:val="center"/>
                </w:tcPr>
                <w:p w14:paraId="196E3063">
                  <w:pPr>
                    <w:spacing w:line="144" w:lineRule="auto"/>
                    <w:jc w:val="center"/>
                    <w:rPr>
                      <w:rFonts w:hint="default" w:ascii="Times New Roman" w:hAnsi="Times New Roman" w:eastAsia="宋体" w:cs="Times New Roman"/>
                      <w:b/>
                      <w:bCs/>
                      <w:color w:val="auto"/>
                      <w:sz w:val="18"/>
                      <w:szCs w:val="18"/>
                      <w:highlight w:val="none"/>
                    </w:rPr>
                  </w:pPr>
                </w:p>
              </w:tc>
              <w:tc>
                <w:tcPr>
                  <w:tcW w:w="1906" w:type="pct"/>
                  <w:vAlign w:val="center"/>
                </w:tcPr>
                <w:p w14:paraId="65E20F58">
                  <w:pPr>
                    <w:spacing w:line="144" w:lineRule="auto"/>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厂房门外/G5</w:t>
                  </w:r>
                </w:p>
              </w:tc>
              <w:tc>
                <w:tcPr>
                  <w:tcW w:w="1196" w:type="pct"/>
                  <w:tcBorders>
                    <w:right w:val="nil"/>
                  </w:tcBorders>
                  <w:vAlign w:val="center"/>
                </w:tcPr>
                <w:p w14:paraId="0E1F1E0D">
                  <w:pPr>
                    <w:spacing w:line="144"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p>
              </w:tc>
            </w:tr>
            <w:tr w14:paraId="22DE7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642" w:type="pct"/>
                  <w:vMerge w:val="restart"/>
                  <w:tcBorders>
                    <w:left w:val="nil"/>
                    <w:bottom w:val="nil"/>
                  </w:tcBorders>
                  <w:vAlign w:val="center"/>
                </w:tcPr>
                <w:p w14:paraId="384FE629">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2024.11.04</w:t>
                  </w:r>
                </w:p>
              </w:tc>
              <w:tc>
                <w:tcPr>
                  <w:tcW w:w="610" w:type="pct"/>
                  <w:vMerge w:val="restart"/>
                  <w:tcBorders>
                    <w:bottom w:val="nil"/>
                  </w:tcBorders>
                  <w:vAlign w:val="center"/>
                </w:tcPr>
                <w:p w14:paraId="3A785F4A">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非甲烷</w:t>
                  </w:r>
                </w:p>
                <w:p w14:paraId="6F86245C">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总烃</w:t>
                  </w:r>
                </w:p>
              </w:tc>
              <w:tc>
                <w:tcPr>
                  <w:tcW w:w="643" w:type="pct"/>
                  <w:vAlign w:val="center"/>
                </w:tcPr>
                <w:p w14:paraId="1CE7AB06">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906" w:type="pct"/>
                  <w:vAlign w:val="center"/>
                </w:tcPr>
                <w:p w14:paraId="5E036505">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0.72</w:t>
                  </w:r>
                </w:p>
              </w:tc>
              <w:tc>
                <w:tcPr>
                  <w:tcW w:w="1196" w:type="pct"/>
                  <w:tcBorders>
                    <w:right w:val="nil"/>
                  </w:tcBorders>
                  <w:vAlign w:val="center"/>
                </w:tcPr>
                <w:p w14:paraId="217F5BC7">
                  <w:pPr>
                    <w:spacing w:line="144" w:lineRule="auto"/>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6</w:t>
                  </w:r>
                </w:p>
              </w:tc>
            </w:tr>
            <w:tr w14:paraId="02FA3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42" w:type="pct"/>
                  <w:vMerge w:val="continue"/>
                  <w:tcBorders>
                    <w:top w:val="nil"/>
                    <w:left w:val="nil"/>
                    <w:bottom w:val="nil"/>
                  </w:tcBorders>
                  <w:vAlign w:val="center"/>
                </w:tcPr>
                <w:p w14:paraId="245CB840">
                  <w:pPr>
                    <w:spacing w:line="144" w:lineRule="auto"/>
                    <w:jc w:val="center"/>
                    <w:rPr>
                      <w:rFonts w:hint="default" w:ascii="Times New Roman" w:hAnsi="Times New Roman" w:eastAsia="宋体" w:cs="Times New Roman"/>
                      <w:b w:val="0"/>
                      <w:bCs w:val="0"/>
                      <w:color w:val="auto"/>
                      <w:sz w:val="18"/>
                      <w:szCs w:val="18"/>
                      <w:highlight w:val="none"/>
                    </w:rPr>
                  </w:pPr>
                </w:p>
              </w:tc>
              <w:tc>
                <w:tcPr>
                  <w:tcW w:w="610" w:type="pct"/>
                  <w:vMerge w:val="continue"/>
                  <w:tcBorders>
                    <w:top w:val="nil"/>
                    <w:bottom w:val="nil"/>
                  </w:tcBorders>
                  <w:vAlign w:val="center"/>
                </w:tcPr>
                <w:p w14:paraId="13B10114">
                  <w:pPr>
                    <w:spacing w:line="144" w:lineRule="auto"/>
                    <w:jc w:val="center"/>
                    <w:rPr>
                      <w:rFonts w:hint="default" w:ascii="Times New Roman" w:hAnsi="Times New Roman" w:eastAsia="宋体" w:cs="Times New Roman"/>
                      <w:b w:val="0"/>
                      <w:bCs w:val="0"/>
                      <w:color w:val="auto"/>
                      <w:sz w:val="18"/>
                      <w:szCs w:val="18"/>
                      <w:highlight w:val="none"/>
                    </w:rPr>
                  </w:pPr>
                </w:p>
              </w:tc>
              <w:tc>
                <w:tcPr>
                  <w:tcW w:w="643" w:type="pct"/>
                  <w:vAlign w:val="center"/>
                </w:tcPr>
                <w:p w14:paraId="3B03B2B2">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906" w:type="pct"/>
                  <w:vAlign w:val="center"/>
                </w:tcPr>
                <w:p w14:paraId="4D81A5CE">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0.88</w:t>
                  </w:r>
                </w:p>
              </w:tc>
              <w:tc>
                <w:tcPr>
                  <w:tcW w:w="1196" w:type="pct"/>
                  <w:tcBorders>
                    <w:right w:val="nil"/>
                  </w:tcBorders>
                  <w:vAlign w:val="center"/>
                </w:tcPr>
                <w:p w14:paraId="19D302BC">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w:t>
                  </w:r>
                </w:p>
              </w:tc>
            </w:tr>
            <w:tr w14:paraId="31CE3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642" w:type="pct"/>
                  <w:vMerge w:val="continue"/>
                  <w:tcBorders>
                    <w:top w:val="nil"/>
                    <w:left w:val="nil"/>
                    <w:bottom w:val="single" w:color="auto" w:sz="4" w:space="0"/>
                  </w:tcBorders>
                  <w:vAlign w:val="center"/>
                </w:tcPr>
                <w:p w14:paraId="171CE641">
                  <w:pPr>
                    <w:spacing w:line="144" w:lineRule="auto"/>
                    <w:jc w:val="center"/>
                    <w:rPr>
                      <w:rFonts w:hint="default" w:ascii="Times New Roman" w:hAnsi="Times New Roman" w:eastAsia="宋体" w:cs="Times New Roman"/>
                      <w:b w:val="0"/>
                      <w:bCs w:val="0"/>
                      <w:color w:val="auto"/>
                      <w:sz w:val="18"/>
                      <w:szCs w:val="18"/>
                      <w:highlight w:val="none"/>
                    </w:rPr>
                  </w:pPr>
                </w:p>
              </w:tc>
              <w:tc>
                <w:tcPr>
                  <w:tcW w:w="610" w:type="pct"/>
                  <w:vMerge w:val="continue"/>
                  <w:tcBorders>
                    <w:top w:val="nil"/>
                  </w:tcBorders>
                  <w:vAlign w:val="center"/>
                </w:tcPr>
                <w:p w14:paraId="11D669A6">
                  <w:pPr>
                    <w:spacing w:line="144" w:lineRule="auto"/>
                    <w:jc w:val="center"/>
                    <w:rPr>
                      <w:rFonts w:hint="default" w:ascii="Times New Roman" w:hAnsi="Times New Roman" w:eastAsia="宋体" w:cs="Times New Roman"/>
                      <w:b w:val="0"/>
                      <w:bCs w:val="0"/>
                      <w:color w:val="auto"/>
                      <w:sz w:val="18"/>
                      <w:szCs w:val="18"/>
                      <w:highlight w:val="none"/>
                    </w:rPr>
                  </w:pPr>
                </w:p>
              </w:tc>
              <w:tc>
                <w:tcPr>
                  <w:tcW w:w="643" w:type="pct"/>
                  <w:vAlign w:val="center"/>
                </w:tcPr>
                <w:p w14:paraId="474254A3">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906" w:type="pct"/>
                  <w:vAlign w:val="center"/>
                </w:tcPr>
                <w:p w14:paraId="68A581E0">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0.70</w:t>
                  </w:r>
                </w:p>
              </w:tc>
              <w:tc>
                <w:tcPr>
                  <w:tcW w:w="1196" w:type="pct"/>
                  <w:tcBorders>
                    <w:right w:val="nil"/>
                  </w:tcBorders>
                  <w:vAlign w:val="center"/>
                </w:tcPr>
                <w:p w14:paraId="4E5855D5">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w:t>
                  </w:r>
                </w:p>
              </w:tc>
            </w:tr>
            <w:tr w14:paraId="416A3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642" w:type="pct"/>
                  <w:vMerge w:val="restart"/>
                  <w:tcBorders>
                    <w:top w:val="single" w:color="auto" w:sz="4" w:space="0"/>
                    <w:left w:val="nil"/>
                  </w:tcBorders>
                  <w:vAlign w:val="center"/>
                </w:tcPr>
                <w:p w14:paraId="17FB5AE5">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2024.11.05</w:t>
                  </w:r>
                </w:p>
              </w:tc>
              <w:tc>
                <w:tcPr>
                  <w:tcW w:w="610" w:type="pct"/>
                  <w:vMerge w:val="restart"/>
                  <w:tcBorders>
                    <w:bottom w:val="nil"/>
                  </w:tcBorders>
                  <w:vAlign w:val="center"/>
                </w:tcPr>
                <w:p w14:paraId="44D81050">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非甲烷</w:t>
                  </w:r>
                </w:p>
                <w:p w14:paraId="3FD5E3A4">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总烃</w:t>
                  </w:r>
                </w:p>
              </w:tc>
              <w:tc>
                <w:tcPr>
                  <w:tcW w:w="643" w:type="pct"/>
                  <w:vAlign w:val="center"/>
                </w:tcPr>
                <w:p w14:paraId="25B27F52">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第一次</w:t>
                  </w:r>
                </w:p>
              </w:tc>
              <w:tc>
                <w:tcPr>
                  <w:tcW w:w="1906" w:type="pct"/>
                  <w:vAlign w:val="center"/>
                </w:tcPr>
                <w:p w14:paraId="280112D6">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0.76</w:t>
                  </w:r>
                </w:p>
              </w:tc>
              <w:tc>
                <w:tcPr>
                  <w:tcW w:w="1196" w:type="pct"/>
                  <w:tcBorders>
                    <w:right w:val="nil"/>
                  </w:tcBorders>
                  <w:vAlign w:val="center"/>
                </w:tcPr>
                <w:p w14:paraId="69E6F702">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w:t>
                  </w:r>
                </w:p>
              </w:tc>
            </w:tr>
            <w:tr w14:paraId="400E6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642" w:type="pct"/>
                  <w:vMerge w:val="continue"/>
                  <w:tcBorders>
                    <w:top w:val="nil"/>
                    <w:left w:val="nil"/>
                    <w:bottom w:val="nil"/>
                  </w:tcBorders>
                  <w:vAlign w:val="center"/>
                </w:tcPr>
                <w:p w14:paraId="15A83CE6">
                  <w:pPr>
                    <w:spacing w:line="144" w:lineRule="auto"/>
                    <w:jc w:val="center"/>
                    <w:rPr>
                      <w:rFonts w:hint="default" w:ascii="Times New Roman" w:hAnsi="Times New Roman" w:eastAsia="宋体" w:cs="Times New Roman"/>
                      <w:b w:val="0"/>
                      <w:bCs w:val="0"/>
                      <w:color w:val="auto"/>
                      <w:sz w:val="18"/>
                      <w:szCs w:val="18"/>
                      <w:highlight w:val="none"/>
                    </w:rPr>
                  </w:pPr>
                </w:p>
              </w:tc>
              <w:tc>
                <w:tcPr>
                  <w:tcW w:w="610" w:type="pct"/>
                  <w:vMerge w:val="continue"/>
                  <w:tcBorders>
                    <w:top w:val="nil"/>
                    <w:bottom w:val="nil"/>
                  </w:tcBorders>
                  <w:vAlign w:val="center"/>
                </w:tcPr>
                <w:p w14:paraId="49B9732E">
                  <w:pPr>
                    <w:spacing w:line="144" w:lineRule="auto"/>
                    <w:jc w:val="center"/>
                    <w:rPr>
                      <w:rFonts w:hint="default" w:ascii="Times New Roman" w:hAnsi="Times New Roman" w:eastAsia="宋体" w:cs="Times New Roman"/>
                      <w:b w:val="0"/>
                      <w:bCs w:val="0"/>
                      <w:color w:val="auto"/>
                      <w:sz w:val="18"/>
                      <w:szCs w:val="18"/>
                      <w:highlight w:val="none"/>
                    </w:rPr>
                  </w:pPr>
                </w:p>
              </w:tc>
              <w:tc>
                <w:tcPr>
                  <w:tcW w:w="643" w:type="pct"/>
                  <w:vAlign w:val="center"/>
                </w:tcPr>
                <w:p w14:paraId="0A8024E9">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第二次</w:t>
                  </w:r>
                </w:p>
              </w:tc>
              <w:tc>
                <w:tcPr>
                  <w:tcW w:w="1906" w:type="pct"/>
                  <w:vAlign w:val="center"/>
                </w:tcPr>
                <w:p w14:paraId="09ADDD90">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0.86</w:t>
                  </w:r>
                </w:p>
              </w:tc>
              <w:tc>
                <w:tcPr>
                  <w:tcW w:w="1196" w:type="pct"/>
                  <w:tcBorders>
                    <w:right w:val="nil"/>
                  </w:tcBorders>
                  <w:vAlign w:val="center"/>
                </w:tcPr>
                <w:p w14:paraId="6E25B6E5">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w:t>
                  </w:r>
                </w:p>
              </w:tc>
            </w:tr>
            <w:tr w14:paraId="46BA9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642" w:type="pct"/>
                  <w:vMerge w:val="continue"/>
                  <w:tcBorders>
                    <w:top w:val="nil"/>
                    <w:left w:val="nil"/>
                  </w:tcBorders>
                  <w:vAlign w:val="center"/>
                </w:tcPr>
                <w:p w14:paraId="723F3E8C">
                  <w:pPr>
                    <w:spacing w:line="144" w:lineRule="auto"/>
                    <w:jc w:val="center"/>
                    <w:rPr>
                      <w:rFonts w:hint="default" w:ascii="Times New Roman" w:hAnsi="Times New Roman" w:eastAsia="宋体" w:cs="Times New Roman"/>
                      <w:b w:val="0"/>
                      <w:bCs w:val="0"/>
                      <w:color w:val="auto"/>
                      <w:sz w:val="18"/>
                      <w:szCs w:val="18"/>
                      <w:highlight w:val="none"/>
                    </w:rPr>
                  </w:pPr>
                </w:p>
              </w:tc>
              <w:tc>
                <w:tcPr>
                  <w:tcW w:w="610" w:type="pct"/>
                  <w:vMerge w:val="continue"/>
                  <w:tcBorders>
                    <w:top w:val="nil"/>
                  </w:tcBorders>
                  <w:vAlign w:val="center"/>
                </w:tcPr>
                <w:p w14:paraId="6B4CC4D2">
                  <w:pPr>
                    <w:spacing w:line="144" w:lineRule="auto"/>
                    <w:jc w:val="center"/>
                    <w:rPr>
                      <w:rFonts w:hint="default" w:ascii="Times New Roman" w:hAnsi="Times New Roman" w:eastAsia="宋体" w:cs="Times New Roman"/>
                      <w:b w:val="0"/>
                      <w:bCs w:val="0"/>
                      <w:color w:val="auto"/>
                      <w:sz w:val="18"/>
                      <w:szCs w:val="18"/>
                      <w:highlight w:val="none"/>
                    </w:rPr>
                  </w:pPr>
                </w:p>
              </w:tc>
              <w:tc>
                <w:tcPr>
                  <w:tcW w:w="643" w:type="pct"/>
                  <w:vAlign w:val="center"/>
                </w:tcPr>
                <w:p w14:paraId="020E2465">
                  <w:pPr>
                    <w:spacing w:line="144" w:lineRule="auto"/>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第三次</w:t>
                  </w:r>
                </w:p>
              </w:tc>
              <w:tc>
                <w:tcPr>
                  <w:tcW w:w="1906" w:type="pct"/>
                  <w:vAlign w:val="center"/>
                </w:tcPr>
                <w:p w14:paraId="02E0D793">
                  <w:pPr>
                    <w:spacing w:line="144" w:lineRule="auto"/>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0.66</w:t>
                  </w:r>
                </w:p>
              </w:tc>
              <w:tc>
                <w:tcPr>
                  <w:tcW w:w="1196" w:type="pct"/>
                  <w:tcBorders>
                    <w:right w:val="nil"/>
                  </w:tcBorders>
                  <w:vAlign w:val="center"/>
                </w:tcPr>
                <w:p w14:paraId="269E7836">
                  <w:pPr>
                    <w:spacing w:line="144" w:lineRule="auto"/>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w:t>
                  </w:r>
                </w:p>
              </w:tc>
            </w:tr>
          </w:tbl>
          <w:p w14:paraId="31C0E9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1"/>
                <w:highlight w:val="none"/>
                <w:lang w:eastAsia="zh-CN"/>
              </w:rPr>
            </w:pPr>
            <w:r>
              <w:rPr>
                <w:rFonts w:hint="eastAsia" w:ascii="Times New Roman" w:hAnsi="Times New Roman" w:eastAsia="宋体" w:cs="Times New Roman"/>
                <w:color w:val="auto"/>
                <w:sz w:val="24"/>
                <w:szCs w:val="21"/>
                <w:highlight w:val="none"/>
                <w:lang w:val="en-US" w:eastAsia="zh-CN"/>
              </w:rPr>
              <w:t>验收监测期间，</w:t>
            </w:r>
            <w:r>
              <w:rPr>
                <w:rFonts w:hint="eastAsia" w:cs="Times New Roman"/>
                <w:color w:val="auto"/>
                <w:sz w:val="24"/>
                <w:szCs w:val="21"/>
                <w:highlight w:val="none"/>
                <w:lang w:val="en-US" w:eastAsia="zh-CN"/>
              </w:rPr>
              <w:t>现有</w:t>
            </w:r>
            <w:r>
              <w:rPr>
                <w:rFonts w:hint="eastAsia" w:ascii="Times New Roman" w:hAnsi="Times New Roman" w:eastAsia="宋体" w:cs="Times New Roman"/>
                <w:color w:val="auto"/>
                <w:sz w:val="24"/>
                <w:szCs w:val="21"/>
                <w:highlight w:val="none"/>
                <w:lang w:val="en-US" w:eastAsia="zh-CN"/>
              </w:rPr>
              <w:t>项目有组织废气监测结果表明：FQ01 排放的非甲烷总烃、酚类化合物</w:t>
            </w:r>
            <w:r>
              <w:rPr>
                <w:rFonts w:hint="eastAsia" w:cs="Times New Roman"/>
                <w:color w:val="auto"/>
                <w:sz w:val="24"/>
                <w:szCs w:val="21"/>
                <w:highlight w:val="none"/>
                <w:lang w:val="en-US" w:eastAsia="zh-CN"/>
              </w:rPr>
              <w:t>的浓度</w:t>
            </w:r>
            <w:r>
              <w:rPr>
                <w:rFonts w:hint="eastAsia" w:ascii="Times New Roman" w:hAnsi="Times New Roman" w:eastAsia="宋体" w:cs="Times New Roman"/>
                <w:color w:val="auto"/>
                <w:sz w:val="24"/>
                <w:szCs w:val="21"/>
                <w:highlight w:val="none"/>
                <w:lang w:val="en-US" w:eastAsia="zh-CN"/>
              </w:rPr>
              <w:t>，FQ02</w:t>
            </w:r>
            <w:r>
              <w:rPr>
                <w:rFonts w:hint="eastAsia" w:cs="Times New Roman"/>
                <w:color w:val="auto"/>
                <w:sz w:val="24"/>
                <w:szCs w:val="21"/>
                <w:highlight w:val="none"/>
                <w:lang w:val="en-US" w:eastAsia="zh-CN"/>
              </w:rPr>
              <w:t>、FQ10</w:t>
            </w:r>
            <w:r>
              <w:rPr>
                <w:rFonts w:hint="eastAsia" w:ascii="Times New Roman" w:hAnsi="Times New Roman" w:eastAsia="宋体" w:cs="Times New Roman"/>
                <w:color w:val="auto"/>
                <w:sz w:val="24"/>
                <w:szCs w:val="21"/>
                <w:highlight w:val="none"/>
                <w:lang w:val="en-US" w:eastAsia="zh-CN"/>
              </w:rPr>
              <w:t>排放的非甲烷总烃</w:t>
            </w:r>
            <w:r>
              <w:rPr>
                <w:rFonts w:hint="eastAsia" w:cs="Times New Roman"/>
                <w:color w:val="auto"/>
                <w:sz w:val="24"/>
                <w:szCs w:val="21"/>
                <w:highlight w:val="none"/>
                <w:lang w:val="en-US" w:eastAsia="zh-CN"/>
              </w:rPr>
              <w:t>的</w:t>
            </w:r>
            <w:r>
              <w:rPr>
                <w:rFonts w:hint="eastAsia" w:ascii="Times New Roman" w:hAnsi="Times New Roman" w:eastAsia="宋体" w:cs="Times New Roman"/>
                <w:color w:val="auto"/>
                <w:sz w:val="24"/>
                <w:szCs w:val="21"/>
                <w:highlight w:val="none"/>
                <w:lang w:val="en-US" w:eastAsia="zh-CN"/>
              </w:rPr>
              <w:t>浓度能满足</w:t>
            </w:r>
            <w:r>
              <w:rPr>
                <w:rFonts w:hint="eastAsia" w:ascii="Times New Roman" w:hAnsi="Times New Roman" w:eastAsia="宋体" w:cs="Times New Roman"/>
                <w:color w:val="auto"/>
                <w:sz w:val="24"/>
                <w:szCs w:val="21"/>
                <w:highlight w:val="none"/>
                <w:lang w:eastAsia="zh-CN"/>
              </w:rPr>
              <w:t>《合成树脂工业污染物排放标准》（GB31572-2015）</w:t>
            </w: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含2024年修改单</w:t>
            </w:r>
            <w:r>
              <w:rPr>
                <w:rFonts w:hint="eastAsia" w:cs="Times New Roman"/>
                <w:color w:val="auto"/>
                <w:sz w:val="24"/>
                <w:szCs w:val="21"/>
                <w:highlight w:val="none"/>
                <w:lang w:eastAsia="zh-CN"/>
              </w:rPr>
              <w:t>）</w:t>
            </w:r>
            <w:r>
              <w:rPr>
                <w:rFonts w:hint="eastAsia" w:ascii="Times New Roman" w:hAnsi="Times New Roman" w:eastAsia="宋体" w:cs="Times New Roman"/>
                <w:color w:val="auto"/>
                <w:sz w:val="24"/>
                <w:szCs w:val="21"/>
                <w:highlight w:val="none"/>
                <w:lang w:eastAsia="zh-CN"/>
              </w:rPr>
              <w:t>表5中标准</w:t>
            </w:r>
            <w:r>
              <w:rPr>
                <w:rFonts w:hint="eastAsia" w:ascii="Times New Roman" w:hAnsi="Times New Roman" w:eastAsia="宋体" w:cs="Times New Roman"/>
                <w:color w:val="auto"/>
                <w:sz w:val="24"/>
                <w:szCs w:val="21"/>
                <w:highlight w:val="none"/>
                <w:lang w:val="en-US" w:eastAsia="zh-CN"/>
              </w:rPr>
              <w:t>；FQ07 排放的非甲烷总烃浓度、速率能满足《工业涂装工序大气污染物排放标准》（DB32/4439-2022）表1中标准，FQ07排放的氟化物、FQ08、FQ13 排放的颗粒物</w:t>
            </w:r>
            <w:r>
              <w:rPr>
                <w:rFonts w:hint="eastAsia" w:cs="Times New Roman"/>
                <w:color w:val="auto"/>
                <w:sz w:val="24"/>
                <w:szCs w:val="21"/>
                <w:highlight w:val="none"/>
                <w:lang w:val="en-US" w:eastAsia="zh-CN"/>
              </w:rPr>
              <w:t>的</w:t>
            </w:r>
            <w:r>
              <w:rPr>
                <w:rFonts w:hint="eastAsia" w:ascii="Times New Roman" w:hAnsi="Times New Roman" w:eastAsia="宋体" w:cs="Times New Roman"/>
                <w:color w:val="auto"/>
                <w:sz w:val="24"/>
                <w:szCs w:val="21"/>
                <w:highlight w:val="none"/>
                <w:lang w:val="en-US" w:eastAsia="zh-CN"/>
              </w:rPr>
              <w:t>浓度、速率能够满足江苏省地方标准《大气污染物综合排放标准》（DB32/4042-2021）表1标准；FQ16、FQ17排放的颗粒物、氮氧化物</w:t>
            </w:r>
            <w:r>
              <w:rPr>
                <w:rFonts w:hint="eastAsia" w:cs="Times New Roman"/>
                <w:color w:val="auto"/>
                <w:sz w:val="24"/>
                <w:szCs w:val="21"/>
                <w:highlight w:val="none"/>
                <w:lang w:val="en-US" w:eastAsia="zh-CN"/>
              </w:rPr>
              <w:t>的</w:t>
            </w:r>
            <w:r>
              <w:rPr>
                <w:rFonts w:hint="eastAsia" w:ascii="Times New Roman" w:hAnsi="Times New Roman" w:eastAsia="宋体" w:cs="Times New Roman"/>
                <w:color w:val="auto"/>
                <w:sz w:val="24"/>
                <w:szCs w:val="21"/>
                <w:highlight w:val="none"/>
                <w:lang w:val="en-US" w:eastAsia="zh-CN"/>
              </w:rPr>
              <w:t>浓度、速率能够满足江苏省地方标准《大气污染物综合排放标准》 （DB32/4042-2021）表 1 标准</w:t>
            </w:r>
            <w:r>
              <w:rPr>
                <w:rFonts w:hint="eastAsia" w:cs="Times New Roman"/>
                <w:color w:val="auto"/>
                <w:sz w:val="24"/>
                <w:szCs w:val="21"/>
                <w:highlight w:val="none"/>
                <w:lang w:eastAsia="zh-CN"/>
              </w:rPr>
              <w:t>。</w:t>
            </w:r>
          </w:p>
          <w:p w14:paraId="6ED0D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highlight w:val="none"/>
              </w:rPr>
            </w:pPr>
            <w:r>
              <w:rPr>
                <w:rFonts w:hint="eastAsia" w:cs="宋体"/>
                <w:b w:val="0"/>
                <w:bCs w:val="0"/>
                <w:color w:val="auto"/>
                <w:sz w:val="24"/>
                <w:szCs w:val="24"/>
                <w:highlight w:val="none"/>
                <w:lang w:val="en-US" w:eastAsia="zh-CN"/>
              </w:rPr>
              <w:t>现有项目</w:t>
            </w:r>
            <w:r>
              <w:rPr>
                <w:rFonts w:hint="default" w:ascii="Times New Roman" w:hAnsi="Times New Roman" w:eastAsia="宋体" w:cs="宋体"/>
                <w:b w:val="0"/>
                <w:bCs w:val="0"/>
                <w:color w:val="auto"/>
                <w:sz w:val="24"/>
                <w:szCs w:val="24"/>
                <w:highlight w:val="none"/>
              </w:rPr>
              <w:t>厂界无组织排放的非甲烷总烃</w:t>
            </w:r>
            <w:r>
              <w:rPr>
                <w:rFonts w:hint="eastAsia" w:cs="宋体"/>
                <w:b w:val="0"/>
                <w:bCs w:val="0"/>
                <w:color w:val="auto"/>
                <w:sz w:val="24"/>
                <w:szCs w:val="24"/>
                <w:highlight w:val="none"/>
                <w:lang w:val="en-US" w:eastAsia="zh-CN"/>
              </w:rPr>
              <w:t>可达到</w:t>
            </w:r>
            <w:r>
              <w:rPr>
                <w:rFonts w:hint="eastAsia" w:ascii="Times New Roman" w:hAnsi="Times New Roman" w:eastAsia="宋体" w:cs="Times New Roman"/>
                <w:color w:val="auto"/>
                <w:sz w:val="24"/>
                <w:szCs w:val="21"/>
                <w:highlight w:val="none"/>
                <w:lang w:eastAsia="zh-CN"/>
              </w:rPr>
              <w:t>《合成树脂工业污染物排放标准》（GB31572-2015）</w:t>
            </w: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含2024年修改单</w:t>
            </w:r>
            <w:r>
              <w:rPr>
                <w:rFonts w:hint="eastAsia" w:cs="Times New Roman"/>
                <w:color w:val="auto"/>
                <w:sz w:val="24"/>
                <w:szCs w:val="21"/>
                <w:highlight w:val="none"/>
                <w:lang w:eastAsia="zh-CN"/>
              </w:rPr>
              <w:t>）</w:t>
            </w:r>
            <w:r>
              <w:rPr>
                <w:rFonts w:hint="eastAsia" w:ascii="Times New Roman" w:hAnsi="Times New Roman" w:eastAsia="宋体" w:cs="Times New Roman"/>
                <w:color w:val="auto"/>
                <w:sz w:val="24"/>
                <w:szCs w:val="21"/>
                <w:highlight w:val="none"/>
                <w:lang w:eastAsia="zh-CN"/>
              </w:rPr>
              <w:t>表</w:t>
            </w:r>
            <w:r>
              <w:rPr>
                <w:rFonts w:hint="eastAsia" w:cs="Times New Roman"/>
                <w:color w:val="auto"/>
                <w:sz w:val="24"/>
                <w:szCs w:val="21"/>
                <w:highlight w:val="none"/>
                <w:lang w:val="en-US" w:eastAsia="zh-CN"/>
              </w:rPr>
              <w:t>9</w:t>
            </w:r>
            <w:r>
              <w:rPr>
                <w:rFonts w:hint="eastAsia" w:ascii="Times New Roman" w:hAnsi="Times New Roman" w:eastAsia="宋体" w:cs="Times New Roman"/>
                <w:color w:val="auto"/>
                <w:sz w:val="24"/>
                <w:szCs w:val="21"/>
                <w:highlight w:val="none"/>
                <w:lang w:eastAsia="zh-CN"/>
              </w:rPr>
              <w:t>中标准</w:t>
            </w: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厂界无组织排放的</w:t>
            </w:r>
            <w:r>
              <w:rPr>
                <w:rFonts w:hint="default" w:ascii="Times New Roman" w:hAnsi="Times New Roman" w:eastAsia="宋体" w:cs="宋体"/>
                <w:b w:val="0"/>
                <w:bCs w:val="0"/>
                <w:color w:val="auto"/>
                <w:sz w:val="24"/>
                <w:szCs w:val="24"/>
                <w:highlight w:val="none"/>
              </w:rPr>
              <w:t>氮氧化物、颗粒物、氟化物、酚类可达到江苏省《大气污染物综合排放标准》（</w:t>
            </w:r>
            <w:r>
              <w:rPr>
                <w:rFonts w:hint="default" w:ascii="Times New Roman" w:hAnsi="Times New Roman" w:eastAsia="宋体" w:cs="TimesNewRomanPSMT"/>
                <w:b w:val="0"/>
                <w:bCs w:val="0"/>
                <w:color w:val="auto"/>
                <w:sz w:val="24"/>
                <w:szCs w:val="24"/>
                <w:highlight w:val="none"/>
              </w:rPr>
              <w:t>DB32/4041-2021</w:t>
            </w:r>
            <w:r>
              <w:rPr>
                <w:rFonts w:hint="default" w:ascii="Times New Roman" w:hAnsi="Times New Roman" w:eastAsia="宋体" w:cs="宋体"/>
                <w:b w:val="0"/>
                <w:bCs w:val="0"/>
                <w:color w:val="auto"/>
                <w:sz w:val="24"/>
                <w:szCs w:val="24"/>
                <w:highlight w:val="none"/>
              </w:rPr>
              <w:t>）表</w:t>
            </w:r>
            <w:r>
              <w:rPr>
                <w:rFonts w:hint="eastAsia" w:ascii="Times New Roman" w:hAnsi="Times New Roman" w:eastAsia="宋体" w:cs="宋体"/>
                <w:b w:val="0"/>
                <w:bCs w:val="0"/>
                <w:color w:val="auto"/>
                <w:sz w:val="24"/>
                <w:szCs w:val="24"/>
                <w:highlight w:val="none"/>
                <w:lang w:val="en-US" w:eastAsia="zh-CN"/>
              </w:rPr>
              <w:t>3</w:t>
            </w:r>
            <w:r>
              <w:rPr>
                <w:rFonts w:hint="default" w:ascii="Times New Roman" w:hAnsi="Times New Roman" w:eastAsia="宋体" w:cs="宋体"/>
                <w:b w:val="0"/>
                <w:bCs w:val="0"/>
                <w:color w:val="auto"/>
                <w:sz w:val="24"/>
                <w:szCs w:val="24"/>
                <w:highlight w:val="none"/>
              </w:rPr>
              <w:t>标准，对周边大气环境较小。厂区内无组织排放的非甲烷总烃可以满足江苏省地方标准《大气污染物综合排放标准》（</w:t>
            </w:r>
            <w:r>
              <w:rPr>
                <w:rFonts w:hint="default" w:ascii="Times New Roman" w:hAnsi="Times New Roman" w:eastAsia="宋体" w:cs="TimesNewRomanPSMT"/>
                <w:b w:val="0"/>
                <w:bCs w:val="0"/>
                <w:color w:val="auto"/>
                <w:sz w:val="24"/>
                <w:szCs w:val="24"/>
                <w:highlight w:val="none"/>
              </w:rPr>
              <w:t>DB32/4041—2021</w:t>
            </w:r>
            <w:r>
              <w:rPr>
                <w:rFonts w:hint="default" w:ascii="Times New Roman" w:hAnsi="Times New Roman" w:eastAsia="宋体" w:cs="宋体"/>
                <w:b w:val="0"/>
                <w:bCs w:val="0"/>
                <w:color w:val="auto"/>
                <w:sz w:val="24"/>
                <w:szCs w:val="24"/>
                <w:highlight w:val="none"/>
              </w:rPr>
              <w:t>）表</w:t>
            </w:r>
            <w:r>
              <w:rPr>
                <w:rFonts w:hint="default" w:ascii="Times New Roman" w:hAnsi="Times New Roman" w:eastAsia="宋体" w:cs="TimesNewRomanPSMT"/>
                <w:b w:val="0"/>
                <w:bCs w:val="0"/>
                <w:color w:val="auto"/>
                <w:sz w:val="24"/>
                <w:szCs w:val="24"/>
                <w:highlight w:val="none"/>
              </w:rPr>
              <w:t>2</w:t>
            </w:r>
            <w:r>
              <w:rPr>
                <w:rFonts w:hint="default" w:ascii="Times New Roman" w:hAnsi="Times New Roman" w:eastAsia="宋体" w:cs="宋体"/>
                <w:b w:val="0"/>
                <w:bCs w:val="0"/>
                <w:color w:val="auto"/>
                <w:sz w:val="24"/>
                <w:szCs w:val="24"/>
                <w:highlight w:val="none"/>
              </w:rPr>
              <w:t>标准。</w:t>
            </w:r>
          </w:p>
          <w:p w14:paraId="24311CA1">
            <w:pPr>
              <w:keepNext w:val="0"/>
              <w:keepLines w:val="0"/>
              <w:suppressLineNumbers w:val="0"/>
              <w:spacing w:before="0" w:beforeAutospacing="0" w:after="0" w:afterAutospacing="0"/>
              <w:ind w:left="0" w:right="0"/>
              <w:rPr>
                <w:rFonts w:hint="default"/>
                <w:color w:val="auto"/>
                <w:highlight w:val="none"/>
              </w:rPr>
            </w:pPr>
          </w:p>
          <w:p w14:paraId="5C4DDDBB">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Style w:val="29"/>
                <w:rFonts w:hint="eastAsia" w:ascii="Times New Roman" w:hAnsi="Times New Roman" w:eastAsia="宋体" w:cs="Times New Roman"/>
                <w:b w:val="0"/>
                <w:bCs w:val="0"/>
                <w:color w:val="auto"/>
                <w:kern w:val="2"/>
                <w:sz w:val="24"/>
                <w:szCs w:val="24"/>
                <w:highlight w:val="none"/>
                <w:lang w:val="en-US" w:eastAsia="zh-CN"/>
              </w:rPr>
            </w:pPr>
          </w:p>
        </w:tc>
      </w:tr>
    </w:tbl>
    <w:p w14:paraId="3EAA25FE">
      <w:pPr>
        <w:pStyle w:val="12"/>
        <w:rPr>
          <w:color w:val="auto"/>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5"/>
        <w:tblW w:w="14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3861"/>
      </w:tblGrid>
      <w:tr w14:paraId="4BC6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5" w:hRule="atLeast"/>
        </w:trPr>
        <w:tc>
          <w:tcPr>
            <w:tcW w:w="399" w:type="dxa"/>
          </w:tcPr>
          <w:p w14:paraId="57449A62">
            <w:pPr>
              <w:pStyle w:val="12"/>
              <w:keepNext w:val="0"/>
              <w:keepLines w:val="0"/>
              <w:suppressLineNumbers w:val="0"/>
              <w:spacing w:before="0" w:beforeAutospacing="0" w:after="0" w:afterAutospacing="0"/>
              <w:ind w:left="0" w:right="0"/>
              <w:rPr>
                <w:rFonts w:hint="default"/>
                <w:color w:val="auto"/>
                <w:highlight w:val="none"/>
                <w:vertAlign w:val="baseline"/>
              </w:rPr>
            </w:pPr>
          </w:p>
        </w:tc>
        <w:tc>
          <w:tcPr>
            <w:tcW w:w="13861" w:type="dxa"/>
          </w:tcPr>
          <w:p w14:paraId="1F8EB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Style w:val="29"/>
                <w:rFonts w:hint="default" w:ascii="Times New Roman" w:hAnsi="Times New Roman" w:eastAsia="宋体" w:cs="Times New Roman"/>
                <w:b/>
                <w:bCs/>
                <w:color w:val="auto"/>
                <w:sz w:val="24"/>
                <w:szCs w:val="24"/>
                <w:highlight w:val="none"/>
                <w:lang w:val="en-US" w:eastAsia="zh-CN"/>
              </w:rPr>
            </w:pPr>
            <w:r>
              <w:rPr>
                <w:rStyle w:val="29"/>
                <w:rFonts w:hint="eastAsia" w:ascii="Times New Roman" w:hAnsi="Times New Roman" w:eastAsia="宋体" w:cs="Times New Roman"/>
                <w:b/>
                <w:bCs/>
                <w:color w:val="auto"/>
                <w:sz w:val="24"/>
                <w:szCs w:val="24"/>
                <w:highlight w:val="none"/>
                <w:lang w:val="en-US" w:eastAsia="zh-CN"/>
              </w:rPr>
              <w:t>②已批未建/在建项目</w:t>
            </w:r>
          </w:p>
          <w:p w14:paraId="090B94F8">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Style w:val="29"/>
                <w:rFonts w:hint="eastAsia" w:ascii="Times New Roman" w:hAnsi="Times New Roman" w:eastAsia="宋体" w:cs="Times New Roman"/>
                <w:b w:val="0"/>
                <w:bCs w:val="0"/>
                <w:color w:val="auto"/>
                <w:kern w:val="2"/>
                <w:sz w:val="24"/>
                <w:szCs w:val="24"/>
                <w:highlight w:val="none"/>
                <w:lang w:val="en-US" w:eastAsia="zh-CN"/>
              </w:rPr>
              <w:t>现有项目已批未建/在建部分废气主要为1号楼、4号楼生产车间3D打印、甩干废气、后处理线废气、室温搅拌废气、压膜和喷涂烘干废气、抛光废气、激光切割废气、3号楼生产车间注塑成型废气。现有项目已批未建/在建部分废气排放情况见表2-</w:t>
            </w:r>
            <w:r>
              <w:rPr>
                <w:rStyle w:val="29"/>
                <w:rFonts w:hint="eastAsia" w:cs="Times New Roman"/>
                <w:b w:val="0"/>
                <w:bCs w:val="0"/>
                <w:color w:val="auto"/>
                <w:kern w:val="2"/>
                <w:sz w:val="24"/>
                <w:szCs w:val="24"/>
                <w:highlight w:val="none"/>
                <w:lang w:val="en-US" w:eastAsia="zh-CN"/>
              </w:rPr>
              <w:t>13</w:t>
            </w:r>
            <w:r>
              <w:rPr>
                <w:rStyle w:val="29"/>
                <w:rFonts w:hint="eastAsia" w:ascii="Times New Roman" w:hAnsi="Times New Roman" w:eastAsia="宋体" w:cs="Times New Roman"/>
                <w:b w:val="0"/>
                <w:bCs w:val="0"/>
                <w:color w:val="auto"/>
                <w:kern w:val="2"/>
                <w:sz w:val="24"/>
                <w:szCs w:val="24"/>
                <w:highlight w:val="none"/>
                <w:lang w:val="en-US" w:eastAsia="zh-CN"/>
              </w:rPr>
              <w:t>。现有项目</w:t>
            </w:r>
            <w:r>
              <w:rPr>
                <w:rStyle w:val="29"/>
                <w:rFonts w:hint="eastAsia" w:cs="Times New Roman"/>
                <w:b w:val="0"/>
                <w:bCs w:val="0"/>
                <w:color w:val="auto"/>
                <w:kern w:val="2"/>
                <w:sz w:val="24"/>
                <w:szCs w:val="24"/>
                <w:highlight w:val="none"/>
                <w:lang w:val="en-US" w:eastAsia="zh-CN"/>
              </w:rPr>
              <w:t>已批</w:t>
            </w:r>
            <w:r>
              <w:rPr>
                <w:rStyle w:val="29"/>
                <w:rFonts w:hint="eastAsia" w:ascii="Times New Roman" w:hAnsi="Times New Roman" w:eastAsia="宋体" w:cs="Times New Roman"/>
                <w:b w:val="0"/>
                <w:bCs w:val="0"/>
                <w:color w:val="auto"/>
                <w:kern w:val="2"/>
                <w:sz w:val="24"/>
                <w:szCs w:val="24"/>
                <w:highlight w:val="none"/>
                <w:lang w:val="en-US" w:eastAsia="zh-CN"/>
              </w:rPr>
              <w:t>工程</w:t>
            </w:r>
            <w:r>
              <w:rPr>
                <w:rStyle w:val="29"/>
                <w:rFonts w:hint="eastAsia" w:cs="Times New Roman"/>
                <w:b w:val="0"/>
                <w:bCs w:val="0"/>
                <w:color w:val="auto"/>
                <w:kern w:val="2"/>
                <w:sz w:val="24"/>
                <w:szCs w:val="24"/>
                <w:highlight w:val="none"/>
                <w:lang w:val="en-US" w:eastAsia="zh-CN"/>
              </w:rPr>
              <w:t>全部</w:t>
            </w:r>
            <w:r>
              <w:rPr>
                <w:rStyle w:val="29"/>
                <w:rFonts w:hint="eastAsia" w:ascii="Times New Roman" w:hAnsi="Times New Roman" w:eastAsia="宋体" w:cs="Times New Roman"/>
                <w:b w:val="0"/>
                <w:bCs w:val="0"/>
                <w:color w:val="auto"/>
                <w:kern w:val="2"/>
                <w:sz w:val="24"/>
                <w:szCs w:val="24"/>
                <w:highlight w:val="none"/>
                <w:lang w:val="en-US" w:eastAsia="zh-CN"/>
              </w:rPr>
              <w:t>建成后全厂无组织废气排放情况表2-</w:t>
            </w:r>
            <w:r>
              <w:rPr>
                <w:rStyle w:val="29"/>
                <w:rFonts w:hint="eastAsia" w:cs="Times New Roman"/>
                <w:b w:val="0"/>
                <w:bCs w:val="0"/>
                <w:color w:val="auto"/>
                <w:kern w:val="2"/>
                <w:sz w:val="24"/>
                <w:szCs w:val="24"/>
                <w:highlight w:val="none"/>
                <w:lang w:val="en-US" w:eastAsia="zh-CN"/>
              </w:rPr>
              <w:t>14</w:t>
            </w:r>
            <w:r>
              <w:rPr>
                <w:rStyle w:val="29"/>
                <w:rFonts w:hint="eastAsia" w:ascii="Times New Roman" w:hAnsi="Times New Roman" w:eastAsia="宋体" w:cs="Times New Roman"/>
                <w:b w:val="0"/>
                <w:bCs w:val="0"/>
                <w:color w:val="auto"/>
                <w:kern w:val="2"/>
                <w:sz w:val="24"/>
                <w:szCs w:val="24"/>
                <w:highlight w:val="none"/>
                <w:lang w:val="en-US" w:eastAsia="zh-CN"/>
              </w:rPr>
              <w:t>。</w:t>
            </w:r>
          </w:p>
          <w:p w14:paraId="1E6F4F44">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auto"/>
                <w:sz w:val="24"/>
                <w:szCs w:val="36"/>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eastAsia="宋体"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13</w:t>
            </w:r>
            <w:r>
              <w:rPr>
                <w:rFonts w:hint="eastAsia" w:eastAsia="宋体" w:cs="Times New Roman"/>
                <w:b/>
                <w:bCs/>
                <w:color w:val="auto"/>
                <w:kern w:val="2"/>
                <w:sz w:val="24"/>
                <w:szCs w:val="24"/>
                <w:highlight w:val="none"/>
                <w:lang w:val="en-US" w:eastAsia="zh-CN" w:bidi="ar-SA"/>
              </w:rPr>
              <w:t xml:space="preserve">  现有项目已批未建/在建部分废气处理措施情况一览表</w:t>
            </w:r>
          </w:p>
          <w:tbl>
            <w:tblPr>
              <w:tblStyle w:val="24"/>
              <w:tblW w:w="130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31"/>
              <w:gridCol w:w="394"/>
              <w:gridCol w:w="289"/>
              <w:gridCol w:w="607"/>
              <w:gridCol w:w="598"/>
              <w:gridCol w:w="704"/>
              <w:gridCol w:w="703"/>
              <w:gridCol w:w="819"/>
              <w:gridCol w:w="1211"/>
              <w:gridCol w:w="615"/>
              <w:gridCol w:w="1230"/>
              <w:gridCol w:w="1020"/>
              <w:gridCol w:w="1140"/>
              <w:gridCol w:w="1230"/>
            </w:tblGrid>
            <w:tr w14:paraId="37D72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8" w:hRule="atLeast"/>
                <w:jc w:val="center"/>
              </w:trPr>
              <w:tc>
                <w:tcPr>
                  <w:tcW w:w="2531" w:type="dxa"/>
                  <w:vMerge w:val="restart"/>
                  <w:noWrap w:val="0"/>
                  <w:vAlign w:val="center"/>
                </w:tcPr>
                <w:p w14:paraId="5C20FC1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auto"/>
                      <w:sz w:val="18"/>
                      <w:szCs w:val="18"/>
                      <w:highlight w:val="none"/>
                      <w:lang w:eastAsia="zh-CN"/>
                    </w:rPr>
                  </w:pPr>
                  <w:r>
                    <w:rPr>
                      <w:rFonts w:hint="eastAsia" w:ascii="Times New Roman" w:hAnsi="Times New Roman" w:eastAsia="宋体" w:cs="Times New Roman"/>
                      <w:b/>
                      <w:color w:val="auto"/>
                      <w:sz w:val="18"/>
                      <w:szCs w:val="18"/>
                      <w:highlight w:val="none"/>
                      <w:lang w:eastAsia="zh-CN"/>
                    </w:rPr>
                    <w:t>源强</w:t>
                  </w:r>
                </w:p>
              </w:tc>
              <w:tc>
                <w:tcPr>
                  <w:tcW w:w="683" w:type="dxa"/>
                  <w:gridSpan w:val="2"/>
                  <w:vMerge w:val="restart"/>
                  <w:noWrap w:val="0"/>
                  <w:vAlign w:val="center"/>
                </w:tcPr>
                <w:p w14:paraId="24507A3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污染物</w:t>
                  </w:r>
                </w:p>
              </w:tc>
              <w:tc>
                <w:tcPr>
                  <w:tcW w:w="607" w:type="dxa"/>
                  <w:vMerge w:val="restart"/>
                  <w:noWrap w:val="0"/>
                  <w:vAlign w:val="center"/>
                </w:tcPr>
                <w:p w14:paraId="482B8E2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排气量(m</w:t>
                  </w:r>
                  <w:r>
                    <w:rPr>
                      <w:rFonts w:hint="default" w:ascii="Times New Roman" w:hAnsi="Times New Roman" w:eastAsia="宋体" w:cs="Times New Roman"/>
                      <w:b/>
                      <w:color w:val="auto"/>
                      <w:sz w:val="18"/>
                      <w:szCs w:val="18"/>
                      <w:highlight w:val="none"/>
                      <w:vertAlign w:val="superscript"/>
                    </w:rPr>
                    <w:t>3</w:t>
                  </w:r>
                  <w:r>
                    <w:rPr>
                      <w:rFonts w:hint="default" w:ascii="Times New Roman" w:hAnsi="Times New Roman" w:eastAsia="宋体" w:cs="Times New Roman"/>
                      <w:b/>
                      <w:color w:val="auto"/>
                      <w:sz w:val="18"/>
                      <w:szCs w:val="18"/>
                      <w:highlight w:val="none"/>
                    </w:rPr>
                    <w:t>/h)</w:t>
                  </w:r>
                </w:p>
              </w:tc>
              <w:tc>
                <w:tcPr>
                  <w:tcW w:w="598" w:type="dxa"/>
                  <w:vMerge w:val="restart"/>
                  <w:noWrap w:val="0"/>
                  <w:vAlign w:val="center"/>
                </w:tcPr>
                <w:p w14:paraId="5E870D1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color w:val="auto"/>
                      <w:sz w:val="18"/>
                      <w:szCs w:val="18"/>
                      <w:highlight w:val="none"/>
                      <w:lang w:eastAsia="zh-CN"/>
                    </w:rPr>
                  </w:pPr>
                  <w:r>
                    <w:rPr>
                      <w:rFonts w:hint="eastAsia" w:cs="Times New Roman"/>
                      <w:b/>
                      <w:color w:val="auto"/>
                      <w:sz w:val="18"/>
                      <w:szCs w:val="18"/>
                      <w:highlight w:val="none"/>
                      <w:lang w:eastAsia="zh-CN"/>
                    </w:rPr>
                    <w:t>工作时间</w:t>
                  </w:r>
                  <w:r>
                    <w:rPr>
                      <w:rFonts w:hint="default" w:ascii="Times New Roman" w:hAnsi="Times New Roman" w:eastAsia="宋体" w:cs="Times New Roman"/>
                      <w:b/>
                      <w:color w:val="auto"/>
                      <w:sz w:val="18"/>
                      <w:szCs w:val="18"/>
                      <w:highlight w:val="none"/>
                    </w:rPr>
                    <w:t>(</w:t>
                  </w:r>
                  <w:r>
                    <w:rPr>
                      <w:rFonts w:hint="eastAsia" w:cs="Times New Roman"/>
                      <w:b/>
                      <w:color w:val="auto"/>
                      <w:sz w:val="18"/>
                      <w:szCs w:val="18"/>
                      <w:highlight w:val="none"/>
                      <w:lang w:val="en-US" w:eastAsia="zh-CN"/>
                    </w:rPr>
                    <w:t>h</w:t>
                  </w:r>
                  <w:r>
                    <w:rPr>
                      <w:rFonts w:hint="default" w:ascii="Times New Roman" w:hAnsi="Times New Roman" w:eastAsia="宋体" w:cs="Times New Roman"/>
                      <w:b/>
                      <w:color w:val="auto"/>
                      <w:sz w:val="18"/>
                      <w:szCs w:val="18"/>
                      <w:highlight w:val="none"/>
                    </w:rPr>
                    <w:t>/</w:t>
                  </w:r>
                  <w:r>
                    <w:rPr>
                      <w:rFonts w:hint="eastAsia" w:cs="Times New Roman"/>
                      <w:b/>
                      <w:color w:val="auto"/>
                      <w:sz w:val="18"/>
                      <w:szCs w:val="18"/>
                      <w:highlight w:val="none"/>
                      <w:lang w:val="en-US" w:eastAsia="zh-CN"/>
                    </w:rPr>
                    <w:t>a</w:t>
                  </w:r>
                  <w:r>
                    <w:rPr>
                      <w:rFonts w:hint="default" w:ascii="Times New Roman" w:hAnsi="Times New Roman" w:eastAsia="宋体" w:cs="Times New Roman"/>
                      <w:b/>
                      <w:color w:val="auto"/>
                      <w:sz w:val="18"/>
                      <w:szCs w:val="18"/>
                      <w:highlight w:val="none"/>
                    </w:rPr>
                    <w:t>)</w:t>
                  </w:r>
                </w:p>
              </w:tc>
              <w:tc>
                <w:tcPr>
                  <w:tcW w:w="2226" w:type="dxa"/>
                  <w:gridSpan w:val="3"/>
                  <w:noWrap w:val="0"/>
                  <w:vAlign w:val="center"/>
                </w:tcPr>
                <w:p w14:paraId="3030340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产生情况</w:t>
                  </w:r>
                </w:p>
              </w:tc>
              <w:tc>
                <w:tcPr>
                  <w:tcW w:w="1211" w:type="dxa"/>
                  <w:vMerge w:val="restart"/>
                  <w:noWrap w:val="0"/>
                  <w:vAlign w:val="center"/>
                </w:tcPr>
                <w:p w14:paraId="6DE3B6A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处理方式</w:t>
                  </w:r>
                </w:p>
              </w:tc>
              <w:tc>
                <w:tcPr>
                  <w:tcW w:w="615" w:type="dxa"/>
                  <w:vMerge w:val="restart"/>
                  <w:noWrap w:val="0"/>
                  <w:vAlign w:val="center"/>
                </w:tcPr>
                <w:p w14:paraId="26282F1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去除率</w:t>
                  </w:r>
                </w:p>
              </w:tc>
              <w:tc>
                <w:tcPr>
                  <w:tcW w:w="3390" w:type="dxa"/>
                  <w:gridSpan w:val="3"/>
                  <w:noWrap w:val="0"/>
                  <w:vAlign w:val="center"/>
                </w:tcPr>
                <w:p w14:paraId="1DBC821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排放情况</w:t>
                  </w:r>
                </w:p>
              </w:tc>
              <w:tc>
                <w:tcPr>
                  <w:tcW w:w="1230" w:type="dxa"/>
                  <w:vMerge w:val="restart"/>
                  <w:noWrap w:val="0"/>
                  <w:vAlign w:val="center"/>
                </w:tcPr>
                <w:p w14:paraId="37B883A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排放去向</w:t>
                  </w:r>
                </w:p>
              </w:tc>
            </w:tr>
            <w:tr w14:paraId="53611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0" w:hRule="atLeast"/>
                <w:jc w:val="center"/>
              </w:trPr>
              <w:tc>
                <w:tcPr>
                  <w:tcW w:w="2531" w:type="dxa"/>
                  <w:vMerge w:val="continue"/>
                  <w:noWrap w:val="0"/>
                  <w:vAlign w:val="center"/>
                </w:tcPr>
                <w:p w14:paraId="2B2E3B5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p>
              </w:tc>
              <w:tc>
                <w:tcPr>
                  <w:tcW w:w="683" w:type="dxa"/>
                  <w:gridSpan w:val="2"/>
                  <w:vMerge w:val="continue"/>
                  <w:noWrap w:val="0"/>
                  <w:vAlign w:val="center"/>
                </w:tcPr>
                <w:p w14:paraId="0D5DE81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p>
              </w:tc>
              <w:tc>
                <w:tcPr>
                  <w:tcW w:w="607" w:type="dxa"/>
                  <w:vMerge w:val="continue"/>
                  <w:noWrap w:val="0"/>
                  <w:vAlign w:val="center"/>
                </w:tcPr>
                <w:p w14:paraId="1618134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p>
              </w:tc>
              <w:tc>
                <w:tcPr>
                  <w:tcW w:w="598" w:type="dxa"/>
                  <w:vMerge w:val="continue"/>
                  <w:noWrap w:val="0"/>
                  <w:vAlign w:val="center"/>
                </w:tcPr>
                <w:p w14:paraId="60A4DEA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p>
              </w:tc>
              <w:tc>
                <w:tcPr>
                  <w:tcW w:w="704" w:type="dxa"/>
                  <w:noWrap w:val="0"/>
                  <w:vAlign w:val="center"/>
                </w:tcPr>
                <w:p w14:paraId="06F2465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浓度</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eastAsia" w:ascii="Times New Roman" w:hAnsi="Times New Roman" w:eastAsia="宋体" w:cs="Times New Roman"/>
                      <w:b/>
                      <w:bCs/>
                      <w:color w:val="auto"/>
                      <w:sz w:val="18"/>
                      <w:szCs w:val="18"/>
                      <w:highlight w:val="none"/>
                      <w:lang w:val="en-US" w:eastAsia="zh-CN"/>
                    </w:rPr>
                    <w:t>)</w:t>
                  </w:r>
                </w:p>
              </w:tc>
              <w:tc>
                <w:tcPr>
                  <w:tcW w:w="703" w:type="dxa"/>
                  <w:noWrap w:val="0"/>
                  <w:vAlign w:val="center"/>
                </w:tcPr>
                <w:p w14:paraId="187BD6B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速率</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eastAsia" w:ascii="Times New Roman" w:hAnsi="Times New Roman" w:eastAsia="宋体" w:cs="Times New Roman"/>
                      <w:b/>
                      <w:bCs/>
                      <w:color w:val="auto"/>
                      <w:sz w:val="18"/>
                      <w:szCs w:val="18"/>
                      <w:highlight w:val="none"/>
                      <w:lang w:val="en-US" w:eastAsia="zh-CN"/>
                    </w:rPr>
                    <w:t>)</w:t>
                  </w:r>
                </w:p>
              </w:tc>
              <w:tc>
                <w:tcPr>
                  <w:tcW w:w="819" w:type="dxa"/>
                  <w:noWrap w:val="0"/>
                  <w:vAlign w:val="center"/>
                </w:tcPr>
                <w:p w14:paraId="5F166ED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产生量</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t/a</w:t>
                  </w:r>
                  <w:r>
                    <w:rPr>
                      <w:rFonts w:hint="eastAsia" w:ascii="Times New Roman" w:hAnsi="Times New Roman" w:eastAsia="宋体" w:cs="Times New Roman"/>
                      <w:b/>
                      <w:bCs/>
                      <w:color w:val="auto"/>
                      <w:sz w:val="18"/>
                      <w:szCs w:val="18"/>
                      <w:highlight w:val="none"/>
                      <w:lang w:val="en-US" w:eastAsia="zh-CN"/>
                    </w:rPr>
                    <w:t>)</w:t>
                  </w:r>
                </w:p>
              </w:tc>
              <w:tc>
                <w:tcPr>
                  <w:tcW w:w="1211" w:type="dxa"/>
                  <w:vMerge w:val="continue"/>
                  <w:noWrap w:val="0"/>
                  <w:vAlign w:val="center"/>
                </w:tcPr>
                <w:p w14:paraId="565439F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p>
              </w:tc>
              <w:tc>
                <w:tcPr>
                  <w:tcW w:w="615" w:type="dxa"/>
                  <w:vMerge w:val="continue"/>
                  <w:noWrap w:val="0"/>
                  <w:vAlign w:val="center"/>
                </w:tcPr>
                <w:p w14:paraId="6D6C3F9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p>
              </w:tc>
              <w:tc>
                <w:tcPr>
                  <w:tcW w:w="1230" w:type="dxa"/>
                  <w:noWrap w:val="0"/>
                  <w:vAlign w:val="center"/>
                </w:tcPr>
                <w:p w14:paraId="634F879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浓度</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eastAsia" w:ascii="Times New Roman" w:hAnsi="Times New Roman" w:eastAsia="宋体" w:cs="Times New Roman"/>
                      <w:b/>
                      <w:bCs/>
                      <w:color w:val="auto"/>
                      <w:sz w:val="18"/>
                      <w:szCs w:val="18"/>
                      <w:highlight w:val="none"/>
                      <w:lang w:val="en-US" w:eastAsia="zh-CN"/>
                    </w:rPr>
                    <w:t>)</w:t>
                  </w:r>
                </w:p>
              </w:tc>
              <w:tc>
                <w:tcPr>
                  <w:tcW w:w="1020" w:type="dxa"/>
                  <w:noWrap w:val="0"/>
                  <w:vAlign w:val="center"/>
                </w:tcPr>
                <w:p w14:paraId="379E29B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速率</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eastAsia" w:ascii="Times New Roman" w:hAnsi="Times New Roman" w:eastAsia="宋体" w:cs="Times New Roman"/>
                      <w:b/>
                      <w:bCs/>
                      <w:color w:val="auto"/>
                      <w:sz w:val="18"/>
                      <w:szCs w:val="18"/>
                      <w:highlight w:val="none"/>
                      <w:lang w:val="en-US" w:eastAsia="zh-CN"/>
                    </w:rPr>
                    <w:t>)</w:t>
                  </w:r>
                </w:p>
              </w:tc>
              <w:tc>
                <w:tcPr>
                  <w:tcW w:w="1140" w:type="dxa"/>
                  <w:noWrap w:val="0"/>
                  <w:vAlign w:val="center"/>
                </w:tcPr>
                <w:p w14:paraId="68A7AEE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bCs/>
                      <w:color w:val="auto"/>
                      <w:sz w:val="18"/>
                      <w:szCs w:val="18"/>
                      <w:highlight w:val="none"/>
                    </w:rPr>
                    <w:t>排放量（t/a）</w:t>
                  </w:r>
                </w:p>
              </w:tc>
              <w:tc>
                <w:tcPr>
                  <w:tcW w:w="1230" w:type="dxa"/>
                  <w:vMerge w:val="continue"/>
                  <w:noWrap w:val="0"/>
                  <w:vAlign w:val="center"/>
                </w:tcPr>
                <w:p w14:paraId="36ED168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b/>
                      <w:bCs/>
                      <w:color w:val="auto"/>
                      <w:sz w:val="18"/>
                      <w:szCs w:val="18"/>
                      <w:highlight w:val="none"/>
                    </w:rPr>
                  </w:pPr>
                </w:p>
              </w:tc>
            </w:tr>
            <w:tr w14:paraId="05BDF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vMerge w:val="restart"/>
                  <w:noWrap w:val="0"/>
                  <w:vAlign w:val="center"/>
                </w:tcPr>
                <w:p w14:paraId="4445D17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3号楼1#线3D打印</w:t>
                  </w:r>
                  <w:r>
                    <w:rPr>
                      <w:rFonts w:hint="default" w:ascii="Times New Roman" w:hAnsi="Times New Roman" w:eastAsia="宋体" w:cs="Times New Roman"/>
                      <w:color w:val="auto"/>
                      <w:sz w:val="18"/>
                      <w:szCs w:val="18"/>
                      <w:highlight w:val="none"/>
                      <w:lang w:val="en-US" w:eastAsia="zh-CN"/>
                    </w:rPr>
                    <w:t>、甩干废气、后处理线废气以及室温搅拌废气和注塑成型废气</w:t>
                  </w:r>
                </w:p>
              </w:tc>
              <w:tc>
                <w:tcPr>
                  <w:tcW w:w="683" w:type="dxa"/>
                  <w:gridSpan w:val="2"/>
                  <w:noWrap w:val="0"/>
                  <w:vAlign w:val="center"/>
                </w:tcPr>
                <w:p w14:paraId="48766CC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非甲烷总烃</w:t>
                  </w:r>
                </w:p>
              </w:tc>
              <w:tc>
                <w:tcPr>
                  <w:tcW w:w="607" w:type="dxa"/>
                  <w:vMerge w:val="restart"/>
                  <w:noWrap w:val="0"/>
                  <w:vAlign w:val="center"/>
                </w:tcPr>
                <w:p w14:paraId="1B08911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0"/>
                      <w:sz w:val="18"/>
                      <w:szCs w:val="18"/>
                      <w:highlight w:val="none"/>
                      <w:lang w:val="en-US" w:eastAsia="zh-CN" w:bidi="ar"/>
                    </w:rPr>
                    <w:t>26000</w:t>
                  </w:r>
                </w:p>
              </w:tc>
              <w:tc>
                <w:tcPr>
                  <w:tcW w:w="598" w:type="dxa"/>
                  <w:noWrap w:val="0"/>
                  <w:vAlign w:val="center"/>
                </w:tcPr>
                <w:p w14:paraId="6FA0DC7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1800</w:t>
                  </w:r>
                </w:p>
              </w:tc>
              <w:tc>
                <w:tcPr>
                  <w:tcW w:w="704" w:type="dxa"/>
                  <w:noWrap w:val="0"/>
                  <w:vAlign w:val="center"/>
                </w:tcPr>
                <w:p w14:paraId="447684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2"/>
                      <w:sz w:val="18"/>
                      <w:szCs w:val="18"/>
                      <w:highlight w:val="none"/>
                    </w:rPr>
                    <w:t>9.74</w:t>
                  </w:r>
                </w:p>
              </w:tc>
              <w:tc>
                <w:tcPr>
                  <w:tcW w:w="703" w:type="dxa"/>
                  <w:noWrap w:val="0"/>
                  <w:vAlign w:val="center"/>
                </w:tcPr>
                <w:p w14:paraId="2801CCE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0.2533 </w:t>
                  </w:r>
                </w:p>
              </w:tc>
              <w:tc>
                <w:tcPr>
                  <w:tcW w:w="819" w:type="dxa"/>
                  <w:noWrap w:val="0"/>
                  <w:vAlign w:val="center"/>
                </w:tcPr>
                <w:p w14:paraId="07113C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2"/>
                      <w:sz w:val="18"/>
                      <w:szCs w:val="18"/>
                      <w:highlight w:val="none"/>
                    </w:rPr>
                    <w:t>0.456</w:t>
                  </w:r>
                </w:p>
              </w:tc>
              <w:tc>
                <w:tcPr>
                  <w:tcW w:w="1211" w:type="dxa"/>
                  <w:vMerge w:val="restart"/>
                  <w:noWrap w:val="0"/>
                  <w:vAlign w:val="center"/>
                </w:tcPr>
                <w:p w14:paraId="1F3891E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一级碱喷淋+一级水喷淋+ 除雾器+二级活性炭</w:t>
                  </w:r>
                </w:p>
              </w:tc>
              <w:tc>
                <w:tcPr>
                  <w:tcW w:w="615" w:type="dxa"/>
                  <w:vMerge w:val="restart"/>
                  <w:noWrap w:val="0"/>
                  <w:vAlign w:val="center"/>
                </w:tcPr>
                <w:p w14:paraId="477711C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90%</w:t>
                  </w:r>
                </w:p>
              </w:tc>
              <w:tc>
                <w:tcPr>
                  <w:tcW w:w="1230" w:type="dxa"/>
                  <w:noWrap w:val="0"/>
                  <w:vAlign w:val="center"/>
                </w:tcPr>
                <w:p w14:paraId="267FE8E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2"/>
                      <w:sz w:val="18"/>
                      <w:szCs w:val="18"/>
                      <w:highlight w:val="none"/>
                    </w:rPr>
                    <w:t>0.974</w:t>
                  </w:r>
                </w:p>
              </w:tc>
              <w:tc>
                <w:tcPr>
                  <w:tcW w:w="1020" w:type="dxa"/>
                  <w:noWrap w:val="0"/>
                  <w:vAlign w:val="center"/>
                </w:tcPr>
                <w:p w14:paraId="77D4A0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1"/>
                      <w:sz w:val="18"/>
                      <w:szCs w:val="18"/>
                      <w:highlight w:val="none"/>
                    </w:rPr>
                    <w:t>0.0253</w:t>
                  </w:r>
                </w:p>
              </w:tc>
              <w:tc>
                <w:tcPr>
                  <w:tcW w:w="1140" w:type="dxa"/>
                  <w:noWrap w:val="0"/>
                  <w:vAlign w:val="center"/>
                </w:tcPr>
                <w:p w14:paraId="05EB5D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1"/>
                      <w:sz w:val="18"/>
                      <w:szCs w:val="18"/>
                      <w:highlight w:val="none"/>
                    </w:rPr>
                    <w:t>0.0456</w:t>
                  </w:r>
                </w:p>
              </w:tc>
              <w:tc>
                <w:tcPr>
                  <w:tcW w:w="1230" w:type="dxa"/>
                  <w:vMerge w:val="restart"/>
                  <w:noWrap w:val="0"/>
                  <w:vAlign w:val="center"/>
                </w:tcPr>
                <w:p w14:paraId="6B91FB4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FQ01</w:t>
                  </w:r>
                </w:p>
              </w:tc>
            </w:tr>
            <w:tr w14:paraId="5EBA6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vMerge w:val="continue"/>
                  <w:noWrap w:val="0"/>
                  <w:vAlign w:val="center"/>
                </w:tcPr>
                <w:p w14:paraId="2A3DEBD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p>
              </w:tc>
              <w:tc>
                <w:tcPr>
                  <w:tcW w:w="394" w:type="dxa"/>
                  <w:noWrap w:val="0"/>
                  <w:vAlign w:val="center"/>
                </w:tcPr>
                <w:p w14:paraId="074F656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包含</w:t>
                  </w:r>
                </w:p>
              </w:tc>
              <w:tc>
                <w:tcPr>
                  <w:tcW w:w="289" w:type="dxa"/>
                  <w:noWrap w:val="0"/>
                  <w:vAlign w:val="center"/>
                </w:tcPr>
                <w:p w14:paraId="3A2F5D1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酚类</w:t>
                  </w:r>
                </w:p>
              </w:tc>
              <w:tc>
                <w:tcPr>
                  <w:tcW w:w="607" w:type="dxa"/>
                  <w:vMerge w:val="continue"/>
                  <w:noWrap w:val="0"/>
                  <w:vAlign w:val="center"/>
                </w:tcPr>
                <w:p w14:paraId="751C1B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18"/>
                      <w:szCs w:val="18"/>
                      <w:highlight w:val="none"/>
                    </w:rPr>
                  </w:pPr>
                </w:p>
              </w:tc>
              <w:tc>
                <w:tcPr>
                  <w:tcW w:w="598" w:type="dxa"/>
                  <w:noWrap w:val="0"/>
                  <w:vAlign w:val="center"/>
                </w:tcPr>
                <w:p w14:paraId="0C60E79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1800</w:t>
                  </w:r>
                </w:p>
              </w:tc>
              <w:tc>
                <w:tcPr>
                  <w:tcW w:w="704" w:type="dxa"/>
                  <w:noWrap w:val="0"/>
                  <w:vAlign w:val="center"/>
                </w:tcPr>
                <w:p w14:paraId="5E682B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2"/>
                      <w:sz w:val="18"/>
                      <w:szCs w:val="18"/>
                      <w:highlight w:val="none"/>
                    </w:rPr>
                    <w:t>0.684</w:t>
                  </w:r>
                </w:p>
              </w:tc>
              <w:tc>
                <w:tcPr>
                  <w:tcW w:w="703" w:type="dxa"/>
                  <w:noWrap w:val="0"/>
                  <w:vAlign w:val="center"/>
                </w:tcPr>
                <w:p w14:paraId="725571F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0.0178 </w:t>
                  </w:r>
                </w:p>
              </w:tc>
              <w:tc>
                <w:tcPr>
                  <w:tcW w:w="819" w:type="dxa"/>
                  <w:noWrap w:val="0"/>
                  <w:vAlign w:val="center"/>
                </w:tcPr>
                <w:p w14:paraId="4AD421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2"/>
                      <w:sz w:val="18"/>
                      <w:szCs w:val="18"/>
                      <w:highlight w:val="none"/>
                    </w:rPr>
                    <w:t>0.032</w:t>
                  </w:r>
                </w:p>
              </w:tc>
              <w:tc>
                <w:tcPr>
                  <w:tcW w:w="1211" w:type="dxa"/>
                  <w:vMerge w:val="continue"/>
                  <w:noWrap w:val="0"/>
                  <w:vAlign w:val="center"/>
                </w:tcPr>
                <w:p w14:paraId="748C070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p>
              </w:tc>
              <w:tc>
                <w:tcPr>
                  <w:tcW w:w="615" w:type="dxa"/>
                  <w:vMerge w:val="continue"/>
                  <w:noWrap w:val="0"/>
                  <w:vAlign w:val="center"/>
                </w:tcPr>
                <w:p w14:paraId="1EC60DF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18"/>
                      <w:szCs w:val="18"/>
                      <w:highlight w:val="none"/>
                    </w:rPr>
                  </w:pPr>
                </w:p>
              </w:tc>
              <w:tc>
                <w:tcPr>
                  <w:tcW w:w="1230" w:type="dxa"/>
                  <w:noWrap w:val="0"/>
                  <w:vAlign w:val="center"/>
                </w:tcPr>
                <w:p w14:paraId="36E321F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1"/>
                      <w:sz w:val="18"/>
                      <w:szCs w:val="18"/>
                      <w:highlight w:val="none"/>
                    </w:rPr>
                    <w:t>0.0684</w:t>
                  </w:r>
                </w:p>
              </w:tc>
              <w:tc>
                <w:tcPr>
                  <w:tcW w:w="1020" w:type="dxa"/>
                  <w:noWrap w:val="0"/>
                  <w:vAlign w:val="center"/>
                </w:tcPr>
                <w:p w14:paraId="5F3BE68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1"/>
                      <w:sz w:val="18"/>
                      <w:szCs w:val="18"/>
                      <w:highlight w:val="none"/>
                    </w:rPr>
                    <w:t>0.0018</w:t>
                  </w:r>
                </w:p>
              </w:tc>
              <w:tc>
                <w:tcPr>
                  <w:tcW w:w="1140" w:type="dxa"/>
                  <w:noWrap w:val="0"/>
                  <w:vAlign w:val="center"/>
                </w:tcPr>
                <w:p w14:paraId="6882A0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default" w:ascii="Times New Roman" w:hAnsi="Times New Roman" w:eastAsia="Times New Roman" w:cs="Times New Roman"/>
                      <w:color w:val="auto"/>
                      <w:spacing w:val="-1"/>
                      <w:sz w:val="18"/>
                      <w:szCs w:val="18"/>
                      <w:highlight w:val="none"/>
                    </w:rPr>
                    <w:t>0.0032</w:t>
                  </w:r>
                </w:p>
              </w:tc>
              <w:tc>
                <w:tcPr>
                  <w:tcW w:w="1230" w:type="dxa"/>
                  <w:vMerge w:val="continue"/>
                  <w:noWrap w:val="0"/>
                  <w:vAlign w:val="center"/>
                </w:tcPr>
                <w:p w14:paraId="0B51075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18"/>
                      <w:szCs w:val="18"/>
                      <w:highlight w:val="none"/>
                      <w:lang w:bidi="ar"/>
                    </w:rPr>
                  </w:pPr>
                </w:p>
              </w:tc>
            </w:tr>
            <w:tr w14:paraId="4B8CA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noWrap w:val="0"/>
                  <w:vAlign w:val="center"/>
                </w:tcPr>
                <w:p w14:paraId="54AC84C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2号楼3#线3D打印</w:t>
                  </w:r>
                  <w:r>
                    <w:rPr>
                      <w:rFonts w:hint="default" w:ascii="Times New Roman" w:hAnsi="Times New Roman" w:eastAsia="宋体" w:cs="Times New Roman"/>
                      <w:color w:val="auto"/>
                      <w:sz w:val="18"/>
                      <w:szCs w:val="18"/>
                      <w:highlight w:val="none"/>
                    </w:rPr>
                    <w:t>、甩干废气、后处理线废气</w:t>
                  </w:r>
                </w:p>
              </w:tc>
              <w:tc>
                <w:tcPr>
                  <w:tcW w:w="683" w:type="dxa"/>
                  <w:gridSpan w:val="2"/>
                  <w:noWrap w:val="0"/>
                  <w:vAlign w:val="center"/>
                </w:tcPr>
                <w:p w14:paraId="1484D83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非甲烷总烃</w:t>
                  </w:r>
                </w:p>
              </w:tc>
              <w:tc>
                <w:tcPr>
                  <w:tcW w:w="607" w:type="dxa"/>
                  <w:noWrap w:val="0"/>
                  <w:vAlign w:val="center"/>
                </w:tcPr>
                <w:p w14:paraId="1A36D5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20000</w:t>
                  </w:r>
                </w:p>
              </w:tc>
              <w:tc>
                <w:tcPr>
                  <w:tcW w:w="598" w:type="dxa"/>
                  <w:noWrap w:val="0"/>
                  <w:vAlign w:val="center"/>
                </w:tcPr>
                <w:p w14:paraId="5424BAD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1800</w:t>
                  </w:r>
                </w:p>
              </w:tc>
              <w:tc>
                <w:tcPr>
                  <w:tcW w:w="704" w:type="dxa"/>
                  <w:noWrap w:val="0"/>
                  <w:vAlign w:val="center"/>
                </w:tcPr>
                <w:p w14:paraId="0B9E894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8</w:t>
                  </w:r>
                </w:p>
              </w:tc>
              <w:tc>
                <w:tcPr>
                  <w:tcW w:w="703" w:type="dxa"/>
                  <w:noWrap w:val="0"/>
                  <w:vAlign w:val="center"/>
                </w:tcPr>
                <w:p w14:paraId="5E099C0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0.1600</w:t>
                  </w:r>
                </w:p>
              </w:tc>
              <w:tc>
                <w:tcPr>
                  <w:tcW w:w="819" w:type="dxa"/>
                  <w:noWrap w:val="0"/>
                  <w:vAlign w:val="center"/>
                </w:tcPr>
                <w:p w14:paraId="370599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spacing w:val="-2"/>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0.288</w:t>
                  </w:r>
                </w:p>
              </w:tc>
              <w:tc>
                <w:tcPr>
                  <w:tcW w:w="1211" w:type="dxa"/>
                  <w:noWrap w:val="0"/>
                  <w:vAlign w:val="center"/>
                </w:tcPr>
                <w:p w14:paraId="388F8E6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一级碱喷淋+一级水喷淋+ 除雾器+二级活性炭</w:t>
                  </w:r>
                </w:p>
              </w:tc>
              <w:tc>
                <w:tcPr>
                  <w:tcW w:w="615" w:type="dxa"/>
                  <w:noWrap w:val="0"/>
                  <w:vAlign w:val="center"/>
                </w:tcPr>
                <w:p w14:paraId="499D90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90%</w:t>
                  </w:r>
                </w:p>
              </w:tc>
              <w:tc>
                <w:tcPr>
                  <w:tcW w:w="1230" w:type="dxa"/>
                  <w:noWrap w:val="0"/>
                  <w:vAlign w:val="center"/>
                </w:tcPr>
                <w:p w14:paraId="01FD3F8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0.8</w:t>
                  </w:r>
                </w:p>
              </w:tc>
              <w:tc>
                <w:tcPr>
                  <w:tcW w:w="1020" w:type="dxa"/>
                  <w:noWrap w:val="0"/>
                  <w:vAlign w:val="center"/>
                </w:tcPr>
                <w:p w14:paraId="4873BC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0.016</w:t>
                  </w:r>
                </w:p>
              </w:tc>
              <w:tc>
                <w:tcPr>
                  <w:tcW w:w="1140" w:type="dxa"/>
                  <w:noWrap w:val="0"/>
                  <w:vAlign w:val="center"/>
                </w:tcPr>
                <w:p w14:paraId="65BCB7D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1"/>
                      <w:sz w:val="18"/>
                      <w:szCs w:val="18"/>
                      <w:highlight w:val="none"/>
                    </w:rPr>
                    <w:t>0.0288</w:t>
                  </w:r>
                </w:p>
              </w:tc>
              <w:tc>
                <w:tcPr>
                  <w:tcW w:w="1230" w:type="dxa"/>
                  <w:noWrap w:val="0"/>
                  <w:vAlign w:val="center"/>
                </w:tcPr>
                <w:p w14:paraId="149689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bidi="ar"/>
                    </w:rPr>
                    <w:t>FQ</w:t>
                  </w:r>
                  <w:r>
                    <w:rPr>
                      <w:rFonts w:hint="eastAsia" w:cs="Times New Roman"/>
                      <w:color w:val="auto"/>
                      <w:kern w:val="0"/>
                      <w:sz w:val="18"/>
                      <w:szCs w:val="18"/>
                      <w:highlight w:val="none"/>
                      <w:lang w:val="en-US" w:eastAsia="zh-CN" w:bidi="ar"/>
                    </w:rPr>
                    <w:t>03</w:t>
                  </w:r>
                </w:p>
              </w:tc>
            </w:tr>
            <w:tr w14:paraId="079DC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noWrap w:val="0"/>
                  <w:vAlign w:val="center"/>
                </w:tcPr>
                <w:p w14:paraId="162849F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1号楼4#线3D打印</w:t>
                  </w:r>
                  <w:r>
                    <w:rPr>
                      <w:rFonts w:hint="default" w:ascii="Times New Roman" w:hAnsi="Times New Roman" w:eastAsia="宋体" w:cs="Times New Roman"/>
                      <w:color w:val="auto"/>
                      <w:sz w:val="18"/>
                      <w:szCs w:val="18"/>
                      <w:highlight w:val="none"/>
                    </w:rPr>
                    <w:t>、甩干废气、后处理线废气</w:t>
                  </w:r>
                </w:p>
              </w:tc>
              <w:tc>
                <w:tcPr>
                  <w:tcW w:w="683" w:type="dxa"/>
                  <w:gridSpan w:val="2"/>
                  <w:noWrap w:val="0"/>
                  <w:vAlign w:val="center"/>
                </w:tcPr>
                <w:p w14:paraId="6D79A6A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非甲烷总烃</w:t>
                  </w:r>
                </w:p>
              </w:tc>
              <w:tc>
                <w:tcPr>
                  <w:tcW w:w="607" w:type="dxa"/>
                  <w:noWrap w:val="0"/>
                  <w:vAlign w:val="center"/>
                </w:tcPr>
                <w:p w14:paraId="0A4E69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20000</w:t>
                  </w:r>
                </w:p>
              </w:tc>
              <w:tc>
                <w:tcPr>
                  <w:tcW w:w="598" w:type="dxa"/>
                  <w:noWrap w:val="0"/>
                  <w:vAlign w:val="center"/>
                </w:tcPr>
                <w:p w14:paraId="1859D5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auto"/>
                      <w:sz w:val="18"/>
                      <w:szCs w:val="18"/>
                      <w:highlight w:val="none"/>
                      <w:lang w:val="en-US" w:eastAsia="zh-CN"/>
                    </w:rPr>
                  </w:pPr>
                  <w:r>
                    <w:rPr>
                      <w:rFonts w:hint="eastAsia" w:cs="Times New Roman"/>
                      <w:color w:val="auto"/>
                      <w:kern w:val="0"/>
                      <w:sz w:val="18"/>
                      <w:szCs w:val="18"/>
                      <w:highlight w:val="none"/>
                      <w:lang w:val="en-US" w:eastAsia="zh-CN" w:bidi="ar"/>
                    </w:rPr>
                    <w:t>1800</w:t>
                  </w:r>
                </w:p>
              </w:tc>
              <w:tc>
                <w:tcPr>
                  <w:tcW w:w="704" w:type="dxa"/>
                  <w:noWrap w:val="0"/>
                  <w:vAlign w:val="center"/>
                </w:tcPr>
                <w:p w14:paraId="6C61E5B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z w:val="18"/>
                      <w:szCs w:val="18"/>
                      <w:highlight w:val="none"/>
                    </w:rPr>
                    <w:t>8</w:t>
                  </w:r>
                </w:p>
              </w:tc>
              <w:tc>
                <w:tcPr>
                  <w:tcW w:w="703" w:type="dxa"/>
                  <w:noWrap w:val="0"/>
                  <w:vAlign w:val="center"/>
                </w:tcPr>
                <w:p w14:paraId="62F33D4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0.1600</w:t>
                  </w:r>
                </w:p>
              </w:tc>
              <w:tc>
                <w:tcPr>
                  <w:tcW w:w="819" w:type="dxa"/>
                  <w:noWrap w:val="0"/>
                  <w:vAlign w:val="center"/>
                </w:tcPr>
                <w:p w14:paraId="24B0925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spacing w:val="-2"/>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0.288</w:t>
                  </w:r>
                </w:p>
              </w:tc>
              <w:tc>
                <w:tcPr>
                  <w:tcW w:w="1211" w:type="dxa"/>
                  <w:noWrap w:val="0"/>
                  <w:vAlign w:val="center"/>
                </w:tcPr>
                <w:p w14:paraId="68FB928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一级碱喷淋+一级水喷淋+ 除雾器+二级活性炭</w:t>
                  </w:r>
                </w:p>
              </w:tc>
              <w:tc>
                <w:tcPr>
                  <w:tcW w:w="615" w:type="dxa"/>
                  <w:noWrap w:val="0"/>
                  <w:vAlign w:val="center"/>
                </w:tcPr>
                <w:p w14:paraId="4178B5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90%</w:t>
                  </w:r>
                </w:p>
              </w:tc>
              <w:tc>
                <w:tcPr>
                  <w:tcW w:w="1230" w:type="dxa"/>
                  <w:noWrap w:val="0"/>
                  <w:vAlign w:val="center"/>
                </w:tcPr>
                <w:p w14:paraId="061BCF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0.8</w:t>
                  </w:r>
                </w:p>
              </w:tc>
              <w:tc>
                <w:tcPr>
                  <w:tcW w:w="1020" w:type="dxa"/>
                  <w:noWrap w:val="0"/>
                  <w:vAlign w:val="center"/>
                </w:tcPr>
                <w:p w14:paraId="672519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0.016</w:t>
                  </w:r>
                </w:p>
              </w:tc>
              <w:tc>
                <w:tcPr>
                  <w:tcW w:w="1140" w:type="dxa"/>
                  <w:noWrap w:val="0"/>
                  <w:vAlign w:val="center"/>
                </w:tcPr>
                <w:p w14:paraId="577970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1"/>
                      <w:sz w:val="18"/>
                      <w:szCs w:val="18"/>
                      <w:highlight w:val="none"/>
                    </w:rPr>
                    <w:t>0.0288</w:t>
                  </w:r>
                </w:p>
              </w:tc>
              <w:tc>
                <w:tcPr>
                  <w:tcW w:w="1230" w:type="dxa"/>
                  <w:noWrap w:val="0"/>
                  <w:vAlign w:val="center"/>
                </w:tcPr>
                <w:p w14:paraId="5216B7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bidi="ar"/>
                    </w:rPr>
                    <w:t>FQ</w:t>
                  </w:r>
                  <w:r>
                    <w:rPr>
                      <w:rFonts w:hint="eastAsia" w:cs="Times New Roman"/>
                      <w:color w:val="auto"/>
                      <w:kern w:val="0"/>
                      <w:sz w:val="18"/>
                      <w:szCs w:val="18"/>
                      <w:highlight w:val="none"/>
                      <w:lang w:val="en-US" w:eastAsia="zh-CN" w:bidi="ar"/>
                    </w:rPr>
                    <w:t>04</w:t>
                  </w:r>
                </w:p>
              </w:tc>
            </w:tr>
            <w:tr w14:paraId="2A5C1C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noWrap w:val="0"/>
                  <w:vAlign w:val="center"/>
                </w:tcPr>
                <w:p w14:paraId="69BEBB2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1号楼5#线3D打印</w:t>
                  </w:r>
                  <w:r>
                    <w:rPr>
                      <w:rFonts w:hint="default" w:ascii="Times New Roman" w:hAnsi="Times New Roman" w:eastAsia="宋体" w:cs="Times New Roman"/>
                      <w:color w:val="auto"/>
                      <w:sz w:val="18"/>
                      <w:szCs w:val="18"/>
                      <w:highlight w:val="none"/>
                    </w:rPr>
                    <w:t>、甩干废气、后处理线废气</w:t>
                  </w:r>
                </w:p>
              </w:tc>
              <w:tc>
                <w:tcPr>
                  <w:tcW w:w="683" w:type="dxa"/>
                  <w:gridSpan w:val="2"/>
                  <w:noWrap w:val="0"/>
                  <w:vAlign w:val="center"/>
                </w:tcPr>
                <w:p w14:paraId="5988865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非甲烷总烃</w:t>
                  </w:r>
                </w:p>
              </w:tc>
              <w:tc>
                <w:tcPr>
                  <w:tcW w:w="607" w:type="dxa"/>
                  <w:noWrap w:val="0"/>
                  <w:vAlign w:val="center"/>
                </w:tcPr>
                <w:p w14:paraId="43E126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26000</w:t>
                  </w:r>
                </w:p>
              </w:tc>
              <w:tc>
                <w:tcPr>
                  <w:tcW w:w="598" w:type="dxa"/>
                  <w:noWrap w:val="0"/>
                  <w:vAlign w:val="center"/>
                </w:tcPr>
                <w:p w14:paraId="1DBFAD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1800</w:t>
                  </w:r>
                </w:p>
              </w:tc>
              <w:tc>
                <w:tcPr>
                  <w:tcW w:w="704" w:type="dxa"/>
                  <w:noWrap w:val="0"/>
                  <w:vAlign w:val="center"/>
                </w:tcPr>
                <w:p w14:paraId="31958BF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4"/>
                      <w:sz w:val="18"/>
                      <w:szCs w:val="18"/>
                      <w:highlight w:val="none"/>
                    </w:rPr>
                    <w:t>8.3</w:t>
                  </w:r>
                </w:p>
              </w:tc>
              <w:tc>
                <w:tcPr>
                  <w:tcW w:w="703" w:type="dxa"/>
                  <w:noWrap w:val="0"/>
                  <w:vAlign w:val="center"/>
                </w:tcPr>
                <w:p w14:paraId="72D677B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0.2167</w:t>
                  </w:r>
                </w:p>
              </w:tc>
              <w:tc>
                <w:tcPr>
                  <w:tcW w:w="819" w:type="dxa"/>
                  <w:noWrap w:val="0"/>
                  <w:vAlign w:val="center"/>
                </w:tcPr>
                <w:p w14:paraId="26EB9F1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spacing w:val="-2"/>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0.39</w:t>
                  </w:r>
                </w:p>
              </w:tc>
              <w:tc>
                <w:tcPr>
                  <w:tcW w:w="1211" w:type="dxa"/>
                  <w:noWrap w:val="0"/>
                  <w:vAlign w:val="center"/>
                </w:tcPr>
                <w:p w14:paraId="4EDCB3E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一级碱喷淋+一级水喷淋+ 除雾器+二级活性炭</w:t>
                  </w:r>
                </w:p>
              </w:tc>
              <w:tc>
                <w:tcPr>
                  <w:tcW w:w="615" w:type="dxa"/>
                  <w:noWrap w:val="0"/>
                  <w:vAlign w:val="center"/>
                </w:tcPr>
                <w:p w14:paraId="3AA162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90%</w:t>
                  </w:r>
                </w:p>
              </w:tc>
              <w:tc>
                <w:tcPr>
                  <w:tcW w:w="1230" w:type="dxa"/>
                  <w:noWrap w:val="0"/>
                  <w:vAlign w:val="center"/>
                </w:tcPr>
                <w:p w14:paraId="0E2CE36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0.83</w:t>
                  </w:r>
                </w:p>
              </w:tc>
              <w:tc>
                <w:tcPr>
                  <w:tcW w:w="1020" w:type="dxa"/>
                  <w:noWrap w:val="0"/>
                  <w:vAlign w:val="center"/>
                </w:tcPr>
                <w:p w14:paraId="6B8A7D0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1"/>
                      <w:sz w:val="18"/>
                      <w:szCs w:val="18"/>
                      <w:highlight w:val="none"/>
                    </w:rPr>
                    <w:t>0.0217</w:t>
                  </w:r>
                </w:p>
              </w:tc>
              <w:tc>
                <w:tcPr>
                  <w:tcW w:w="1140" w:type="dxa"/>
                  <w:noWrap w:val="0"/>
                  <w:vAlign w:val="center"/>
                </w:tcPr>
                <w:p w14:paraId="012B4D7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0.039</w:t>
                  </w:r>
                </w:p>
              </w:tc>
              <w:tc>
                <w:tcPr>
                  <w:tcW w:w="1230" w:type="dxa"/>
                  <w:noWrap w:val="0"/>
                  <w:vAlign w:val="center"/>
                </w:tcPr>
                <w:p w14:paraId="199D44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bidi="ar"/>
                    </w:rPr>
                    <w:t>FQ</w:t>
                  </w:r>
                  <w:r>
                    <w:rPr>
                      <w:rFonts w:hint="eastAsia" w:cs="Times New Roman"/>
                      <w:color w:val="auto"/>
                      <w:kern w:val="0"/>
                      <w:sz w:val="18"/>
                      <w:szCs w:val="18"/>
                      <w:highlight w:val="none"/>
                      <w:lang w:val="en-US" w:eastAsia="zh-CN" w:bidi="ar"/>
                    </w:rPr>
                    <w:t>05</w:t>
                  </w:r>
                </w:p>
              </w:tc>
            </w:tr>
            <w:tr w14:paraId="53E37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noWrap w:val="0"/>
                  <w:vAlign w:val="center"/>
                </w:tcPr>
                <w:p w14:paraId="70197C0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4号楼6#线3D打印</w:t>
                  </w:r>
                  <w:r>
                    <w:rPr>
                      <w:rFonts w:hint="default" w:ascii="Times New Roman" w:hAnsi="Times New Roman" w:eastAsia="宋体" w:cs="Times New Roman"/>
                      <w:color w:val="auto"/>
                      <w:sz w:val="18"/>
                      <w:szCs w:val="18"/>
                      <w:highlight w:val="none"/>
                    </w:rPr>
                    <w:t>、甩干废气、后处理线废气</w:t>
                  </w:r>
                </w:p>
              </w:tc>
              <w:tc>
                <w:tcPr>
                  <w:tcW w:w="683" w:type="dxa"/>
                  <w:gridSpan w:val="2"/>
                  <w:noWrap w:val="0"/>
                  <w:vAlign w:val="center"/>
                </w:tcPr>
                <w:p w14:paraId="05D8D7B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非甲烷总烃</w:t>
                  </w:r>
                </w:p>
              </w:tc>
              <w:tc>
                <w:tcPr>
                  <w:tcW w:w="607" w:type="dxa"/>
                  <w:noWrap w:val="0"/>
                  <w:vAlign w:val="center"/>
                </w:tcPr>
                <w:p w14:paraId="5095A2F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26000</w:t>
                  </w:r>
                </w:p>
              </w:tc>
              <w:tc>
                <w:tcPr>
                  <w:tcW w:w="598" w:type="dxa"/>
                  <w:noWrap w:val="0"/>
                  <w:vAlign w:val="center"/>
                </w:tcPr>
                <w:p w14:paraId="4E8A3AF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jc w:val="center"/>
                    <w:textAlignment w:val="center"/>
                    <w:rPr>
                      <w:rFonts w:hint="eastAsia" w:cs="Times New Roman"/>
                      <w:color w:val="auto"/>
                      <w:sz w:val="18"/>
                      <w:szCs w:val="18"/>
                      <w:highlight w:val="none"/>
                      <w:lang w:val="en-US" w:eastAsia="zh-CN"/>
                    </w:rPr>
                  </w:pPr>
                  <w:r>
                    <w:rPr>
                      <w:rFonts w:hint="eastAsia" w:cs="Times New Roman"/>
                      <w:color w:val="auto"/>
                      <w:kern w:val="0"/>
                      <w:sz w:val="18"/>
                      <w:szCs w:val="18"/>
                      <w:highlight w:val="none"/>
                      <w:lang w:val="en-US" w:eastAsia="zh-CN" w:bidi="ar"/>
                    </w:rPr>
                    <w:t>1800</w:t>
                  </w:r>
                </w:p>
              </w:tc>
              <w:tc>
                <w:tcPr>
                  <w:tcW w:w="704" w:type="dxa"/>
                  <w:noWrap w:val="0"/>
                  <w:vAlign w:val="center"/>
                </w:tcPr>
                <w:p w14:paraId="087EFF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4"/>
                      <w:sz w:val="18"/>
                      <w:szCs w:val="18"/>
                      <w:highlight w:val="none"/>
                    </w:rPr>
                    <w:t>8.3</w:t>
                  </w:r>
                </w:p>
              </w:tc>
              <w:tc>
                <w:tcPr>
                  <w:tcW w:w="703" w:type="dxa"/>
                  <w:noWrap w:val="0"/>
                  <w:vAlign w:val="center"/>
                </w:tcPr>
                <w:p w14:paraId="776E4B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13"/>
                      <w:szCs w:val="13"/>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0.2167</w:t>
                  </w:r>
                </w:p>
              </w:tc>
              <w:tc>
                <w:tcPr>
                  <w:tcW w:w="819" w:type="dxa"/>
                  <w:noWrap w:val="0"/>
                  <w:vAlign w:val="center"/>
                </w:tcPr>
                <w:p w14:paraId="0814BD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spacing w:val="-2"/>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0.39</w:t>
                  </w:r>
                </w:p>
              </w:tc>
              <w:tc>
                <w:tcPr>
                  <w:tcW w:w="1211" w:type="dxa"/>
                  <w:noWrap w:val="0"/>
                  <w:vAlign w:val="center"/>
                </w:tcPr>
                <w:p w14:paraId="303BDBA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一级碱喷淋+一级水喷淋+ 除雾器+二级活性炭</w:t>
                  </w:r>
                </w:p>
              </w:tc>
              <w:tc>
                <w:tcPr>
                  <w:tcW w:w="615" w:type="dxa"/>
                  <w:noWrap w:val="0"/>
                  <w:vAlign w:val="center"/>
                </w:tcPr>
                <w:p w14:paraId="57BA51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90%</w:t>
                  </w:r>
                </w:p>
              </w:tc>
              <w:tc>
                <w:tcPr>
                  <w:tcW w:w="1230" w:type="dxa"/>
                  <w:noWrap w:val="0"/>
                  <w:vAlign w:val="center"/>
                </w:tcPr>
                <w:p w14:paraId="1D0D05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0.83</w:t>
                  </w:r>
                </w:p>
              </w:tc>
              <w:tc>
                <w:tcPr>
                  <w:tcW w:w="1020" w:type="dxa"/>
                  <w:noWrap w:val="0"/>
                  <w:vAlign w:val="center"/>
                </w:tcPr>
                <w:p w14:paraId="153A29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1"/>
                      <w:sz w:val="18"/>
                      <w:szCs w:val="18"/>
                      <w:highlight w:val="none"/>
                    </w:rPr>
                    <w:t>0.0217</w:t>
                  </w:r>
                </w:p>
              </w:tc>
              <w:tc>
                <w:tcPr>
                  <w:tcW w:w="1140" w:type="dxa"/>
                  <w:noWrap w:val="0"/>
                  <w:vAlign w:val="center"/>
                </w:tcPr>
                <w:p w14:paraId="24733C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Times New Roman" w:cs="Times New Roman"/>
                      <w:color w:val="auto"/>
                      <w:kern w:val="2"/>
                      <w:sz w:val="18"/>
                      <w:szCs w:val="18"/>
                      <w:highlight w:val="none"/>
                      <w:lang w:val="en-US" w:eastAsia="zh-CN" w:bidi="ar-SA"/>
                    </w:rPr>
                  </w:pPr>
                  <w:r>
                    <w:rPr>
                      <w:rFonts w:hint="default" w:ascii="Times New Roman" w:hAnsi="Times New Roman" w:eastAsia="Times New Roman" w:cs="Times New Roman"/>
                      <w:color w:val="auto"/>
                      <w:spacing w:val="-2"/>
                      <w:sz w:val="18"/>
                      <w:szCs w:val="18"/>
                      <w:highlight w:val="none"/>
                    </w:rPr>
                    <w:t>0.039</w:t>
                  </w:r>
                </w:p>
              </w:tc>
              <w:tc>
                <w:tcPr>
                  <w:tcW w:w="1230" w:type="dxa"/>
                  <w:noWrap w:val="0"/>
                  <w:vAlign w:val="center"/>
                </w:tcPr>
                <w:p w14:paraId="4FDF62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bidi="ar"/>
                    </w:rPr>
                    <w:t>FQ</w:t>
                  </w:r>
                  <w:r>
                    <w:rPr>
                      <w:rFonts w:hint="eastAsia" w:cs="Times New Roman"/>
                      <w:color w:val="auto"/>
                      <w:kern w:val="0"/>
                      <w:sz w:val="18"/>
                      <w:szCs w:val="18"/>
                      <w:highlight w:val="none"/>
                      <w:lang w:val="en-US" w:eastAsia="zh-CN" w:bidi="ar"/>
                    </w:rPr>
                    <w:t>06</w:t>
                  </w:r>
                </w:p>
              </w:tc>
            </w:tr>
            <w:tr w14:paraId="5389A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noWrap w:val="0"/>
                  <w:vAlign w:val="center"/>
                </w:tcPr>
                <w:p w14:paraId="0DBAB10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1号楼压膜废气</w:t>
                  </w:r>
                </w:p>
              </w:tc>
              <w:tc>
                <w:tcPr>
                  <w:tcW w:w="683" w:type="dxa"/>
                  <w:gridSpan w:val="2"/>
                  <w:noWrap w:val="0"/>
                  <w:vAlign w:val="center"/>
                </w:tcPr>
                <w:p w14:paraId="567CD97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非甲烷总烃</w:t>
                  </w:r>
                </w:p>
              </w:tc>
              <w:tc>
                <w:tcPr>
                  <w:tcW w:w="607" w:type="dxa"/>
                  <w:noWrap w:val="0"/>
                  <w:vAlign w:val="center"/>
                </w:tcPr>
                <w:p w14:paraId="11D15DD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cs="Times New Roman"/>
                      <w:color w:val="auto"/>
                      <w:sz w:val="18"/>
                      <w:szCs w:val="18"/>
                      <w:highlight w:val="none"/>
                      <w:lang w:val="en-US" w:eastAsia="zh-CN"/>
                    </w:rPr>
                    <w:t>6000</w:t>
                  </w:r>
                </w:p>
              </w:tc>
              <w:tc>
                <w:tcPr>
                  <w:tcW w:w="598" w:type="dxa"/>
                  <w:noWrap w:val="0"/>
                  <w:vAlign w:val="center"/>
                </w:tcPr>
                <w:p w14:paraId="22096775">
                  <w:pPr>
                    <w:keepNext w:val="0"/>
                    <w:keepLines w:val="0"/>
                    <w:widowControl/>
                    <w:suppressLineNumbers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1800</w:t>
                  </w:r>
                </w:p>
              </w:tc>
              <w:tc>
                <w:tcPr>
                  <w:tcW w:w="704" w:type="dxa"/>
                  <w:noWrap w:val="0"/>
                  <w:vAlign w:val="center"/>
                </w:tcPr>
                <w:p w14:paraId="2FB334FA">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22.8938</w:t>
                  </w:r>
                </w:p>
              </w:tc>
              <w:tc>
                <w:tcPr>
                  <w:tcW w:w="703" w:type="dxa"/>
                  <w:noWrap w:val="0"/>
                  <w:vAlign w:val="center"/>
                </w:tcPr>
                <w:p w14:paraId="728B4E5A">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0.1374</w:t>
                  </w:r>
                </w:p>
              </w:tc>
              <w:tc>
                <w:tcPr>
                  <w:tcW w:w="819" w:type="dxa"/>
                  <w:noWrap w:val="0"/>
                  <w:vAlign w:val="center"/>
                </w:tcPr>
                <w:p w14:paraId="0E7A9F8C">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0.2473</w:t>
                  </w:r>
                </w:p>
              </w:tc>
              <w:tc>
                <w:tcPr>
                  <w:tcW w:w="1211" w:type="dxa"/>
                  <w:noWrap w:val="0"/>
                  <w:vAlign w:val="center"/>
                </w:tcPr>
                <w:p w14:paraId="5625059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一级碱喷淋+一级水喷淋+ 除雾器+二级活性炭</w:t>
                  </w:r>
                </w:p>
              </w:tc>
              <w:tc>
                <w:tcPr>
                  <w:tcW w:w="615" w:type="dxa"/>
                  <w:noWrap w:val="0"/>
                  <w:vAlign w:val="center"/>
                </w:tcPr>
                <w:p w14:paraId="1C70286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90%</w:t>
                  </w:r>
                </w:p>
              </w:tc>
              <w:tc>
                <w:tcPr>
                  <w:tcW w:w="1230" w:type="dxa"/>
                  <w:noWrap w:val="0"/>
                  <w:vAlign w:val="center"/>
                </w:tcPr>
                <w:p w14:paraId="23D0946C">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2.2894</w:t>
                  </w:r>
                </w:p>
              </w:tc>
              <w:tc>
                <w:tcPr>
                  <w:tcW w:w="1020" w:type="dxa"/>
                  <w:noWrap w:val="0"/>
                  <w:vAlign w:val="center"/>
                </w:tcPr>
                <w:p w14:paraId="09FF06FC">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0.0137</w:t>
                  </w:r>
                </w:p>
              </w:tc>
              <w:tc>
                <w:tcPr>
                  <w:tcW w:w="1140" w:type="dxa"/>
                  <w:noWrap w:val="0"/>
                  <w:vAlign w:val="center"/>
                </w:tcPr>
                <w:p w14:paraId="33EB5C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0.02473</w:t>
                  </w:r>
                </w:p>
              </w:tc>
              <w:tc>
                <w:tcPr>
                  <w:tcW w:w="1230" w:type="dxa"/>
                  <w:noWrap w:val="0"/>
                  <w:vAlign w:val="center"/>
                </w:tcPr>
                <w:p w14:paraId="141ABB6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FQ09</w:t>
                  </w:r>
                </w:p>
              </w:tc>
            </w:tr>
            <w:tr w14:paraId="45A99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noWrap w:val="0"/>
                  <w:vAlign w:val="center"/>
                </w:tcPr>
                <w:p w14:paraId="78DD1D9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4号楼压膜废气</w:t>
                  </w:r>
                </w:p>
              </w:tc>
              <w:tc>
                <w:tcPr>
                  <w:tcW w:w="683" w:type="dxa"/>
                  <w:gridSpan w:val="2"/>
                  <w:noWrap w:val="0"/>
                  <w:vAlign w:val="center"/>
                </w:tcPr>
                <w:p w14:paraId="15A6F92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非甲烷总烃</w:t>
                  </w:r>
                </w:p>
              </w:tc>
              <w:tc>
                <w:tcPr>
                  <w:tcW w:w="607" w:type="dxa"/>
                  <w:noWrap w:val="0"/>
                  <w:vAlign w:val="center"/>
                </w:tcPr>
                <w:p w14:paraId="75AF27B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cs="Times New Roman"/>
                      <w:color w:val="auto"/>
                      <w:sz w:val="18"/>
                      <w:szCs w:val="18"/>
                      <w:highlight w:val="none"/>
                      <w:lang w:val="en-US" w:eastAsia="zh-CN"/>
                    </w:rPr>
                    <w:t>6000</w:t>
                  </w:r>
                </w:p>
              </w:tc>
              <w:tc>
                <w:tcPr>
                  <w:tcW w:w="598" w:type="dxa"/>
                  <w:noWrap w:val="0"/>
                  <w:vAlign w:val="center"/>
                </w:tcPr>
                <w:p w14:paraId="321B15C4">
                  <w:pPr>
                    <w:keepNext w:val="0"/>
                    <w:keepLines w:val="0"/>
                    <w:widowControl/>
                    <w:suppressLineNumbers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1800</w:t>
                  </w:r>
                </w:p>
              </w:tc>
              <w:tc>
                <w:tcPr>
                  <w:tcW w:w="704" w:type="dxa"/>
                  <w:noWrap w:val="0"/>
                  <w:vAlign w:val="center"/>
                </w:tcPr>
                <w:p w14:paraId="02F89D64">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22.8938</w:t>
                  </w:r>
                </w:p>
              </w:tc>
              <w:tc>
                <w:tcPr>
                  <w:tcW w:w="703" w:type="dxa"/>
                  <w:noWrap w:val="0"/>
                  <w:vAlign w:val="center"/>
                </w:tcPr>
                <w:p w14:paraId="5D5D4292">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0.1374</w:t>
                  </w:r>
                </w:p>
              </w:tc>
              <w:tc>
                <w:tcPr>
                  <w:tcW w:w="819" w:type="dxa"/>
                  <w:noWrap w:val="0"/>
                  <w:vAlign w:val="center"/>
                </w:tcPr>
                <w:p w14:paraId="08B32B5A">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0.2473</w:t>
                  </w:r>
                </w:p>
              </w:tc>
              <w:tc>
                <w:tcPr>
                  <w:tcW w:w="1211" w:type="dxa"/>
                  <w:noWrap w:val="0"/>
                  <w:vAlign w:val="center"/>
                </w:tcPr>
                <w:p w14:paraId="4609DF5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一级碱喷淋+一级水喷淋+ 除雾器+二级活性炭</w:t>
                  </w:r>
                </w:p>
              </w:tc>
              <w:tc>
                <w:tcPr>
                  <w:tcW w:w="615" w:type="dxa"/>
                  <w:noWrap w:val="0"/>
                  <w:vAlign w:val="center"/>
                </w:tcPr>
                <w:p w14:paraId="4951BCA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90%</w:t>
                  </w:r>
                </w:p>
              </w:tc>
              <w:tc>
                <w:tcPr>
                  <w:tcW w:w="1230" w:type="dxa"/>
                  <w:noWrap w:val="0"/>
                  <w:vAlign w:val="center"/>
                </w:tcPr>
                <w:p w14:paraId="005D3A0F">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2.2894</w:t>
                  </w:r>
                </w:p>
              </w:tc>
              <w:tc>
                <w:tcPr>
                  <w:tcW w:w="1020" w:type="dxa"/>
                  <w:noWrap w:val="0"/>
                  <w:vAlign w:val="center"/>
                </w:tcPr>
                <w:p w14:paraId="7F772D10">
                  <w:pPr>
                    <w:keepNext w:val="0"/>
                    <w:keepLines w:val="0"/>
                    <w:widowControl/>
                    <w:suppressLineNumbers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0.0137</w:t>
                  </w:r>
                </w:p>
              </w:tc>
              <w:tc>
                <w:tcPr>
                  <w:tcW w:w="1140" w:type="dxa"/>
                  <w:noWrap w:val="0"/>
                  <w:vAlign w:val="center"/>
                </w:tcPr>
                <w:p w14:paraId="100666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0.02473</w:t>
                  </w:r>
                </w:p>
              </w:tc>
              <w:tc>
                <w:tcPr>
                  <w:tcW w:w="1230" w:type="dxa"/>
                  <w:noWrap w:val="0"/>
                  <w:vAlign w:val="center"/>
                </w:tcPr>
                <w:p w14:paraId="0E24E88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FQ11</w:t>
                  </w:r>
                </w:p>
              </w:tc>
            </w:tr>
            <w:tr w14:paraId="4D211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noWrap w:val="0"/>
                  <w:vAlign w:val="center"/>
                </w:tcPr>
                <w:p w14:paraId="1079B78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1号楼抛光废气</w:t>
                  </w:r>
                </w:p>
              </w:tc>
              <w:tc>
                <w:tcPr>
                  <w:tcW w:w="683" w:type="dxa"/>
                  <w:gridSpan w:val="2"/>
                  <w:noWrap w:val="0"/>
                  <w:vAlign w:val="center"/>
                </w:tcPr>
                <w:p w14:paraId="39F092C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颗粒物</w:t>
                  </w:r>
                </w:p>
              </w:tc>
              <w:tc>
                <w:tcPr>
                  <w:tcW w:w="607" w:type="dxa"/>
                  <w:noWrap w:val="0"/>
                  <w:vAlign w:val="center"/>
                </w:tcPr>
                <w:p w14:paraId="7815153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cs="Times New Roman"/>
                      <w:color w:val="auto"/>
                      <w:sz w:val="18"/>
                      <w:szCs w:val="18"/>
                      <w:highlight w:val="none"/>
                      <w:lang w:val="en-US" w:eastAsia="zh-CN"/>
                    </w:rPr>
                    <w:t>5000</w:t>
                  </w:r>
                </w:p>
              </w:tc>
              <w:tc>
                <w:tcPr>
                  <w:tcW w:w="598" w:type="dxa"/>
                  <w:noWrap w:val="0"/>
                  <w:vAlign w:val="center"/>
                </w:tcPr>
                <w:p w14:paraId="1FA64BF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4800</w:t>
                  </w:r>
                </w:p>
              </w:tc>
              <w:tc>
                <w:tcPr>
                  <w:tcW w:w="704" w:type="dxa"/>
                  <w:noWrap w:val="0"/>
                  <w:vAlign w:val="center"/>
                </w:tcPr>
                <w:p w14:paraId="6F7B5D9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65.9722</w:t>
                  </w:r>
                </w:p>
              </w:tc>
              <w:tc>
                <w:tcPr>
                  <w:tcW w:w="703" w:type="dxa"/>
                  <w:noWrap w:val="0"/>
                  <w:vAlign w:val="center"/>
                </w:tcPr>
                <w:p w14:paraId="14541A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0.3299</w:t>
                  </w:r>
                </w:p>
              </w:tc>
              <w:tc>
                <w:tcPr>
                  <w:tcW w:w="819" w:type="dxa"/>
                  <w:noWrap w:val="0"/>
                  <w:vAlign w:val="center"/>
                </w:tcPr>
                <w:p w14:paraId="01BA767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1.5833</w:t>
                  </w:r>
                </w:p>
              </w:tc>
              <w:tc>
                <w:tcPr>
                  <w:tcW w:w="1211" w:type="dxa"/>
                  <w:noWrap w:val="0"/>
                  <w:vAlign w:val="center"/>
                </w:tcPr>
                <w:p w14:paraId="71D44CF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布袋除尘器</w:t>
                  </w:r>
                </w:p>
              </w:tc>
              <w:tc>
                <w:tcPr>
                  <w:tcW w:w="615" w:type="dxa"/>
                  <w:noWrap w:val="0"/>
                  <w:vAlign w:val="center"/>
                </w:tcPr>
                <w:p w14:paraId="3AE556E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98%</w:t>
                  </w:r>
                </w:p>
              </w:tc>
              <w:tc>
                <w:tcPr>
                  <w:tcW w:w="1230" w:type="dxa"/>
                  <w:noWrap w:val="0"/>
                  <w:vAlign w:val="center"/>
                </w:tcPr>
                <w:p w14:paraId="47849EC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1.3194</w:t>
                  </w:r>
                </w:p>
              </w:tc>
              <w:tc>
                <w:tcPr>
                  <w:tcW w:w="1020" w:type="dxa"/>
                  <w:noWrap w:val="0"/>
                  <w:vAlign w:val="center"/>
                </w:tcPr>
                <w:p w14:paraId="5F82516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0.0066</w:t>
                  </w:r>
                </w:p>
              </w:tc>
              <w:tc>
                <w:tcPr>
                  <w:tcW w:w="1140" w:type="dxa"/>
                  <w:noWrap w:val="0"/>
                  <w:vAlign w:val="center"/>
                </w:tcPr>
                <w:p w14:paraId="4C1E470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0.031</w:t>
                  </w:r>
                  <w:r>
                    <w:rPr>
                      <w:rFonts w:hint="eastAsia" w:ascii="Times New Roman" w:hAnsi="Times New Roman" w:eastAsia="宋体" w:cs="Times New Roman"/>
                      <w:color w:val="auto"/>
                      <w:sz w:val="18"/>
                      <w:szCs w:val="18"/>
                      <w:highlight w:val="none"/>
                      <w:lang w:val="en-US" w:eastAsia="zh-CN"/>
                    </w:rPr>
                    <w:t>67</w:t>
                  </w:r>
                </w:p>
              </w:tc>
              <w:tc>
                <w:tcPr>
                  <w:tcW w:w="1230" w:type="dxa"/>
                  <w:noWrap w:val="0"/>
                  <w:vAlign w:val="center"/>
                </w:tcPr>
                <w:p w14:paraId="66950C9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FQ12</w:t>
                  </w:r>
                </w:p>
              </w:tc>
            </w:tr>
            <w:tr w14:paraId="55D26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noWrap w:val="0"/>
                  <w:vAlign w:val="center"/>
                </w:tcPr>
                <w:p w14:paraId="27EABB2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4号楼抛光废气</w:t>
                  </w:r>
                </w:p>
              </w:tc>
              <w:tc>
                <w:tcPr>
                  <w:tcW w:w="683" w:type="dxa"/>
                  <w:gridSpan w:val="2"/>
                  <w:noWrap w:val="0"/>
                  <w:vAlign w:val="center"/>
                </w:tcPr>
                <w:p w14:paraId="197185F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颗粒物</w:t>
                  </w:r>
                </w:p>
              </w:tc>
              <w:tc>
                <w:tcPr>
                  <w:tcW w:w="607" w:type="dxa"/>
                  <w:noWrap w:val="0"/>
                  <w:vAlign w:val="center"/>
                </w:tcPr>
                <w:p w14:paraId="1D8169F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cs="Times New Roman"/>
                      <w:color w:val="auto"/>
                      <w:sz w:val="18"/>
                      <w:szCs w:val="18"/>
                      <w:highlight w:val="none"/>
                      <w:lang w:val="en-US" w:eastAsia="zh-CN"/>
                    </w:rPr>
                    <w:t>5000</w:t>
                  </w:r>
                </w:p>
              </w:tc>
              <w:tc>
                <w:tcPr>
                  <w:tcW w:w="598" w:type="dxa"/>
                  <w:noWrap w:val="0"/>
                  <w:vAlign w:val="center"/>
                </w:tcPr>
                <w:p w14:paraId="7C5D08C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cs="Times New Roman"/>
                      <w:color w:val="auto"/>
                      <w:sz w:val="18"/>
                      <w:szCs w:val="18"/>
                      <w:highlight w:val="none"/>
                      <w:lang w:val="en-US" w:eastAsia="zh-CN"/>
                    </w:rPr>
                    <w:t>4800</w:t>
                  </w:r>
                </w:p>
              </w:tc>
              <w:tc>
                <w:tcPr>
                  <w:tcW w:w="704" w:type="dxa"/>
                  <w:noWrap w:val="0"/>
                  <w:vAlign w:val="center"/>
                </w:tcPr>
                <w:p w14:paraId="7E233F2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65.9722</w:t>
                  </w:r>
                </w:p>
              </w:tc>
              <w:tc>
                <w:tcPr>
                  <w:tcW w:w="703" w:type="dxa"/>
                  <w:noWrap w:val="0"/>
                  <w:vAlign w:val="center"/>
                </w:tcPr>
                <w:p w14:paraId="3844121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0.3299</w:t>
                  </w:r>
                </w:p>
              </w:tc>
              <w:tc>
                <w:tcPr>
                  <w:tcW w:w="819" w:type="dxa"/>
                  <w:noWrap w:val="0"/>
                  <w:vAlign w:val="center"/>
                </w:tcPr>
                <w:p w14:paraId="180E387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1.5833</w:t>
                  </w:r>
                </w:p>
              </w:tc>
              <w:tc>
                <w:tcPr>
                  <w:tcW w:w="1211" w:type="dxa"/>
                  <w:noWrap w:val="0"/>
                  <w:vAlign w:val="center"/>
                </w:tcPr>
                <w:p w14:paraId="09EBB49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布袋除尘器</w:t>
                  </w:r>
                </w:p>
              </w:tc>
              <w:tc>
                <w:tcPr>
                  <w:tcW w:w="615" w:type="dxa"/>
                  <w:noWrap w:val="0"/>
                  <w:vAlign w:val="center"/>
                </w:tcPr>
                <w:p w14:paraId="4D2B8DD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98%</w:t>
                  </w:r>
                </w:p>
              </w:tc>
              <w:tc>
                <w:tcPr>
                  <w:tcW w:w="1230" w:type="dxa"/>
                  <w:noWrap w:val="0"/>
                  <w:vAlign w:val="center"/>
                </w:tcPr>
                <w:p w14:paraId="08E5C82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1.3194</w:t>
                  </w:r>
                </w:p>
              </w:tc>
              <w:tc>
                <w:tcPr>
                  <w:tcW w:w="1020" w:type="dxa"/>
                  <w:noWrap w:val="0"/>
                  <w:vAlign w:val="center"/>
                </w:tcPr>
                <w:p w14:paraId="20F502F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0.0066</w:t>
                  </w:r>
                </w:p>
              </w:tc>
              <w:tc>
                <w:tcPr>
                  <w:tcW w:w="1140" w:type="dxa"/>
                  <w:noWrap w:val="0"/>
                  <w:vAlign w:val="center"/>
                </w:tcPr>
                <w:p w14:paraId="68979A3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0.031</w:t>
                  </w:r>
                  <w:r>
                    <w:rPr>
                      <w:rFonts w:hint="eastAsia" w:ascii="Times New Roman" w:hAnsi="Times New Roman" w:eastAsia="宋体" w:cs="Times New Roman"/>
                      <w:color w:val="auto"/>
                      <w:sz w:val="18"/>
                      <w:szCs w:val="18"/>
                      <w:highlight w:val="none"/>
                      <w:lang w:val="en-US" w:eastAsia="zh-CN"/>
                    </w:rPr>
                    <w:t>67</w:t>
                  </w:r>
                </w:p>
              </w:tc>
              <w:tc>
                <w:tcPr>
                  <w:tcW w:w="1230" w:type="dxa"/>
                  <w:noWrap w:val="0"/>
                  <w:vAlign w:val="center"/>
                </w:tcPr>
                <w:p w14:paraId="5367040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cs="Times New Roman"/>
                      <w:color w:val="auto"/>
                      <w:sz w:val="18"/>
                      <w:szCs w:val="18"/>
                      <w:highlight w:val="none"/>
                      <w:lang w:val="en-US" w:eastAsia="zh-CN"/>
                    </w:rPr>
                    <w:t>FQ14</w:t>
                  </w:r>
                </w:p>
              </w:tc>
            </w:tr>
            <w:tr w14:paraId="77F34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vMerge w:val="restart"/>
                  <w:noWrap w:val="0"/>
                  <w:vAlign w:val="center"/>
                </w:tcPr>
                <w:p w14:paraId="3ACD0EA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1号楼激光切割废气</w:t>
                  </w:r>
                </w:p>
              </w:tc>
              <w:tc>
                <w:tcPr>
                  <w:tcW w:w="683" w:type="dxa"/>
                  <w:gridSpan w:val="2"/>
                  <w:noWrap w:val="0"/>
                  <w:vAlign w:val="center"/>
                </w:tcPr>
                <w:p w14:paraId="454A636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07" w:type="dxa"/>
                  <w:vMerge w:val="restart"/>
                  <w:noWrap w:val="0"/>
                  <w:vAlign w:val="center"/>
                </w:tcPr>
                <w:p w14:paraId="16738B8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15000</w:t>
                  </w:r>
                </w:p>
              </w:tc>
              <w:tc>
                <w:tcPr>
                  <w:tcW w:w="598" w:type="dxa"/>
                  <w:vMerge w:val="restart"/>
                  <w:noWrap w:val="0"/>
                  <w:vAlign w:val="center"/>
                </w:tcPr>
                <w:p w14:paraId="3D3F9CD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600</w:t>
                  </w:r>
                </w:p>
              </w:tc>
              <w:tc>
                <w:tcPr>
                  <w:tcW w:w="704" w:type="dxa"/>
                  <w:noWrap w:val="0"/>
                  <w:vAlign w:val="center"/>
                </w:tcPr>
                <w:p w14:paraId="17EFE9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7.24 </w:t>
                  </w:r>
                </w:p>
              </w:tc>
              <w:tc>
                <w:tcPr>
                  <w:tcW w:w="703" w:type="dxa"/>
                  <w:noWrap w:val="0"/>
                  <w:vAlign w:val="center"/>
                </w:tcPr>
                <w:p w14:paraId="48FBFEF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0.1087 </w:t>
                  </w:r>
                </w:p>
              </w:tc>
              <w:tc>
                <w:tcPr>
                  <w:tcW w:w="819" w:type="dxa"/>
                  <w:noWrap w:val="0"/>
                  <w:vAlign w:val="center"/>
                </w:tcPr>
                <w:p w14:paraId="7590EC6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0.0652 </w:t>
                  </w:r>
                </w:p>
              </w:tc>
              <w:tc>
                <w:tcPr>
                  <w:tcW w:w="1211" w:type="dxa"/>
                  <w:vMerge w:val="restart"/>
                  <w:noWrap w:val="0"/>
                  <w:vAlign w:val="center"/>
                </w:tcPr>
                <w:p w14:paraId="2AE8A7C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615" w:type="dxa"/>
                  <w:noWrap w:val="0"/>
                  <w:vAlign w:val="center"/>
                </w:tcPr>
                <w:p w14:paraId="4F138DE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1230" w:type="dxa"/>
                  <w:noWrap w:val="0"/>
                  <w:vAlign w:val="center"/>
                </w:tcPr>
                <w:p w14:paraId="2B81AE2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0.72 </w:t>
                  </w:r>
                </w:p>
              </w:tc>
              <w:tc>
                <w:tcPr>
                  <w:tcW w:w="1020" w:type="dxa"/>
                  <w:noWrap w:val="0"/>
                  <w:vAlign w:val="center"/>
                </w:tcPr>
                <w:p w14:paraId="1E1DB54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0.0109 </w:t>
                  </w:r>
                </w:p>
              </w:tc>
              <w:tc>
                <w:tcPr>
                  <w:tcW w:w="1140" w:type="dxa"/>
                  <w:noWrap w:val="0"/>
                  <w:vAlign w:val="center"/>
                </w:tcPr>
                <w:p w14:paraId="6F4A803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0.0065 </w:t>
                  </w:r>
                </w:p>
              </w:tc>
              <w:tc>
                <w:tcPr>
                  <w:tcW w:w="1230" w:type="dxa"/>
                  <w:vMerge w:val="restart"/>
                  <w:noWrap w:val="0"/>
                  <w:vAlign w:val="center"/>
                </w:tcPr>
                <w:p w14:paraId="499F9F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FQ</w:t>
                  </w:r>
                  <w:r>
                    <w:rPr>
                      <w:rFonts w:hint="eastAsia" w:ascii="Times New Roman" w:hAnsi="Times New Roman" w:eastAsia="宋体" w:cs="Times New Roman"/>
                      <w:color w:val="auto"/>
                      <w:sz w:val="18"/>
                      <w:szCs w:val="18"/>
                      <w:highlight w:val="none"/>
                      <w:lang w:val="en-US" w:eastAsia="zh-CN"/>
                    </w:rPr>
                    <w:t>15</w:t>
                  </w:r>
                </w:p>
              </w:tc>
            </w:tr>
            <w:tr w14:paraId="15EE0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vMerge w:val="continue"/>
                  <w:noWrap w:val="0"/>
                  <w:vAlign w:val="center"/>
                </w:tcPr>
                <w:p w14:paraId="4DE4601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p>
              </w:tc>
              <w:tc>
                <w:tcPr>
                  <w:tcW w:w="683" w:type="dxa"/>
                  <w:gridSpan w:val="2"/>
                  <w:noWrap w:val="0"/>
                  <w:vAlign w:val="center"/>
                </w:tcPr>
                <w:p w14:paraId="5BE1AE3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氮氧化物</w:t>
                  </w:r>
                </w:p>
              </w:tc>
              <w:tc>
                <w:tcPr>
                  <w:tcW w:w="607" w:type="dxa"/>
                  <w:vMerge w:val="continue"/>
                  <w:noWrap w:val="0"/>
                  <w:vAlign w:val="center"/>
                </w:tcPr>
                <w:p w14:paraId="69C51BB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p>
              </w:tc>
              <w:tc>
                <w:tcPr>
                  <w:tcW w:w="598" w:type="dxa"/>
                  <w:vMerge w:val="continue"/>
                  <w:noWrap w:val="0"/>
                  <w:vAlign w:val="center"/>
                </w:tcPr>
                <w:p w14:paraId="5A06B77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p>
              </w:tc>
              <w:tc>
                <w:tcPr>
                  <w:tcW w:w="704" w:type="dxa"/>
                  <w:noWrap w:val="0"/>
                  <w:vAlign w:val="center"/>
                </w:tcPr>
                <w:p w14:paraId="0919481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3.79 </w:t>
                  </w:r>
                </w:p>
              </w:tc>
              <w:tc>
                <w:tcPr>
                  <w:tcW w:w="703" w:type="dxa"/>
                  <w:noWrap w:val="0"/>
                  <w:vAlign w:val="center"/>
                </w:tcPr>
                <w:p w14:paraId="768067C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0.0568 </w:t>
                  </w:r>
                </w:p>
              </w:tc>
              <w:tc>
                <w:tcPr>
                  <w:tcW w:w="819" w:type="dxa"/>
                  <w:noWrap w:val="0"/>
                  <w:vAlign w:val="center"/>
                </w:tcPr>
                <w:p w14:paraId="359AA48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0.0341 </w:t>
                  </w:r>
                </w:p>
              </w:tc>
              <w:tc>
                <w:tcPr>
                  <w:tcW w:w="1211" w:type="dxa"/>
                  <w:vMerge w:val="continue"/>
                  <w:noWrap w:val="0"/>
                  <w:vAlign w:val="center"/>
                </w:tcPr>
                <w:p w14:paraId="0BD1A23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c>
                <w:tcPr>
                  <w:tcW w:w="615" w:type="dxa"/>
                  <w:noWrap w:val="0"/>
                  <w:vAlign w:val="center"/>
                </w:tcPr>
                <w:p w14:paraId="5277248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1230" w:type="dxa"/>
                  <w:noWrap w:val="0"/>
                  <w:vAlign w:val="center"/>
                </w:tcPr>
                <w:p w14:paraId="581481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0.38 </w:t>
                  </w:r>
                </w:p>
              </w:tc>
              <w:tc>
                <w:tcPr>
                  <w:tcW w:w="1020" w:type="dxa"/>
                  <w:noWrap w:val="0"/>
                  <w:vAlign w:val="center"/>
                </w:tcPr>
                <w:p w14:paraId="1AEC89C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0.0057 </w:t>
                  </w:r>
                </w:p>
              </w:tc>
              <w:tc>
                <w:tcPr>
                  <w:tcW w:w="1140" w:type="dxa"/>
                  <w:noWrap w:val="0"/>
                  <w:vAlign w:val="center"/>
                </w:tcPr>
                <w:p w14:paraId="58DAEE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0.0034 </w:t>
                  </w:r>
                </w:p>
              </w:tc>
              <w:tc>
                <w:tcPr>
                  <w:tcW w:w="1230" w:type="dxa"/>
                  <w:vMerge w:val="continue"/>
                  <w:noWrap w:val="0"/>
                  <w:vAlign w:val="center"/>
                </w:tcPr>
                <w:p w14:paraId="656197C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r>
            <w:tr w14:paraId="555E7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vMerge w:val="restart"/>
                  <w:noWrap w:val="0"/>
                  <w:vAlign w:val="center"/>
                </w:tcPr>
                <w:p w14:paraId="42A3043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4号楼激光切割废气</w:t>
                  </w:r>
                </w:p>
              </w:tc>
              <w:tc>
                <w:tcPr>
                  <w:tcW w:w="683" w:type="dxa"/>
                  <w:gridSpan w:val="2"/>
                  <w:noWrap w:val="0"/>
                  <w:vAlign w:val="center"/>
                </w:tcPr>
                <w:p w14:paraId="4FFE8D7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07" w:type="dxa"/>
                  <w:vMerge w:val="restart"/>
                  <w:noWrap w:val="0"/>
                  <w:vAlign w:val="center"/>
                </w:tcPr>
                <w:p w14:paraId="738CE45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15000</w:t>
                  </w:r>
                </w:p>
              </w:tc>
              <w:tc>
                <w:tcPr>
                  <w:tcW w:w="598" w:type="dxa"/>
                  <w:vMerge w:val="restart"/>
                  <w:noWrap w:val="0"/>
                  <w:vAlign w:val="center"/>
                </w:tcPr>
                <w:p w14:paraId="1E38735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600</w:t>
                  </w:r>
                </w:p>
              </w:tc>
              <w:tc>
                <w:tcPr>
                  <w:tcW w:w="704" w:type="dxa"/>
                  <w:noWrap w:val="0"/>
                  <w:vAlign w:val="center"/>
                </w:tcPr>
                <w:p w14:paraId="0B69871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7.24 </w:t>
                  </w:r>
                </w:p>
              </w:tc>
              <w:tc>
                <w:tcPr>
                  <w:tcW w:w="703" w:type="dxa"/>
                  <w:noWrap w:val="0"/>
                  <w:vAlign w:val="center"/>
                </w:tcPr>
                <w:p w14:paraId="291F60E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0.1087 </w:t>
                  </w:r>
                </w:p>
              </w:tc>
              <w:tc>
                <w:tcPr>
                  <w:tcW w:w="819" w:type="dxa"/>
                  <w:noWrap w:val="0"/>
                  <w:vAlign w:val="center"/>
                </w:tcPr>
                <w:p w14:paraId="6737E0C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0.0652 </w:t>
                  </w:r>
                </w:p>
              </w:tc>
              <w:tc>
                <w:tcPr>
                  <w:tcW w:w="1211" w:type="dxa"/>
                  <w:vMerge w:val="restart"/>
                  <w:noWrap w:val="0"/>
                  <w:vAlign w:val="center"/>
                </w:tcPr>
                <w:p w14:paraId="0E1AA9D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ind w:left="0" w:right="0"/>
                    <w:jc w:val="center"/>
                    <w:textAlignment w:val="center"/>
                    <w:rPr>
                      <w:rFonts w:hint="eastAsia"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eastAsia="宋体"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615" w:type="dxa"/>
                  <w:noWrap w:val="0"/>
                  <w:vAlign w:val="center"/>
                </w:tcPr>
                <w:p w14:paraId="04FB6FE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1230" w:type="dxa"/>
                  <w:noWrap w:val="0"/>
                  <w:vAlign w:val="center"/>
                </w:tcPr>
                <w:p w14:paraId="5FB70A2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0.72 </w:t>
                  </w:r>
                </w:p>
              </w:tc>
              <w:tc>
                <w:tcPr>
                  <w:tcW w:w="1020" w:type="dxa"/>
                  <w:noWrap w:val="0"/>
                  <w:vAlign w:val="center"/>
                </w:tcPr>
                <w:p w14:paraId="4895A76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0.0109 </w:t>
                  </w:r>
                </w:p>
              </w:tc>
              <w:tc>
                <w:tcPr>
                  <w:tcW w:w="1140" w:type="dxa"/>
                  <w:noWrap w:val="0"/>
                  <w:vAlign w:val="center"/>
                </w:tcPr>
                <w:p w14:paraId="77E7623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0.0065 </w:t>
                  </w:r>
                </w:p>
              </w:tc>
              <w:tc>
                <w:tcPr>
                  <w:tcW w:w="1230" w:type="dxa"/>
                  <w:vMerge w:val="restart"/>
                  <w:noWrap w:val="0"/>
                  <w:vAlign w:val="center"/>
                </w:tcPr>
                <w:p w14:paraId="62E7BBF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FQ</w:t>
                  </w:r>
                  <w:r>
                    <w:rPr>
                      <w:rFonts w:hint="eastAsia" w:ascii="Times New Roman" w:hAnsi="Times New Roman" w:eastAsia="宋体" w:cs="Times New Roman"/>
                      <w:color w:val="auto"/>
                      <w:sz w:val="18"/>
                      <w:szCs w:val="18"/>
                      <w:highlight w:val="none"/>
                      <w:lang w:val="en-US" w:eastAsia="zh-CN"/>
                    </w:rPr>
                    <w:t>18</w:t>
                  </w:r>
                </w:p>
              </w:tc>
            </w:tr>
            <w:tr w14:paraId="6B88A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531" w:type="dxa"/>
                  <w:vMerge w:val="continue"/>
                  <w:noWrap w:val="0"/>
                  <w:vAlign w:val="center"/>
                </w:tcPr>
                <w:p w14:paraId="2645905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p>
              </w:tc>
              <w:tc>
                <w:tcPr>
                  <w:tcW w:w="683" w:type="dxa"/>
                  <w:gridSpan w:val="2"/>
                  <w:noWrap w:val="0"/>
                  <w:vAlign w:val="center"/>
                </w:tcPr>
                <w:p w14:paraId="5005AF0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氮氧化物</w:t>
                  </w:r>
                </w:p>
              </w:tc>
              <w:tc>
                <w:tcPr>
                  <w:tcW w:w="607" w:type="dxa"/>
                  <w:vMerge w:val="continue"/>
                  <w:noWrap w:val="0"/>
                  <w:vAlign w:val="center"/>
                </w:tcPr>
                <w:p w14:paraId="58C7D4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p>
              </w:tc>
              <w:tc>
                <w:tcPr>
                  <w:tcW w:w="598" w:type="dxa"/>
                  <w:vMerge w:val="continue"/>
                  <w:noWrap w:val="0"/>
                  <w:vAlign w:val="center"/>
                </w:tcPr>
                <w:p w14:paraId="2C87906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18"/>
                      <w:szCs w:val="18"/>
                      <w:highlight w:val="none"/>
                      <w:lang w:val="en-US" w:eastAsia="zh-CN"/>
                    </w:rPr>
                  </w:pPr>
                </w:p>
              </w:tc>
              <w:tc>
                <w:tcPr>
                  <w:tcW w:w="704" w:type="dxa"/>
                  <w:noWrap w:val="0"/>
                  <w:vAlign w:val="center"/>
                </w:tcPr>
                <w:p w14:paraId="1915C3C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3.79 </w:t>
                  </w:r>
                </w:p>
              </w:tc>
              <w:tc>
                <w:tcPr>
                  <w:tcW w:w="703" w:type="dxa"/>
                  <w:noWrap w:val="0"/>
                  <w:vAlign w:val="center"/>
                </w:tcPr>
                <w:p w14:paraId="7254F96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0.0568 </w:t>
                  </w:r>
                </w:p>
              </w:tc>
              <w:tc>
                <w:tcPr>
                  <w:tcW w:w="819" w:type="dxa"/>
                  <w:noWrap w:val="0"/>
                  <w:vAlign w:val="center"/>
                </w:tcPr>
                <w:p w14:paraId="1B45DFF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0.0341 </w:t>
                  </w:r>
                </w:p>
              </w:tc>
              <w:tc>
                <w:tcPr>
                  <w:tcW w:w="1211" w:type="dxa"/>
                  <w:vMerge w:val="continue"/>
                  <w:noWrap w:val="0"/>
                  <w:vAlign w:val="center"/>
                </w:tcPr>
                <w:p w14:paraId="367A162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c>
                <w:tcPr>
                  <w:tcW w:w="615" w:type="dxa"/>
                  <w:noWrap w:val="0"/>
                  <w:vAlign w:val="center"/>
                </w:tcPr>
                <w:p w14:paraId="3866AA0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1230" w:type="dxa"/>
                  <w:noWrap w:val="0"/>
                  <w:vAlign w:val="center"/>
                </w:tcPr>
                <w:p w14:paraId="2BE9237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0.38 </w:t>
                  </w:r>
                </w:p>
              </w:tc>
              <w:tc>
                <w:tcPr>
                  <w:tcW w:w="1020" w:type="dxa"/>
                  <w:noWrap w:val="0"/>
                  <w:vAlign w:val="center"/>
                </w:tcPr>
                <w:p w14:paraId="55D395F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0.0057 </w:t>
                  </w:r>
                </w:p>
              </w:tc>
              <w:tc>
                <w:tcPr>
                  <w:tcW w:w="1140" w:type="dxa"/>
                  <w:noWrap w:val="0"/>
                  <w:vAlign w:val="center"/>
                </w:tcPr>
                <w:p w14:paraId="59AB583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0.0034 </w:t>
                  </w:r>
                </w:p>
              </w:tc>
              <w:tc>
                <w:tcPr>
                  <w:tcW w:w="1230" w:type="dxa"/>
                  <w:vMerge w:val="continue"/>
                  <w:noWrap w:val="0"/>
                  <w:vAlign w:val="center"/>
                </w:tcPr>
                <w:p w14:paraId="3F97329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p>
              </w:tc>
            </w:tr>
          </w:tbl>
          <w:p w14:paraId="66E06947">
            <w:pPr>
              <w:pStyle w:val="12"/>
              <w:keepNext w:val="0"/>
              <w:keepLines w:val="0"/>
              <w:numPr>
                <w:ilvl w:val="0"/>
                <w:numId w:val="0"/>
              </w:numPr>
              <w:suppressLineNumbers w:val="0"/>
              <w:spacing w:before="0" w:beforeAutospacing="0" w:after="0" w:afterAutospacing="0"/>
              <w:ind w:left="0" w:right="0"/>
              <w:rPr>
                <w:rFonts w:hint="default"/>
                <w:color w:val="auto"/>
                <w:highlight w:val="none"/>
                <w:vertAlign w:val="baseline"/>
              </w:rPr>
            </w:pPr>
          </w:p>
        </w:tc>
      </w:tr>
    </w:tbl>
    <w:p w14:paraId="38B1A7CD">
      <w:pPr>
        <w:pStyle w:val="12"/>
        <w:rPr>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5"/>
        <w:tblW w:w="9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8774"/>
      </w:tblGrid>
      <w:tr w14:paraId="5244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13" w:hRule="atLeast"/>
        </w:trPr>
        <w:tc>
          <w:tcPr>
            <w:tcW w:w="384" w:type="dxa"/>
          </w:tcPr>
          <w:p w14:paraId="26078BCB">
            <w:pPr>
              <w:pStyle w:val="12"/>
              <w:keepNext w:val="0"/>
              <w:keepLines w:val="0"/>
              <w:suppressLineNumbers w:val="0"/>
              <w:spacing w:before="0" w:beforeAutospacing="0" w:after="0" w:afterAutospacing="0"/>
              <w:ind w:left="0" w:right="0"/>
              <w:rPr>
                <w:rFonts w:hint="default"/>
                <w:color w:val="auto"/>
                <w:highlight w:val="none"/>
                <w:vertAlign w:val="baseline"/>
              </w:rPr>
            </w:pPr>
          </w:p>
        </w:tc>
        <w:tc>
          <w:tcPr>
            <w:tcW w:w="8774" w:type="dxa"/>
          </w:tcPr>
          <w:p w14:paraId="573E1A26">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szCs w:val="21"/>
                <w:highlight w:val="none"/>
                <w:lang w:val="en-US" w:eastAsia="zh-CN"/>
              </w:rPr>
              <w:t>根据上表</w:t>
            </w:r>
            <w:r>
              <w:rPr>
                <w:rFonts w:hint="eastAsia" w:ascii="Times New Roman" w:hAnsi="Times New Roman" w:eastAsia="宋体" w:cs="Times New Roman"/>
                <w:color w:val="auto"/>
                <w:sz w:val="24"/>
                <w:szCs w:val="21"/>
                <w:highlight w:val="none"/>
                <w:lang w:val="en-US" w:eastAsia="zh-CN"/>
              </w:rPr>
              <w:t>，</w:t>
            </w:r>
            <w:r>
              <w:rPr>
                <w:rFonts w:hint="eastAsia" w:cs="Times New Roman"/>
                <w:color w:val="auto"/>
                <w:sz w:val="24"/>
                <w:szCs w:val="21"/>
                <w:highlight w:val="none"/>
                <w:lang w:val="en-US" w:eastAsia="zh-CN"/>
              </w:rPr>
              <w:t>全厂现有项目已批未建/在建</w:t>
            </w:r>
            <w:r>
              <w:rPr>
                <w:rFonts w:hint="eastAsia" w:ascii="Times New Roman" w:hAnsi="Times New Roman" w:eastAsia="宋体" w:cs="Times New Roman"/>
                <w:color w:val="auto"/>
                <w:sz w:val="24"/>
                <w:szCs w:val="21"/>
                <w:highlight w:val="none"/>
                <w:lang w:val="en-US" w:eastAsia="zh-CN"/>
              </w:rPr>
              <w:t>部分</w:t>
            </w:r>
            <w:r>
              <w:rPr>
                <w:rFonts w:hint="eastAsia" w:ascii="Times New Roman" w:hAnsi="Times New Roman" w:eastAsia="宋体" w:cs="Times New Roman"/>
                <w:color w:val="auto"/>
                <w:sz w:val="24"/>
                <w:szCs w:val="21"/>
                <w:highlight w:val="none"/>
                <w:lang w:eastAsia="zh-CN"/>
              </w:rPr>
              <w:t>FQ01</w:t>
            </w:r>
            <w:r>
              <w:rPr>
                <w:rFonts w:hint="eastAsia" w:cs="Times New Roman"/>
                <w:color w:val="auto"/>
                <w:sz w:val="24"/>
                <w:szCs w:val="21"/>
                <w:highlight w:val="none"/>
                <w:lang w:val="en-US" w:eastAsia="zh-CN"/>
              </w:rPr>
              <w:t>排气筒排放的非甲烷总烃、酚类的排放浓度；</w:t>
            </w:r>
            <w:r>
              <w:rPr>
                <w:rFonts w:hint="eastAsia" w:ascii="Times New Roman" w:hAnsi="Times New Roman" w:eastAsia="宋体" w:cs="Times New Roman"/>
                <w:color w:val="auto"/>
                <w:sz w:val="24"/>
                <w:szCs w:val="21"/>
                <w:highlight w:val="none"/>
                <w:lang w:eastAsia="zh-CN"/>
              </w:rPr>
              <w:t>FQ0</w:t>
            </w:r>
            <w:r>
              <w:rPr>
                <w:rFonts w:hint="eastAsia" w:cs="Times New Roman"/>
                <w:color w:val="auto"/>
                <w:sz w:val="24"/>
                <w:szCs w:val="21"/>
                <w:highlight w:val="none"/>
                <w:lang w:val="en-US" w:eastAsia="zh-CN"/>
              </w:rPr>
              <w:t>3</w:t>
            </w:r>
            <w:r>
              <w:rPr>
                <w:rFonts w:hint="eastAsia" w:ascii="Times New Roman" w:hAnsi="Times New Roman" w:eastAsia="宋体" w:cs="Times New Roman"/>
                <w:color w:val="auto"/>
                <w:sz w:val="24"/>
                <w:szCs w:val="21"/>
                <w:highlight w:val="none"/>
                <w:lang w:eastAsia="zh-CN"/>
              </w:rPr>
              <w:t>、FQ</w:t>
            </w:r>
            <w:r>
              <w:rPr>
                <w:rFonts w:hint="eastAsia" w:cs="Times New Roman"/>
                <w:color w:val="auto"/>
                <w:sz w:val="24"/>
                <w:szCs w:val="21"/>
                <w:highlight w:val="none"/>
                <w:lang w:val="en-US" w:eastAsia="zh-CN"/>
              </w:rPr>
              <w:t>04、FQ05、FQ06、FQ09、FQ11排气筒排放的非甲烷总烃的浓度能够满足</w:t>
            </w:r>
            <w:r>
              <w:rPr>
                <w:rFonts w:hint="eastAsia" w:ascii="Times New Roman" w:hAnsi="Times New Roman" w:eastAsia="宋体" w:cs="Times New Roman"/>
                <w:color w:val="auto"/>
                <w:sz w:val="24"/>
                <w:szCs w:val="21"/>
                <w:highlight w:val="none"/>
                <w:lang w:eastAsia="zh-CN"/>
              </w:rPr>
              <w:t>《合成树脂工业污染物排放标准》（GB31572-2015）</w:t>
            </w:r>
            <w:r>
              <w:rPr>
                <w:rFonts w:hint="eastAsia" w:cs="Times New Roman"/>
                <w:color w:val="auto"/>
                <w:sz w:val="24"/>
                <w:szCs w:val="21"/>
                <w:highlight w:val="none"/>
                <w:lang w:eastAsia="zh-CN"/>
              </w:rPr>
              <w:t>（</w:t>
            </w:r>
            <w:r>
              <w:rPr>
                <w:rFonts w:hint="eastAsia" w:cs="Times New Roman"/>
                <w:color w:val="auto"/>
                <w:sz w:val="24"/>
                <w:szCs w:val="21"/>
                <w:highlight w:val="none"/>
                <w:lang w:val="en-US" w:eastAsia="zh-CN"/>
              </w:rPr>
              <w:t>含2024年修改单</w:t>
            </w:r>
            <w:r>
              <w:rPr>
                <w:rFonts w:hint="eastAsia" w:cs="Times New Roman"/>
                <w:color w:val="auto"/>
                <w:sz w:val="24"/>
                <w:szCs w:val="21"/>
                <w:highlight w:val="none"/>
                <w:lang w:eastAsia="zh-CN"/>
              </w:rPr>
              <w:t>）</w:t>
            </w:r>
            <w:r>
              <w:rPr>
                <w:rFonts w:hint="eastAsia" w:ascii="Times New Roman" w:hAnsi="Times New Roman" w:eastAsia="宋体" w:cs="Times New Roman"/>
                <w:color w:val="auto"/>
                <w:sz w:val="24"/>
                <w:szCs w:val="21"/>
                <w:highlight w:val="none"/>
                <w:lang w:eastAsia="zh-CN"/>
              </w:rPr>
              <w:t>表5中标准</w:t>
            </w:r>
            <w:r>
              <w:rPr>
                <w:rFonts w:hint="eastAsia" w:cs="Times New Roman"/>
                <w:color w:val="auto"/>
                <w:sz w:val="24"/>
                <w:szCs w:val="21"/>
                <w:highlight w:val="none"/>
                <w:lang w:val="en-US" w:eastAsia="zh-CN"/>
              </w:rPr>
              <w:t>；</w:t>
            </w:r>
            <w:r>
              <w:rPr>
                <w:rFonts w:hint="eastAsia" w:ascii="Times New Roman" w:hAnsi="Times New Roman" w:eastAsia="宋体" w:cs="Times New Roman"/>
                <w:color w:val="auto"/>
                <w:sz w:val="24"/>
                <w:szCs w:val="21"/>
                <w:highlight w:val="none"/>
                <w:lang w:eastAsia="zh-CN"/>
              </w:rPr>
              <w:t>FQ</w:t>
            </w:r>
            <w:r>
              <w:rPr>
                <w:rFonts w:hint="eastAsia" w:cs="Times New Roman"/>
                <w:color w:val="auto"/>
                <w:sz w:val="24"/>
                <w:szCs w:val="21"/>
                <w:highlight w:val="none"/>
                <w:lang w:val="en-US" w:eastAsia="zh-CN"/>
              </w:rPr>
              <w:t>12、FQ14排气筒排放的颗粒物、</w:t>
            </w:r>
            <w:r>
              <w:rPr>
                <w:rFonts w:hint="eastAsia" w:ascii="Times New Roman" w:hAnsi="Times New Roman" w:eastAsia="宋体" w:cs="Times New Roman"/>
                <w:color w:val="auto"/>
                <w:sz w:val="24"/>
                <w:szCs w:val="21"/>
                <w:highlight w:val="none"/>
                <w:lang w:eastAsia="zh-CN"/>
              </w:rPr>
              <w:t>FQ</w:t>
            </w:r>
            <w:r>
              <w:rPr>
                <w:rFonts w:hint="eastAsia" w:cs="Times New Roman"/>
                <w:color w:val="auto"/>
                <w:sz w:val="24"/>
                <w:szCs w:val="21"/>
                <w:highlight w:val="none"/>
                <w:lang w:val="en-US" w:eastAsia="zh-CN"/>
              </w:rPr>
              <w:t>15</w:t>
            </w:r>
            <w:r>
              <w:rPr>
                <w:rFonts w:hint="eastAsia" w:ascii="Times New Roman" w:hAnsi="Times New Roman" w:eastAsia="宋体" w:cs="Times New Roman"/>
                <w:color w:val="auto"/>
                <w:sz w:val="24"/>
                <w:szCs w:val="21"/>
                <w:highlight w:val="none"/>
                <w:lang w:eastAsia="zh-CN"/>
              </w:rPr>
              <w:t>、FQ</w:t>
            </w:r>
            <w:r>
              <w:rPr>
                <w:rFonts w:hint="eastAsia" w:cs="Times New Roman"/>
                <w:color w:val="auto"/>
                <w:sz w:val="24"/>
                <w:szCs w:val="21"/>
                <w:highlight w:val="none"/>
                <w:lang w:val="en-US" w:eastAsia="zh-CN"/>
              </w:rPr>
              <w:t>18排气筒</w:t>
            </w:r>
            <w:r>
              <w:rPr>
                <w:rFonts w:hint="eastAsia" w:ascii="Times New Roman" w:hAnsi="Times New Roman" w:eastAsia="宋体" w:cs="Times New Roman"/>
                <w:color w:val="auto"/>
                <w:sz w:val="24"/>
                <w:szCs w:val="21"/>
                <w:highlight w:val="none"/>
                <w:lang w:eastAsia="zh-CN"/>
              </w:rPr>
              <w:t>排放的</w:t>
            </w:r>
            <w:r>
              <w:rPr>
                <w:rFonts w:hint="eastAsia" w:cs="Times New Roman"/>
                <w:color w:val="auto"/>
                <w:sz w:val="24"/>
                <w:szCs w:val="21"/>
                <w:highlight w:val="none"/>
                <w:lang w:val="en-US" w:eastAsia="zh-CN"/>
              </w:rPr>
              <w:t>非甲烷总烃、氮氧化物的</w:t>
            </w:r>
            <w:r>
              <w:rPr>
                <w:rFonts w:hint="eastAsia" w:ascii="Times New Roman" w:hAnsi="Times New Roman" w:eastAsia="宋体" w:cs="Times New Roman"/>
                <w:color w:val="auto"/>
                <w:sz w:val="24"/>
                <w:szCs w:val="21"/>
                <w:highlight w:val="none"/>
                <w:lang w:eastAsia="zh-CN"/>
              </w:rPr>
              <w:t>浓度、速率能够满足江苏省地方标准《大气污染物综合排放标准》（DB32/4041-2021）表1标准。</w:t>
            </w:r>
          </w:p>
          <w:p w14:paraId="6D2EF7A5">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14</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现有项目</w:t>
            </w:r>
            <w:r>
              <w:rPr>
                <w:rFonts w:hint="eastAsia" w:cs="Times New Roman"/>
                <w:b/>
                <w:bCs/>
                <w:color w:val="auto"/>
                <w:sz w:val="24"/>
                <w:highlight w:val="none"/>
                <w:lang w:val="en-US" w:eastAsia="zh-CN"/>
              </w:rPr>
              <w:t>已批未建/已批在建工程</w:t>
            </w:r>
            <w:r>
              <w:rPr>
                <w:rFonts w:hint="eastAsia" w:ascii="Times New Roman" w:hAnsi="Times New Roman" w:eastAsia="宋体" w:cs="Times New Roman"/>
                <w:b/>
                <w:bCs/>
                <w:color w:val="auto"/>
                <w:sz w:val="24"/>
                <w:highlight w:val="none"/>
                <w:lang w:val="en-US" w:eastAsia="zh-CN"/>
              </w:rPr>
              <w:t>建成后全厂无组织废气排放情况表</w:t>
            </w:r>
          </w:p>
          <w:tbl>
            <w:tblPr>
              <w:tblStyle w:val="24"/>
              <w:tblW w:w="85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561"/>
              <w:gridCol w:w="1630"/>
              <w:gridCol w:w="1483"/>
              <w:gridCol w:w="1753"/>
              <w:gridCol w:w="936"/>
            </w:tblGrid>
            <w:tr w14:paraId="0A8D7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175" w:type="dxa"/>
                  <w:noWrap w:val="0"/>
                  <w:vAlign w:val="center"/>
                </w:tcPr>
                <w:p w14:paraId="42744A3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污染源位置</w:t>
                  </w:r>
                </w:p>
              </w:tc>
              <w:tc>
                <w:tcPr>
                  <w:tcW w:w="1561" w:type="dxa"/>
                  <w:noWrap w:val="0"/>
                  <w:vAlign w:val="center"/>
                </w:tcPr>
                <w:p w14:paraId="56DE8CF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污染物名称</w:t>
                  </w:r>
                </w:p>
              </w:tc>
              <w:tc>
                <w:tcPr>
                  <w:tcW w:w="1630" w:type="dxa"/>
                  <w:noWrap w:val="0"/>
                  <w:vAlign w:val="center"/>
                </w:tcPr>
                <w:p w14:paraId="0F38788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污染物排放量</w:t>
                  </w:r>
                  <w:r>
                    <w:rPr>
                      <w:rFonts w:hint="default" w:ascii="Times New Roman" w:hAnsi="Times New Roman" w:eastAsia="宋体" w:cs="Times New Roman"/>
                      <w:b/>
                      <w:color w:val="auto"/>
                      <w:szCs w:val="21"/>
                      <w:highlight w:val="none"/>
                    </w:rPr>
                    <w:t>t/a</w:t>
                  </w:r>
                </w:p>
              </w:tc>
              <w:tc>
                <w:tcPr>
                  <w:tcW w:w="1483" w:type="dxa"/>
                  <w:noWrap w:val="0"/>
                  <w:vAlign w:val="center"/>
                </w:tcPr>
                <w:p w14:paraId="3178B23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排放速率</w:t>
                  </w:r>
                </w:p>
                <w:p w14:paraId="7CB50A4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kg/h</w:t>
                  </w:r>
                </w:p>
              </w:tc>
              <w:tc>
                <w:tcPr>
                  <w:tcW w:w="1753" w:type="dxa"/>
                  <w:noWrap w:val="0"/>
                  <w:vAlign w:val="center"/>
                </w:tcPr>
                <w:p w14:paraId="591CF52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vertAlign w:val="superscript"/>
                    </w:rPr>
                  </w:pPr>
                  <w:r>
                    <w:rPr>
                      <w:rFonts w:hint="eastAsia" w:ascii="Times New Roman" w:hAnsi="Times New Roman" w:eastAsia="宋体" w:cs="Times New Roman"/>
                      <w:b/>
                      <w:color w:val="auto"/>
                      <w:szCs w:val="21"/>
                      <w:highlight w:val="none"/>
                    </w:rPr>
                    <w:t>面源面积</w:t>
                  </w:r>
                  <w:r>
                    <w:rPr>
                      <w:rFonts w:hint="default" w:ascii="Times New Roman" w:hAnsi="Times New Roman" w:eastAsia="宋体" w:cs="Times New Roman"/>
                      <w:b/>
                      <w:color w:val="auto"/>
                      <w:szCs w:val="21"/>
                      <w:highlight w:val="none"/>
                    </w:rPr>
                    <w:t>m</w:t>
                  </w:r>
                  <w:r>
                    <w:rPr>
                      <w:rFonts w:hint="default" w:ascii="Times New Roman" w:hAnsi="Times New Roman" w:eastAsia="宋体" w:cs="Times New Roman"/>
                      <w:b/>
                      <w:color w:val="auto"/>
                      <w:szCs w:val="21"/>
                      <w:highlight w:val="none"/>
                      <w:vertAlign w:val="superscript"/>
                    </w:rPr>
                    <w:t>2</w:t>
                  </w:r>
                </w:p>
              </w:tc>
              <w:tc>
                <w:tcPr>
                  <w:tcW w:w="936" w:type="dxa"/>
                  <w:noWrap w:val="0"/>
                  <w:vAlign w:val="center"/>
                </w:tcPr>
                <w:p w14:paraId="55327BD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面源高度</w:t>
                  </w:r>
                  <w:r>
                    <w:rPr>
                      <w:rFonts w:hint="default" w:ascii="Times New Roman" w:hAnsi="Times New Roman" w:eastAsia="宋体" w:cs="Times New Roman"/>
                      <w:b/>
                      <w:color w:val="auto"/>
                      <w:szCs w:val="21"/>
                      <w:highlight w:val="none"/>
                    </w:rPr>
                    <w:t>m</w:t>
                  </w:r>
                </w:p>
              </w:tc>
            </w:tr>
            <w:tr w14:paraId="77C8A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1175" w:type="dxa"/>
                  <w:vMerge w:val="restart"/>
                  <w:noWrap w:val="0"/>
                  <w:vAlign w:val="center"/>
                </w:tcPr>
                <w:p w14:paraId="792C2B5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生产车间1号楼</w:t>
                  </w:r>
                </w:p>
              </w:tc>
              <w:tc>
                <w:tcPr>
                  <w:tcW w:w="1561" w:type="dxa"/>
                  <w:noWrap w:val="0"/>
                  <w:vAlign w:val="center"/>
                </w:tcPr>
                <w:p w14:paraId="5B11899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1BAF0B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0.0462</w:t>
                  </w:r>
                </w:p>
              </w:tc>
              <w:tc>
                <w:tcPr>
                  <w:tcW w:w="1483" w:type="dxa"/>
                  <w:noWrap w:val="0"/>
                  <w:vAlign w:val="center"/>
                </w:tcPr>
                <w:p w14:paraId="26BA57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0.02947</w:t>
                  </w:r>
                </w:p>
              </w:tc>
              <w:tc>
                <w:tcPr>
                  <w:tcW w:w="1753" w:type="dxa"/>
                  <w:vMerge w:val="restart"/>
                  <w:noWrap w:val="0"/>
                  <w:vAlign w:val="center"/>
                </w:tcPr>
                <w:p w14:paraId="443C41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 w:val="20"/>
                      <w:szCs w:val="20"/>
                      <w:highlight w:val="none"/>
                      <w:lang w:val="en-US" w:eastAsia="zh-CN"/>
                    </w:rPr>
                    <w:t>4275</w:t>
                  </w:r>
                </w:p>
              </w:tc>
              <w:tc>
                <w:tcPr>
                  <w:tcW w:w="936" w:type="dxa"/>
                  <w:vMerge w:val="restart"/>
                  <w:noWrap w:val="0"/>
                  <w:vAlign w:val="center"/>
                </w:tcPr>
                <w:p w14:paraId="33A83EC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 w:val="20"/>
                      <w:szCs w:val="20"/>
                      <w:highlight w:val="none"/>
                      <w:lang w:val="en-US" w:eastAsia="zh-CN"/>
                    </w:rPr>
                    <w:t>22</w:t>
                  </w:r>
                </w:p>
              </w:tc>
            </w:tr>
            <w:tr w14:paraId="69DC7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1175" w:type="dxa"/>
                  <w:vMerge w:val="continue"/>
                  <w:noWrap w:val="0"/>
                  <w:vAlign w:val="center"/>
                </w:tcPr>
                <w:p w14:paraId="79C9350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c>
                <w:tcPr>
                  <w:tcW w:w="1561" w:type="dxa"/>
                  <w:noWrap w:val="0"/>
                  <w:vAlign w:val="center"/>
                </w:tcPr>
                <w:p w14:paraId="66A9FCC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630" w:type="dxa"/>
                  <w:noWrap w:val="0"/>
                  <w:vAlign w:val="center"/>
                </w:tcPr>
                <w:p w14:paraId="6DA949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0.0018</w:t>
                  </w:r>
                </w:p>
              </w:tc>
              <w:tc>
                <w:tcPr>
                  <w:tcW w:w="1483" w:type="dxa"/>
                  <w:noWrap w:val="0"/>
                  <w:vAlign w:val="center"/>
                </w:tcPr>
                <w:p w14:paraId="08FD86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1753" w:type="dxa"/>
                  <w:vMerge w:val="continue"/>
                  <w:noWrap w:val="0"/>
                  <w:vAlign w:val="center"/>
                </w:tcPr>
                <w:p w14:paraId="7EDFB5D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936" w:type="dxa"/>
                  <w:vMerge w:val="continue"/>
                  <w:noWrap w:val="0"/>
                  <w:vAlign w:val="center"/>
                </w:tcPr>
                <w:p w14:paraId="170D76E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r>
            <w:tr w14:paraId="7ABF0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6F4D53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c>
                <w:tcPr>
                  <w:tcW w:w="1561" w:type="dxa"/>
                  <w:noWrap w:val="0"/>
                  <w:vAlign w:val="center"/>
                </w:tcPr>
                <w:p w14:paraId="181B1A7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630" w:type="dxa"/>
                  <w:noWrap w:val="0"/>
                  <w:vAlign w:val="center"/>
                </w:tcPr>
                <w:p w14:paraId="3936B7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0.0833</w:t>
                  </w:r>
                </w:p>
              </w:tc>
              <w:tc>
                <w:tcPr>
                  <w:tcW w:w="1483" w:type="dxa"/>
                  <w:noWrap w:val="0"/>
                  <w:vAlign w:val="center"/>
                </w:tcPr>
                <w:p w14:paraId="564C56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0.01736</w:t>
                  </w:r>
                </w:p>
              </w:tc>
              <w:tc>
                <w:tcPr>
                  <w:tcW w:w="1753" w:type="dxa"/>
                  <w:vMerge w:val="continue"/>
                  <w:noWrap w:val="0"/>
                  <w:vAlign w:val="center"/>
                </w:tcPr>
                <w:p w14:paraId="0BDDA78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c>
                <w:tcPr>
                  <w:tcW w:w="936" w:type="dxa"/>
                  <w:vMerge w:val="continue"/>
                  <w:noWrap w:val="0"/>
                  <w:vAlign w:val="center"/>
                </w:tcPr>
                <w:p w14:paraId="53FA762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r>
            <w:tr w14:paraId="635B5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restart"/>
                  <w:noWrap w:val="0"/>
                  <w:vAlign w:val="center"/>
                </w:tcPr>
                <w:p w14:paraId="5097B9C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生产车间2号楼</w:t>
                  </w:r>
                </w:p>
              </w:tc>
              <w:tc>
                <w:tcPr>
                  <w:tcW w:w="1561" w:type="dxa"/>
                  <w:noWrap w:val="0"/>
                  <w:vAlign w:val="center"/>
                </w:tcPr>
                <w:p w14:paraId="52D8343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357030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0.0462</w:t>
                  </w:r>
                </w:p>
              </w:tc>
              <w:tc>
                <w:tcPr>
                  <w:tcW w:w="1483" w:type="dxa"/>
                  <w:noWrap w:val="0"/>
                  <w:vAlign w:val="center"/>
                </w:tcPr>
                <w:p w14:paraId="32F167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0.02947</w:t>
                  </w:r>
                </w:p>
              </w:tc>
              <w:tc>
                <w:tcPr>
                  <w:tcW w:w="1753" w:type="dxa"/>
                  <w:vMerge w:val="restart"/>
                  <w:noWrap w:val="0"/>
                  <w:vAlign w:val="center"/>
                </w:tcPr>
                <w:p w14:paraId="7E1954B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0"/>
                      <w:szCs w:val="20"/>
                      <w:highlight w:val="none"/>
                      <w:lang w:val="en-US" w:eastAsia="zh-CN"/>
                    </w:rPr>
                    <w:t>4275</w:t>
                  </w:r>
                </w:p>
              </w:tc>
              <w:tc>
                <w:tcPr>
                  <w:tcW w:w="936" w:type="dxa"/>
                  <w:vMerge w:val="restart"/>
                  <w:noWrap w:val="0"/>
                  <w:vAlign w:val="center"/>
                </w:tcPr>
                <w:p w14:paraId="4ADB321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color w:val="auto"/>
                      <w:sz w:val="20"/>
                      <w:szCs w:val="20"/>
                      <w:highlight w:val="none"/>
                      <w:lang w:val="en-US" w:eastAsia="zh-CN"/>
                    </w:rPr>
                    <w:t>22</w:t>
                  </w:r>
                </w:p>
              </w:tc>
            </w:tr>
            <w:tr w14:paraId="22A90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 w:hRule="atLeast"/>
                <w:jc w:val="center"/>
              </w:trPr>
              <w:tc>
                <w:tcPr>
                  <w:tcW w:w="1175" w:type="dxa"/>
                  <w:vMerge w:val="continue"/>
                  <w:noWrap w:val="0"/>
                  <w:vAlign w:val="center"/>
                </w:tcPr>
                <w:p w14:paraId="5D8C995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eastAsia="zh-CN"/>
                    </w:rPr>
                  </w:pPr>
                </w:p>
              </w:tc>
              <w:tc>
                <w:tcPr>
                  <w:tcW w:w="1561" w:type="dxa"/>
                  <w:noWrap w:val="0"/>
                  <w:vAlign w:val="center"/>
                </w:tcPr>
                <w:p w14:paraId="0EB8961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630" w:type="dxa"/>
                  <w:noWrap w:val="0"/>
                  <w:vAlign w:val="center"/>
                </w:tcPr>
                <w:p w14:paraId="51F42E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0.0018</w:t>
                  </w:r>
                </w:p>
              </w:tc>
              <w:tc>
                <w:tcPr>
                  <w:tcW w:w="1483" w:type="dxa"/>
                  <w:noWrap w:val="0"/>
                  <w:vAlign w:val="center"/>
                </w:tcPr>
                <w:p w14:paraId="4DCF6C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1753" w:type="dxa"/>
                  <w:vMerge w:val="continue"/>
                  <w:noWrap w:val="0"/>
                  <w:vAlign w:val="center"/>
                </w:tcPr>
                <w:p w14:paraId="4C9530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936" w:type="dxa"/>
                  <w:vMerge w:val="continue"/>
                  <w:noWrap w:val="0"/>
                  <w:vAlign w:val="center"/>
                </w:tcPr>
                <w:p w14:paraId="446E14E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r>
            <w:tr w14:paraId="70C7E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continue"/>
                  <w:noWrap w:val="0"/>
                  <w:vAlign w:val="center"/>
                </w:tcPr>
                <w:p w14:paraId="7A2416F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eastAsia="zh-CN"/>
                    </w:rPr>
                  </w:pPr>
                </w:p>
              </w:tc>
              <w:tc>
                <w:tcPr>
                  <w:tcW w:w="1561" w:type="dxa"/>
                  <w:noWrap w:val="0"/>
                  <w:vAlign w:val="center"/>
                </w:tcPr>
                <w:p w14:paraId="273C08D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630" w:type="dxa"/>
                  <w:noWrap w:val="0"/>
                  <w:vAlign w:val="center"/>
                </w:tcPr>
                <w:p w14:paraId="026542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0.0833</w:t>
                  </w:r>
                </w:p>
              </w:tc>
              <w:tc>
                <w:tcPr>
                  <w:tcW w:w="1483" w:type="dxa"/>
                  <w:noWrap w:val="0"/>
                  <w:vAlign w:val="center"/>
                </w:tcPr>
                <w:p w14:paraId="2A99C3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0.01736</w:t>
                  </w:r>
                </w:p>
              </w:tc>
              <w:tc>
                <w:tcPr>
                  <w:tcW w:w="1753" w:type="dxa"/>
                  <w:vMerge w:val="continue"/>
                  <w:noWrap w:val="0"/>
                  <w:vAlign w:val="center"/>
                </w:tcPr>
                <w:p w14:paraId="78C66CF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p>
              </w:tc>
              <w:tc>
                <w:tcPr>
                  <w:tcW w:w="936" w:type="dxa"/>
                  <w:vMerge w:val="continue"/>
                  <w:noWrap w:val="0"/>
                  <w:vAlign w:val="center"/>
                </w:tcPr>
                <w:p w14:paraId="7B074E8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 w:val="21"/>
                      <w:szCs w:val="21"/>
                      <w:highlight w:val="none"/>
                      <w:lang w:val="en-US" w:eastAsia="zh-CN"/>
                    </w:rPr>
                  </w:pPr>
                </w:p>
              </w:tc>
            </w:tr>
            <w:tr w14:paraId="27ECA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5" w:type="dxa"/>
                  <w:vMerge w:val="restart"/>
                  <w:noWrap w:val="0"/>
                  <w:vAlign w:val="center"/>
                </w:tcPr>
                <w:p w14:paraId="06706E1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生产车间3号楼</w:t>
                  </w:r>
                </w:p>
              </w:tc>
              <w:tc>
                <w:tcPr>
                  <w:tcW w:w="1561" w:type="dxa"/>
                  <w:tcBorders>
                    <w:bottom w:val="single" w:color="000000" w:sz="4" w:space="0"/>
                  </w:tcBorders>
                  <w:noWrap w:val="0"/>
                  <w:vAlign w:val="center"/>
                </w:tcPr>
                <w:p w14:paraId="20E8B17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氟化物</w:t>
                  </w:r>
                </w:p>
              </w:tc>
              <w:tc>
                <w:tcPr>
                  <w:tcW w:w="1630" w:type="dxa"/>
                  <w:tcBorders>
                    <w:bottom w:val="single" w:color="000000" w:sz="4" w:space="0"/>
                  </w:tcBorders>
                  <w:noWrap w:val="0"/>
                  <w:vAlign w:val="center"/>
                </w:tcPr>
                <w:p w14:paraId="69E3C6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0.0008</w:t>
                  </w:r>
                </w:p>
              </w:tc>
              <w:tc>
                <w:tcPr>
                  <w:tcW w:w="1483" w:type="dxa"/>
                  <w:tcBorders>
                    <w:bottom w:val="single" w:color="000000" w:sz="4" w:space="0"/>
                  </w:tcBorders>
                  <w:noWrap w:val="0"/>
                  <w:vAlign w:val="center"/>
                </w:tcPr>
                <w:p w14:paraId="59C15B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0.00011</w:t>
                  </w:r>
                </w:p>
              </w:tc>
              <w:tc>
                <w:tcPr>
                  <w:tcW w:w="1753" w:type="dxa"/>
                  <w:vMerge w:val="restart"/>
                  <w:noWrap w:val="0"/>
                  <w:vAlign w:val="center"/>
                </w:tcPr>
                <w:p w14:paraId="1A48100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0"/>
                      <w:szCs w:val="20"/>
                      <w:highlight w:val="none"/>
                      <w:lang w:val="en-US" w:eastAsia="zh-CN"/>
                    </w:rPr>
                    <w:t>4275</w:t>
                  </w:r>
                </w:p>
              </w:tc>
              <w:tc>
                <w:tcPr>
                  <w:tcW w:w="936" w:type="dxa"/>
                  <w:vMerge w:val="restart"/>
                  <w:noWrap w:val="0"/>
                  <w:vAlign w:val="center"/>
                </w:tcPr>
                <w:p w14:paraId="72E1504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0"/>
                      <w:szCs w:val="20"/>
                      <w:highlight w:val="none"/>
                      <w:lang w:val="en-US" w:eastAsia="zh-CN"/>
                    </w:rPr>
                    <w:t>22</w:t>
                  </w:r>
                </w:p>
              </w:tc>
            </w:tr>
            <w:tr w14:paraId="67400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1175" w:type="dxa"/>
                  <w:vMerge w:val="continue"/>
                  <w:noWrap w:val="0"/>
                  <w:vAlign w:val="center"/>
                </w:tcPr>
                <w:p w14:paraId="3354B89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p>
              </w:tc>
              <w:tc>
                <w:tcPr>
                  <w:tcW w:w="1561" w:type="dxa"/>
                  <w:tcBorders>
                    <w:top w:val="single" w:color="000000" w:sz="4" w:space="0"/>
                    <w:bottom w:val="single" w:color="000000" w:sz="4" w:space="0"/>
                  </w:tcBorders>
                  <w:noWrap w:val="0"/>
                  <w:vAlign w:val="center"/>
                </w:tcPr>
                <w:p w14:paraId="2E39FAD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630" w:type="dxa"/>
                  <w:tcBorders>
                    <w:top w:val="single" w:color="000000" w:sz="4" w:space="0"/>
                    <w:bottom w:val="single" w:color="000000" w:sz="4" w:space="0"/>
                  </w:tcBorders>
                  <w:noWrap w:val="0"/>
                  <w:vAlign w:val="center"/>
                </w:tcPr>
                <w:p w14:paraId="78C0A4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0.079</w:t>
                  </w:r>
                </w:p>
              </w:tc>
              <w:tc>
                <w:tcPr>
                  <w:tcW w:w="1483" w:type="dxa"/>
                  <w:tcBorders>
                    <w:top w:val="single" w:color="000000" w:sz="4" w:space="0"/>
                    <w:bottom w:val="single" w:color="000000" w:sz="4" w:space="0"/>
                  </w:tcBorders>
                  <w:noWrap w:val="0"/>
                  <w:vAlign w:val="center"/>
                </w:tcPr>
                <w:p w14:paraId="2A61CE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0.01647</w:t>
                  </w:r>
                </w:p>
              </w:tc>
              <w:tc>
                <w:tcPr>
                  <w:tcW w:w="1753" w:type="dxa"/>
                  <w:vMerge w:val="continue"/>
                  <w:noWrap w:val="0"/>
                  <w:vAlign w:val="center"/>
                </w:tcPr>
                <w:p w14:paraId="419418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6" w:type="dxa"/>
                  <w:vMerge w:val="continue"/>
                  <w:noWrap w:val="0"/>
                  <w:vAlign w:val="center"/>
                </w:tcPr>
                <w:p w14:paraId="7957A14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p>
              </w:tc>
            </w:tr>
            <w:tr w14:paraId="38A38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175" w:type="dxa"/>
                  <w:vMerge w:val="continue"/>
                  <w:noWrap w:val="0"/>
                  <w:vAlign w:val="center"/>
                </w:tcPr>
                <w:p w14:paraId="660BBF9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p>
              </w:tc>
              <w:tc>
                <w:tcPr>
                  <w:tcW w:w="1561" w:type="dxa"/>
                  <w:tcBorders>
                    <w:top w:val="single" w:color="000000" w:sz="4" w:space="0"/>
                    <w:bottom w:val="single" w:color="auto" w:sz="4" w:space="0"/>
                  </w:tcBorders>
                  <w:noWrap w:val="0"/>
                  <w:vAlign w:val="center"/>
                </w:tcPr>
                <w:p w14:paraId="0B1AD87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非甲烷总烃</w:t>
                  </w:r>
                </w:p>
              </w:tc>
              <w:tc>
                <w:tcPr>
                  <w:tcW w:w="1630" w:type="dxa"/>
                  <w:tcBorders>
                    <w:top w:val="single" w:color="000000" w:sz="4" w:space="0"/>
                    <w:bottom w:val="single" w:color="auto" w:sz="4" w:space="0"/>
                  </w:tcBorders>
                  <w:noWrap w:val="0"/>
                  <w:vAlign w:val="center"/>
                </w:tcPr>
                <w:p w14:paraId="1BBF67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0.0981</w:t>
                  </w:r>
                </w:p>
              </w:tc>
              <w:tc>
                <w:tcPr>
                  <w:tcW w:w="1483" w:type="dxa"/>
                  <w:tcBorders>
                    <w:top w:val="single" w:color="000000" w:sz="4" w:space="0"/>
                    <w:bottom w:val="single" w:color="auto" w:sz="4" w:space="0"/>
                  </w:tcBorders>
                  <w:noWrap w:val="0"/>
                  <w:vAlign w:val="center"/>
                </w:tcPr>
                <w:p w14:paraId="145A87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0.01885</w:t>
                  </w:r>
                </w:p>
              </w:tc>
              <w:tc>
                <w:tcPr>
                  <w:tcW w:w="1753" w:type="dxa"/>
                  <w:vMerge w:val="continue"/>
                  <w:noWrap w:val="0"/>
                  <w:vAlign w:val="center"/>
                </w:tcPr>
                <w:p w14:paraId="6CFE60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6" w:type="dxa"/>
                  <w:vMerge w:val="continue"/>
                  <w:noWrap w:val="0"/>
                  <w:vAlign w:val="center"/>
                </w:tcPr>
                <w:p w14:paraId="72F2B2A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p>
              </w:tc>
            </w:tr>
            <w:tr w14:paraId="7F395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1175" w:type="dxa"/>
                  <w:vMerge w:val="continue"/>
                  <w:noWrap w:val="0"/>
                  <w:vAlign w:val="center"/>
                </w:tcPr>
                <w:p w14:paraId="47ABB22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p>
              </w:tc>
              <w:tc>
                <w:tcPr>
                  <w:tcW w:w="1561" w:type="dxa"/>
                  <w:tcBorders>
                    <w:top w:val="single" w:color="auto" w:sz="4" w:space="0"/>
                    <w:bottom w:val="single" w:color="000000" w:sz="4" w:space="0"/>
                  </w:tcBorders>
                  <w:noWrap w:val="0"/>
                  <w:vAlign w:val="center"/>
                </w:tcPr>
                <w:p w14:paraId="7C3C7EB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630" w:type="dxa"/>
                  <w:tcBorders>
                    <w:top w:val="single" w:color="auto" w:sz="4" w:space="0"/>
                    <w:bottom w:val="single" w:color="000000" w:sz="4" w:space="0"/>
                  </w:tcBorders>
                  <w:noWrap w:val="0"/>
                  <w:vAlign w:val="center"/>
                </w:tcPr>
                <w:p w14:paraId="3833EB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0.0018</w:t>
                  </w:r>
                </w:p>
              </w:tc>
              <w:tc>
                <w:tcPr>
                  <w:tcW w:w="1483" w:type="dxa"/>
                  <w:tcBorders>
                    <w:top w:val="single" w:color="auto" w:sz="4" w:space="0"/>
                    <w:bottom w:val="single" w:color="000000" w:sz="4" w:space="0"/>
                  </w:tcBorders>
                  <w:noWrap w:val="0"/>
                  <w:vAlign w:val="center"/>
                </w:tcPr>
                <w:p w14:paraId="4BDE5E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1753" w:type="dxa"/>
                  <w:vMerge w:val="continue"/>
                  <w:noWrap w:val="0"/>
                  <w:vAlign w:val="center"/>
                </w:tcPr>
                <w:p w14:paraId="4C8019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6" w:type="dxa"/>
                  <w:vMerge w:val="continue"/>
                  <w:noWrap w:val="0"/>
                  <w:vAlign w:val="center"/>
                </w:tcPr>
                <w:p w14:paraId="65CA0C5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p>
              </w:tc>
            </w:tr>
            <w:tr w14:paraId="712CF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jc w:val="center"/>
              </w:trPr>
              <w:tc>
                <w:tcPr>
                  <w:tcW w:w="1175" w:type="dxa"/>
                  <w:vMerge w:val="continue"/>
                  <w:noWrap w:val="0"/>
                  <w:vAlign w:val="center"/>
                </w:tcPr>
                <w:p w14:paraId="275C035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p>
              </w:tc>
              <w:tc>
                <w:tcPr>
                  <w:tcW w:w="1561" w:type="dxa"/>
                  <w:tcBorders>
                    <w:top w:val="single" w:color="000000" w:sz="4" w:space="0"/>
                  </w:tcBorders>
                  <w:noWrap w:val="0"/>
                  <w:vAlign w:val="center"/>
                </w:tcPr>
                <w:p w14:paraId="33C03A3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酚类</w:t>
                  </w:r>
                </w:p>
              </w:tc>
              <w:tc>
                <w:tcPr>
                  <w:tcW w:w="1630" w:type="dxa"/>
                  <w:tcBorders>
                    <w:top w:val="single" w:color="000000" w:sz="4" w:space="0"/>
                  </w:tcBorders>
                  <w:noWrap w:val="0"/>
                  <w:vAlign w:val="center"/>
                </w:tcPr>
                <w:p w14:paraId="631C12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0.0035</w:t>
                  </w:r>
                </w:p>
              </w:tc>
              <w:tc>
                <w:tcPr>
                  <w:tcW w:w="1483" w:type="dxa"/>
                  <w:tcBorders>
                    <w:top w:val="single" w:color="000000" w:sz="4" w:space="0"/>
                  </w:tcBorders>
                  <w:noWrap w:val="0"/>
                  <w:vAlign w:val="center"/>
                </w:tcPr>
                <w:p w14:paraId="736A03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0.00073</w:t>
                  </w:r>
                </w:p>
              </w:tc>
              <w:tc>
                <w:tcPr>
                  <w:tcW w:w="1753" w:type="dxa"/>
                  <w:vMerge w:val="continue"/>
                  <w:noWrap w:val="0"/>
                  <w:vAlign w:val="center"/>
                </w:tcPr>
                <w:p w14:paraId="1DD4B9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36" w:type="dxa"/>
                  <w:vMerge w:val="continue"/>
                  <w:noWrap w:val="0"/>
                  <w:vAlign w:val="center"/>
                </w:tcPr>
                <w:p w14:paraId="5F47A6A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21"/>
                      <w:szCs w:val="21"/>
                      <w:highlight w:val="none"/>
                      <w:lang w:val="en-US" w:eastAsia="zh-CN"/>
                    </w:rPr>
                  </w:pPr>
                </w:p>
              </w:tc>
            </w:tr>
            <w:tr w14:paraId="06306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1175" w:type="dxa"/>
                  <w:vMerge w:val="restart"/>
                  <w:noWrap w:val="0"/>
                  <w:vAlign w:val="center"/>
                </w:tcPr>
                <w:p w14:paraId="5E3F71D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生产车间4号楼</w:t>
                  </w:r>
                </w:p>
              </w:tc>
              <w:tc>
                <w:tcPr>
                  <w:tcW w:w="1561" w:type="dxa"/>
                  <w:noWrap w:val="0"/>
                  <w:vAlign w:val="center"/>
                </w:tcPr>
                <w:p w14:paraId="564D474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75ADFD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0.0354</w:t>
                  </w:r>
                </w:p>
              </w:tc>
              <w:tc>
                <w:tcPr>
                  <w:tcW w:w="1483" w:type="dxa"/>
                  <w:noWrap w:val="0"/>
                  <w:vAlign w:val="center"/>
                </w:tcPr>
                <w:p w14:paraId="71C47D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0.02347</w:t>
                  </w:r>
                </w:p>
              </w:tc>
              <w:tc>
                <w:tcPr>
                  <w:tcW w:w="1753" w:type="dxa"/>
                  <w:vMerge w:val="restart"/>
                  <w:noWrap w:val="0"/>
                  <w:vAlign w:val="center"/>
                </w:tcPr>
                <w:p w14:paraId="3E47F39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0"/>
                      <w:szCs w:val="20"/>
                      <w:highlight w:val="none"/>
                      <w:lang w:val="en-US" w:eastAsia="zh-CN"/>
                    </w:rPr>
                    <w:t>4275</w:t>
                  </w:r>
                </w:p>
              </w:tc>
              <w:tc>
                <w:tcPr>
                  <w:tcW w:w="936" w:type="dxa"/>
                  <w:vMerge w:val="restart"/>
                  <w:noWrap w:val="0"/>
                  <w:vAlign w:val="center"/>
                </w:tcPr>
                <w:p w14:paraId="5EADFD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0"/>
                      <w:szCs w:val="20"/>
                      <w:highlight w:val="none"/>
                      <w:lang w:val="en-US" w:eastAsia="zh-CN"/>
                    </w:rPr>
                    <w:t>22</w:t>
                  </w:r>
                </w:p>
              </w:tc>
            </w:tr>
            <w:tr w14:paraId="23DE3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1175" w:type="dxa"/>
                  <w:vMerge w:val="continue"/>
                  <w:noWrap w:val="0"/>
                  <w:vAlign w:val="center"/>
                </w:tcPr>
                <w:p w14:paraId="09491C1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p>
              </w:tc>
              <w:tc>
                <w:tcPr>
                  <w:tcW w:w="1561" w:type="dxa"/>
                  <w:noWrap w:val="0"/>
                  <w:vAlign w:val="center"/>
                </w:tcPr>
                <w:p w14:paraId="6BFD348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630" w:type="dxa"/>
                  <w:noWrap w:val="0"/>
                  <w:vAlign w:val="center"/>
                </w:tcPr>
                <w:p w14:paraId="6367DD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0.0018</w:t>
                  </w:r>
                </w:p>
              </w:tc>
              <w:tc>
                <w:tcPr>
                  <w:tcW w:w="1483" w:type="dxa"/>
                  <w:noWrap w:val="0"/>
                  <w:vAlign w:val="center"/>
                </w:tcPr>
                <w:p w14:paraId="5297E2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0.003</w:t>
                  </w:r>
                </w:p>
              </w:tc>
              <w:tc>
                <w:tcPr>
                  <w:tcW w:w="1753" w:type="dxa"/>
                  <w:vMerge w:val="continue"/>
                  <w:noWrap w:val="0"/>
                  <w:vAlign w:val="center"/>
                </w:tcPr>
                <w:p w14:paraId="6483E1C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936" w:type="dxa"/>
                  <w:vMerge w:val="continue"/>
                  <w:noWrap w:val="0"/>
                  <w:vAlign w:val="center"/>
                </w:tcPr>
                <w:p w14:paraId="3002C1C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r>
            <w:tr w14:paraId="33009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393E9AE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c>
                <w:tcPr>
                  <w:tcW w:w="1561" w:type="dxa"/>
                  <w:noWrap w:val="0"/>
                  <w:vAlign w:val="center"/>
                </w:tcPr>
                <w:p w14:paraId="0E1D5B5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1630" w:type="dxa"/>
                  <w:noWrap w:val="0"/>
                  <w:vAlign w:val="center"/>
                </w:tcPr>
                <w:p w14:paraId="5DDC43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0.0833</w:t>
                  </w:r>
                </w:p>
              </w:tc>
              <w:tc>
                <w:tcPr>
                  <w:tcW w:w="1483" w:type="dxa"/>
                  <w:noWrap w:val="0"/>
                  <w:vAlign w:val="center"/>
                </w:tcPr>
                <w:p w14:paraId="760469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0.01736</w:t>
                  </w:r>
                </w:p>
              </w:tc>
              <w:tc>
                <w:tcPr>
                  <w:tcW w:w="1753" w:type="dxa"/>
                  <w:vMerge w:val="continue"/>
                  <w:noWrap w:val="0"/>
                  <w:vAlign w:val="center"/>
                </w:tcPr>
                <w:p w14:paraId="593D7B3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c>
                <w:tcPr>
                  <w:tcW w:w="936" w:type="dxa"/>
                  <w:vMerge w:val="continue"/>
                  <w:noWrap w:val="0"/>
                  <w:vAlign w:val="center"/>
                </w:tcPr>
                <w:p w14:paraId="66A3550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r>
            <w:tr w14:paraId="57237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noWrap w:val="0"/>
                  <w:vAlign w:val="center"/>
                </w:tcPr>
                <w:p w14:paraId="759CC78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实验室</w:t>
                  </w:r>
                </w:p>
              </w:tc>
              <w:tc>
                <w:tcPr>
                  <w:tcW w:w="1561" w:type="dxa"/>
                  <w:noWrap w:val="0"/>
                  <w:vAlign w:val="center"/>
                </w:tcPr>
                <w:p w14:paraId="2E597D2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18A0B3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0.0134</w:t>
                  </w:r>
                </w:p>
              </w:tc>
              <w:tc>
                <w:tcPr>
                  <w:tcW w:w="1483" w:type="dxa"/>
                  <w:noWrap w:val="0"/>
                  <w:vAlign w:val="center"/>
                </w:tcPr>
                <w:p w14:paraId="17681B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0.00418</w:t>
                  </w:r>
                </w:p>
              </w:tc>
              <w:tc>
                <w:tcPr>
                  <w:tcW w:w="1753" w:type="dxa"/>
                  <w:noWrap w:val="0"/>
                  <w:vAlign w:val="center"/>
                </w:tcPr>
                <w:p w14:paraId="56B62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4368.86</w:t>
                  </w:r>
                </w:p>
              </w:tc>
              <w:tc>
                <w:tcPr>
                  <w:tcW w:w="936" w:type="dxa"/>
                  <w:noWrap w:val="0"/>
                  <w:vAlign w:val="center"/>
                </w:tcPr>
                <w:p w14:paraId="6FB62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10</w:t>
                  </w:r>
                </w:p>
              </w:tc>
            </w:tr>
            <w:tr w14:paraId="518BF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noWrap w:val="0"/>
                  <w:vAlign w:val="center"/>
                </w:tcPr>
                <w:p w14:paraId="6F188C6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危险废物</w:t>
                  </w:r>
                  <w:r>
                    <w:rPr>
                      <w:rFonts w:hint="eastAsia" w:ascii="Times New Roman" w:hAnsi="Times New Roman" w:eastAsia="宋体" w:cs="Times New Roman"/>
                      <w:color w:val="auto"/>
                      <w:szCs w:val="21"/>
                      <w:highlight w:val="none"/>
                      <w:lang w:val="en-US" w:eastAsia="zh-CN"/>
                    </w:rPr>
                    <w:t>仓库</w:t>
                  </w:r>
                </w:p>
              </w:tc>
              <w:tc>
                <w:tcPr>
                  <w:tcW w:w="1561" w:type="dxa"/>
                  <w:noWrap w:val="0"/>
                  <w:vAlign w:val="center"/>
                </w:tcPr>
                <w:p w14:paraId="1AEEF70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113A30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0.0526</w:t>
                  </w:r>
                </w:p>
              </w:tc>
              <w:tc>
                <w:tcPr>
                  <w:tcW w:w="1483" w:type="dxa"/>
                  <w:noWrap w:val="0"/>
                  <w:vAlign w:val="center"/>
                </w:tcPr>
                <w:p w14:paraId="69E799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0.00731</w:t>
                  </w:r>
                </w:p>
              </w:tc>
              <w:tc>
                <w:tcPr>
                  <w:tcW w:w="1753" w:type="dxa"/>
                  <w:noWrap w:val="0"/>
                  <w:vAlign w:val="center"/>
                </w:tcPr>
                <w:p w14:paraId="2CA889A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100</w:t>
                  </w:r>
                </w:p>
              </w:tc>
              <w:tc>
                <w:tcPr>
                  <w:tcW w:w="936" w:type="dxa"/>
                  <w:noWrap w:val="0"/>
                  <w:vAlign w:val="center"/>
                </w:tcPr>
                <w:p w14:paraId="21E8D73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r>
          </w:tbl>
          <w:p w14:paraId="1C66BB44">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szCs w:val="32"/>
                <w:highlight w:val="none"/>
                <w:lang w:val="en-US" w:eastAsia="zh-CN"/>
              </w:rPr>
              <w:t>现有</w:t>
            </w:r>
            <w:r>
              <w:rPr>
                <w:rFonts w:hint="eastAsia" w:ascii="Times New Roman" w:hAnsi="Times New Roman" w:eastAsia="宋体" w:cs="Times New Roman"/>
                <w:color w:val="auto"/>
                <w:sz w:val="24"/>
                <w:szCs w:val="32"/>
                <w:highlight w:val="none"/>
              </w:rPr>
              <w:t>项目</w:t>
            </w:r>
            <w:r>
              <w:rPr>
                <w:rFonts w:hint="eastAsia" w:ascii="Times New Roman" w:hAnsi="Times New Roman" w:eastAsia="宋体" w:cs="Times New Roman"/>
                <w:color w:val="auto"/>
                <w:sz w:val="24"/>
                <w:szCs w:val="32"/>
                <w:highlight w:val="none"/>
                <w:lang w:val="en-US" w:eastAsia="zh-CN"/>
              </w:rPr>
              <w:t>建成后全厂</w:t>
            </w:r>
            <w:r>
              <w:rPr>
                <w:rFonts w:hint="eastAsia" w:ascii="Times New Roman" w:hAnsi="Times New Roman" w:eastAsia="宋体" w:cs="Times New Roman"/>
                <w:color w:val="auto"/>
                <w:sz w:val="24"/>
                <w:szCs w:val="32"/>
                <w:highlight w:val="none"/>
              </w:rPr>
              <w:t>卫生防护距离为</w:t>
            </w:r>
            <w:r>
              <w:rPr>
                <w:rFonts w:hint="eastAsia" w:ascii="Times New Roman" w:hAnsi="Times New Roman" w:eastAsia="宋体" w:cs="Times New Roman"/>
                <w:color w:val="auto"/>
                <w:sz w:val="24"/>
                <w:szCs w:val="32"/>
                <w:highlight w:val="none"/>
                <w:lang w:val="en-US" w:eastAsia="zh-CN"/>
              </w:rPr>
              <w:t>生产车间1号楼外50m、生产车间2号楼外50m、</w:t>
            </w:r>
            <w:r>
              <w:rPr>
                <w:rFonts w:hint="eastAsia" w:cs="Times New Roman"/>
                <w:color w:val="auto"/>
                <w:sz w:val="24"/>
                <w:szCs w:val="32"/>
                <w:highlight w:val="none"/>
                <w:lang w:val="en-US" w:eastAsia="zh-CN"/>
              </w:rPr>
              <w:t>生产车间3号楼外50m</w:t>
            </w:r>
            <w:r>
              <w:rPr>
                <w:rFonts w:hint="eastAsia" w:ascii="Times New Roman" w:hAnsi="Times New Roman" w:eastAsia="宋体" w:cs="Times New Roman"/>
                <w:color w:val="auto"/>
                <w:sz w:val="24"/>
                <w:szCs w:val="32"/>
                <w:highlight w:val="none"/>
                <w:lang w:val="en-US" w:eastAsia="zh-CN"/>
              </w:rPr>
              <w:t>、生产车间4号楼外50m、实验室外50m以及</w:t>
            </w:r>
            <w:r>
              <w:rPr>
                <w:rFonts w:hint="eastAsia" w:cs="Times New Roman"/>
                <w:color w:val="auto"/>
                <w:sz w:val="24"/>
                <w:szCs w:val="32"/>
                <w:highlight w:val="none"/>
                <w:lang w:val="en-US" w:eastAsia="zh-CN"/>
              </w:rPr>
              <w:t>危险废物</w:t>
            </w:r>
            <w:r>
              <w:rPr>
                <w:rFonts w:hint="eastAsia" w:ascii="Times New Roman" w:hAnsi="Times New Roman" w:eastAsia="宋体" w:cs="Times New Roman"/>
                <w:color w:val="auto"/>
                <w:sz w:val="24"/>
                <w:szCs w:val="32"/>
                <w:highlight w:val="none"/>
                <w:lang w:val="en-US" w:eastAsia="zh-CN"/>
              </w:rPr>
              <w:t>仓库外50m所形成的包络线。</w:t>
            </w:r>
            <w:r>
              <w:rPr>
                <w:rFonts w:hint="eastAsia" w:ascii="Times New Roman" w:hAnsi="Times New Roman" w:eastAsia="宋体" w:cs="Times New Roman"/>
                <w:color w:val="auto"/>
                <w:sz w:val="24"/>
                <w:szCs w:val="32"/>
                <w:highlight w:val="none"/>
              </w:rPr>
              <w:t>此范围内无环境敏感目标</w:t>
            </w:r>
            <w:r>
              <w:rPr>
                <w:rFonts w:hint="default" w:ascii="Times New Roman" w:hAnsi="Times New Roman" w:eastAsia="宋体" w:cs="Times New Roman"/>
                <w:color w:val="auto"/>
                <w:sz w:val="24"/>
                <w:highlight w:val="none"/>
              </w:rPr>
              <w:t>，卫生防护距离内无居民、学校等敏感点存在</w:t>
            </w:r>
            <w:r>
              <w:rPr>
                <w:rFonts w:hint="eastAsia" w:ascii="Times New Roman" w:hAnsi="Times New Roman" w:eastAsia="宋体" w:cs="Times New Roman"/>
                <w:color w:val="auto"/>
                <w:sz w:val="24"/>
                <w:highlight w:val="none"/>
                <w:lang w:eastAsia="zh-CN"/>
              </w:rPr>
              <w:t>。</w:t>
            </w:r>
          </w:p>
          <w:p w14:paraId="402D4AB3">
            <w:pPr>
              <w:pStyle w:val="15"/>
              <w:keepNext w:val="0"/>
              <w:keepLines w:val="0"/>
              <w:widowControl/>
              <w:suppressLineNumbers w:val="0"/>
              <w:spacing w:before="0" w:beforeAutospacing="0" w:after="0" w:afterAutospacing="0" w:line="360" w:lineRule="auto"/>
              <w:ind w:left="0" w:leftChars="0" w:right="0" w:firstLine="482" w:firstLineChars="200"/>
              <w:rPr>
                <w:rStyle w:val="29"/>
                <w:rFonts w:hint="eastAsia" w:ascii="Times New Roman" w:hAnsi="Times New Roman" w:eastAsia="宋体" w:cs="Times New Roman"/>
                <w:b/>
                <w:bCs/>
                <w:color w:val="auto"/>
                <w:sz w:val="24"/>
                <w:szCs w:val="24"/>
                <w:highlight w:val="none"/>
                <w:lang w:val="en-US" w:eastAsia="zh-CN"/>
              </w:rPr>
            </w:pPr>
            <w:r>
              <w:rPr>
                <w:rStyle w:val="29"/>
                <w:rFonts w:hint="eastAsia" w:ascii="Times New Roman" w:hAnsi="Times New Roman" w:eastAsia="宋体" w:cs="Times New Roman"/>
                <w:b/>
                <w:bCs/>
                <w:color w:val="auto"/>
                <w:kern w:val="2"/>
                <w:sz w:val="24"/>
                <w:szCs w:val="24"/>
                <w:highlight w:val="none"/>
                <w:lang w:val="en-US" w:eastAsia="zh-CN"/>
              </w:rPr>
              <w:t>（2）废水产生及排放情况</w:t>
            </w:r>
          </w:p>
          <w:p w14:paraId="7DB1E62A">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Style w:val="29"/>
                <w:rFonts w:hint="eastAsia" w:ascii="Times New Roman" w:hAnsi="Times New Roman" w:eastAsia="宋体" w:cs="Times New Roman"/>
                <w:b w:val="0"/>
                <w:bCs w:val="0"/>
                <w:color w:val="auto"/>
                <w:kern w:val="2"/>
                <w:sz w:val="24"/>
                <w:szCs w:val="24"/>
                <w:highlight w:val="none"/>
                <w:lang w:val="en-US" w:eastAsia="zh-CN"/>
              </w:rPr>
            </w:pPr>
            <w:r>
              <w:rPr>
                <w:rStyle w:val="29"/>
                <w:rFonts w:hint="eastAsia" w:ascii="Times New Roman" w:hAnsi="Times New Roman" w:eastAsia="宋体" w:cs="Times New Roman"/>
                <w:b w:val="0"/>
                <w:bCs w:val="0"/>
                <w:color w:val="auto"/>
                <w:kern w:val="2"/>
                <w:sz w:val="24"/>
                <w:szCs w:val="24"/>
                <w:highlight w:val="none"/>
                <w:lang w:val="en-US" w:eastAsia="zh-CN"/>
              </w:rPr>
              <w:t>现有项目食堂污水经隔油池预处理、生活污水经化粪池预处理后和超声波清废水、实验室冷却水、实验室水浴废水一并接管至太湖新城污水处理厂。现有项目全厂水平衡图见图2-8。</w:t>
            </w:r>
          </w:p>
          <w:p w14:paraId="34B87F4E">
            <w:pPr>
              <w:pStyle w:val="15"/>
              <w:keepNext w:val="0"/>
              <w:keepLines w:val="0"/>
              <w:widowControl/>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olor w:val="auto"/>
                <w:highlight w:val="none"/>
              </w:rPr>
              <w:object>
                <v:shape id="_x0000_i1032" o:spt="75" type="#_x0000_t75" style="height:652.15pt;width:387pt;" o:ole="t" filled="f" o:preferrelative="t" stroked="f" coordsize="21600,21600">
                  <v:path/>
                  <v:fill on="f" focussize="0,0"/>
                  <v:stroke on="f"/>
                  <v:imagedata r:id="rId23" cropleft="2460f" croptop="1336f" cropright="20187f" cropbottom="8908f" o:title=""/>
                  <o:lock v:ext="edit" aspectratio="t"/>
                  <w10:wrap type="none"/>
                  <w10:anchorlock/>
                </v:shape>
                <o:OLEObject Type="Embed" ProgID="Visio.Drawing.11" ShapeID="_x0000_i1032" DrawAspect="Content" ObjectID="_1468075732" r:id="rId22">
                  <o:LockedField>false</o:LockedField>
                </o:OLEObject>
              </w:object>
            </w:r>
          </w:p>
          <w:p w14:paraId="478A4407">
            <w:pPr>
              <w:pStyle w:val="15"/>
              <w:keepNext w:val="0"/>
              <w:keepLines w:val="0"/>
              <w:widowControl/>
              <w:suppressLineNumbers w:val="0"/>
              <w:spacing w:before="0" w:beforeAutospacing="0" w:after="0" w:afterAutospacing="0" w:line="360" w:lineRule="auto"/>
              <w:ind w:left="0" w:leftChars="0" w:right="0"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图2-</w:t>
            </w:r>
            <w:r>
              <w:rPr>
                <w:rFonts w:hint="eastAsia" w:cs="Times New Roman"/>
                <w:b/>
                <w:bCs/>
                <w:color w:val="auto"/>
                <w:kern w:val="2"/>
                <w:sz w:val="24"/>
                <w:szCs w:val="24"/>
                <w:highlight w:val="none"/>
                <w:lang w:val="en-US" w:eastAsia="zh-CN" w:bidi="ar-SA"/>
              </w:rPr>
              <w:t>8</w:t>
            </w:r>
            <w:r>
              <w:rPr>
                <w:rFonts w:hint="default" w:ascii="Times New Roman" w:hAnsi="Times New Roman" w:eastAsia="宋体" w:cs="Times New Roman"/>
                <w:b/>
                <w:bCs/>
                <w:color w:val="auto"/>
                <w:kern w:val="2"/>
                <w:sz w:val="24"/>
                <w:szCs w:val="24"/>
                <w:highlight w:val="none"/>
                <w:lang w:val="en-US" w:eastAsia="zh-CN" w:bidi="ar-SA"/>
              </w:rPr>
              <w:t xml:space="preserve">  现有项目水平衡图  单位：t/a</w:t>
            </w:r>
          </w:p>
          <w:p w14:paraId="2A5F6830">
            <w:pPr>
              <w:pStyle w:val="15"/>
              <w:keepNext w:val="0"/>
              <w:keepLines w:val="0"/>
              <w:widowControl/>
              <w:suppressLineNumbers w:val="0"/>
              <w:spacing w:before="0" w:beforeAutospacing="0" w:after="0" w:afterAutospacing="0" w:line="360" w:lineRule="auto"/>
              <w:ind w:left="0" w:leftChars="0" w:right="0" w:firstLine="480" w:firstLineChars="200"/>
              <w:rPr>
                <w:rStyle w:val="29"/>
                <w:rFonts w:hint="eastAsia" w:ascii="Times New Roman" w:hAnsi="Times New Roman" w:eastAsia="宋体" w:cs="Times New Roman"/>
                <w:b w:val="0"/>
                <w:bCs w:val="0"/>
                <w:color w:val="auto"/>
                <w:sz w:val="24"/>
                <w:szCs w:val="24"/>
                <w:highlight w:val="none"/>
                <w:lang w:val="en-US" w:eastAsia="zh-CN"/>
              </w:rPr>
            </w:pPr>
            <w:r>
              <w:rPr>
                <w:rStyle w:val="29"/>
                <w:rFonts w:hint="eastAsia" w:ascii="Times New Roman" w:hAnsi="Times New Roman" w:eastAsia="宋体" w:cs="Times New Roman"/>
                <w:b w:val="0"/>
                <w:bCs w:val="0"/>
                <w:color w:val="auto"/>
                <w:sz w:val="24"/>
                <w:szCs w:val="24"/>
                <w:highlight w:val="none"/>
                <w:lang w:val="en-US" w:eastAsia="zh-CN"/>
              </w:rPr>
              <w:t>全厂废水产生及排放情况见表2-</w:t>
            </w:r>
            <w:r>
              <w:rPr>
                <w:rStyle w:val="29"/>
                <w:rFonts w:hint="eastAsia" w:cs="Times New Roman"/>
                <w:b w:val="0"/>
                <w:bCs w:val="0"/>
                <w:color w:val="auto"/>
                <w:sz w:val="24"/>
                <w:szCs w:val="24"/>
                <w:highlight w:val="none"/>
                <w:lang w:val="en-US" w:eastAsia="zh-CN"/>
              </w:rPr>
              <w:t>15</w:t>
            </w:r>
            <w:r>
              <w:rPr>
                <w:rStyle w:val="29"/>
                <w:rFonts w:hint="eastAsia" w:ascii="Times New Roman" w:hAnsi="Times New Roman" w:eastAsia="宋体" w:cs="Times New Roman"/>
                <w:b w:val="0"/>
                <w:bCs w:val="0"/>
                <w:color w:val="auto"/>
                <w:sz w:val="24"/>
                <w:szCs w:val="24"/>
                <w:highlight w:val="none"/>
                <w:lang w:val="en-US" w:eastAsia="zh-CN"/>
              </w:rPr>
              <w:t>。</w:t>
            </w:r>
          </w:p>
          <w:p w14:paraId="0DA951D1">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15</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现有项目核定全厂废水污染物产生及排放情况表</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918"/>
              <w:gridCol w:w="1113"/>
              <w:gridCol w:w="956"/>
              <w:gridCol w:w="943"/>
              <w:gridCol w:w="1020"/>
              <w:gridCol w:w="890"/>
              <w:gridCol w:w="914"/>
              <w:gridCol w:w="950"/>
              <w:gridCol w:w="851"/>
            </w:tblGrid>
            <w:tr w14:paraId="67736E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3A236D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污染源</w:t>
                  </w:r>
                </w:p>
              </w:tc>
              <w:tc>
                <w:tcPr>
                  <w:tcW w:w="650" w:type="pct"/>
                  <w:vMerge w:val="restart"/>
                  <w:noWrap w:val="0"/>
                  <w:tcMar>
                    <w:top w:w="0" w:type="dxa"/>
                    <w:left w:w="0" w:type="dxa"/>
                    <w:bottom w:w="0" w:type="dxa"/>
                    <w:right w:w="0" w:type="dxa"/>
                  </w:tcMar>
                  <w:vAlign w:val="center"/>
                </w:tcPr>
                <w:p w14:paraId="54EED0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污染物</w:t>
                  </w:r>
                </w:p>
              </w:tc>
              <w:tc>
                <w:tcPr>
                  <w:tcW w:w="1706" w:type="pct"/>
                  <w:gridSpan w:val="3"/>
                  <w:tcBorders>
                    <w:right w:val="single" w:color="auto" w:sz="4" w:space="0"/>
                  </w:tcBorders>
                  <w:noWrap w:val="0"/>
                  <w:tcMar>
                    <w:top w:w="0" w:type="dxa"/>
                    <w:left w:w="0" w:type="dxa"/>
                    <w:bottom w:w="0" w:type="dxa"/>
                    <w:right w:w="0" w:type="dxa"/>
                  </w:tcMar>
                  <w:vAlign w:val="center"/>
                </w:tcPr>
                <w:p w14:paraId="1DCDDD24">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color w:val="auto"/>
                      <w:kern w:val="44"/>
                      <w:sz w:val="21"/>
                      <w:szCs w:val="21"/>
                      <w:highlight w:val="none"/>
                      <w:lang w:val="en-US" w:eastAsia="zh-CN" w:bidi="ar-SA"/>
                    </w:rPr>
                  </w:pPr>
                  <w:r>
                    <w:rPr>
                      <w:rFonts w:hint="eastAsia" w:ascii="Times New Roman" w:hAnsi="Times New Roman" w:eastAsia="宋体" w:cs="Times New Roman"/>
                      <w:b/>
                      <w:bCs/>
                      <w:color w:val="auto"/>
                      <w:kern w:val="44"/>
                      <w:sz w:val="21"/>
                      <w:szCs w:val="21"/>
                      <w:highlight w:val="none"/>
                      <w:lang w:val="en-US" w:eastAsia="zh-CN" w:bidi="ar-SA"/>
                    </w:rPr>
                    <w:t>污染物产生量</w:t>
                  </w:r>
                </w:p>
              </w:tc>
              <w:tc>
                <w:tcPr>
                  <w:tcW w:w="520" w:type="pct"/>
                  <w:vMerge w:val="restart"/>
                  <w:tcBorders>
                    <w:left w:val="single" w:color="auto" w:sz="4" w:space="0"/>
                    <w:right w:val="single" w:color="auto" w:sz="4" w:space="0"/>
                  </w:tcBorders>
                  <w:noWrap w:val="0"/>
                  <w:tcMar>
                    <w:top w:w="0" w:type="dxa"/>
                    <w:left w:w="0" w:type="dxa"/>
                    <w:bottom w:w="0" w:type="dxa"/>
                    <w:right w:w="0" w:type="dxa"/>
                  </w:tcMar>
                  <w:vAlign w:val="center"/>
                </w:tcPr>
                <w:p w14:paraId="152598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处理措施</w:t>
                  </w:r>
                </w:p>
              </w:tc>
              <w:tc>
                <w:tcPr>
                  <w:tcW w:w="1089" w:type="pct"/>
                  <w:gridSpan w:val="2"/>
                  <w:tcBorders>
                    <w:left w:val="single" w:color="auto" w:sz="4" w:space="0"/>
                  </w:tcBorders>
                  <w:noWrap w:val="0"/>
                  <w:tcMar>
                    <w:top w:w="0" w:type="dxa"/>
                    <w:left w:w="0" w:type="dxa"/>
                    <w:bottom w:w="0" w:type="dxa"/>
                    <w:right w:w="0" w:type="dxa"/>
                  </w:tcMar>
                  <w:vAlign w:val="center"/>
                </w:tcPr>
                <w:p w14:paraId="4C3EC778">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color w:val="auto"/>
                      <w:kern w:val="44"/>
                      <w:sz w:val="21"/>
                      <w:szCs w:val="21"/>
                      <w:highlight w:val="none"/>
                      <w:lang w:val="en-US" w:eastAsia="zh-CN" w:bidi="ar-SA"/>
                    </w:rPr>
                  </w:pPr>
                  <w:r>
                    <w:rPr>
                      <w:rFonts w:hint="eastAsia" w:ascii="Times New Roman" w:hAnsi="Times New Roman" w:eastAsia="宋体" w:cs="Times New Roman"/>
                      <w:b/>
                      <w:bCs/>
                      <w:color w:val="auto"/>
                      <w:kern w:val="44"/>
                      <w:sz w:val="21"/>
                      <w:szCs w:val="21"/>
                      <w:highlight w:val="none"/>
                      <w:lang w:val="en-US" w:eastAsia="zh-CN" w:bidi="ar-SA"/>
                    </w:rPr>
                    <w:t>污染物接管量</w:t>
                  </w:r>
                </w:p>
              </w:tc>
              <w:tc>
                <w:tcPr>
                  <w:tcW w:w="497" w:type="pct"/>
                  <w:vMerge w:val="restart"/>
                  <w:noWrap w:val="0"/>
                  <w:tcMar>
                    <w:top w:w="0" w:type="dxa"/>
                    <w:left w:w="0" w:type="dxa"/>
                    <w:bottom w:w="0" w:type="dxa"/>
                    <w:right w:w="0" w:type="dxa"/>
                  </w:tcMar>
                  <w:vAlign w:val="center"/>
                </w:tcPr>
                <w:p w14:paraId="6A0465D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spacing w:val="-4"/>
                      <w:kern w:val="44"/>
                      <w:sz w:val="21"/>
                      <w:szCs w:val="21"/>
                      <w:highlight w:val="none"/>
                      <w:lang w:val="en-US" w:eastAsia="zh-CN" w:bidi="ar-SA"/>
                    </w:rPr>
                    <w:t>排放去向</w:t>
                  </w:r>
                </w:p>
              </w:tc>
            </w:tr>
            <w:tr w14:paraId="0F6647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536" w:type="pct"/>
                  <w:vMerge w:val="continue"/>
                  <w:noWrap w:val="0"/>
                  <w:tcMar>
                    <w:top w:w="0" w:type="dxa"/>
                    <w:left w:w="0" w:type="dxa"/>
                    <w:bottom w:w="0" w:type="dxa"/>
                    <w:right w:w="0" w:type="dxa"/>
                  </w:tcMar>
                  <w:vAlign w:val="center"/>
                </w:tcPr>
                <w:p w14:paraId="554D0BA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p>
              </w:tc>
              <w:tc>
                <w:tcPr>
                  <w:tcW w:w="650" w:type="pct"/>
                  <w:vMerge w:val="continue"/>
                  <w:noWrap w:val="0"/>
                  <w:tcMar>
                    <w:top w:w="0" w:type="dxa"/>
                    <w:left w:w="0" w:type="dxa"/>
                    <w:bottom w:w="0" w:type="dxa"/>
                    <w:right w:w="0" w:type="dxa"/>
                  </w:tcMar>
                  <w:vAlign w:val="center"/>
                </w:tcPr>
                <w:p w14:paraId="274AD9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p>
              </w:tc>
              <w:tc>
                <w:tcPr>
                  <w:tcW w:w="559" w:type="pct"/>
                  <w:noWrap w:val="0"/>
                  <w:tcMar>
                    <w:top w:w="0" w:type="dxa"/>
                    <w:left w:w="0" w:type="dxa"/>
                    <w:bottom w:w="0" w:type="dxa"/>
                    <w:right w:w="0" w:type="dxa"/>
                  </w:tcMar>
                  <w:vAlign w:val="center"/>
                </w:tcPr>
                <w:p w14:paraId="6175BD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废水量</w:t>
                  </w:r>
                </w:p>
                <w:p w14:paraId="3C78A43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(t/a)</w:t>
                  </w:r>
                </w:p>
              </w:tc>
              <w:tc>
                <w:tcPr>
                  <w:tcW w:w="551" w:type="pct"/>
                  <w:noWrap w:val="0"/>
                  <w:tcMar>
                    <w:top w:w="0" w:type="dxa"/>
                    <w:left w:w="0" w:type="dxa"/>
                    <w:bottom w:w="0" w:type="dxa"/>
                    <w:right w:w="0" w:type="dxa"/>
                  </w:tcMar>
                  <w:vAlign w:val="center"/>
                </w:tcPr>
                <w:p w14:paraId="2EAB4AA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浓度</w:t>
                  </w:r>
                </w:p>
                <w:p w14:paraId="68FACDC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mg/L</w:t>
                  </w:r>
                </w:p>
              </w:tc>
              <w:tc>
                <w:tcPr>
                  <w:tcW w:w="595" w:type="pct"/>
                  <w:tcBorders>
                    <w:right w:val="single" w:color="auto" w:sz="4" w:space="0"/>
                  </w:tcBorders>
                  <w:noWrap w:val="0"/>
                  <w:tcMar>
                    <w:top w:w="0" w:type="dxa"/>
                    <w:left w:w="0" w:type="dxa"/>
                    <w:bottom w:w="0" w:type="dxa"/>
                    <w:right w:w="0" w:type="dxa"/>
                  </w:tcMar>
                  <w:vAlign w:val="center"/>
                </w:tcPr>
                <w:p w14:paraId="2A9E639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产生量t/a</w:t>
                  </w:r>
                </w:p>
              </w:tc>
              <w:tc>
                <w:tcPr>
                  <w:tcW w:w="520" w:type="pct"/>
                  <w:vMerge w:val="continue"/>
                  <w:tcBorders>
                    <w:left w:val="single" w:color="auto" w:sz="4" w:space="0"/>
                    <w:right w:val="single" w:color="auto" w:sz="4" w:space="0"/>
                  </w:tcBorders>
                  <w:noWrap w:val="0"/>
                  <w:tcMar>
                    <w:top w:w="0" w:type="dxa"/>
                    <w:left w:w="0" w:type="dxa"/>
                    <w:bottom w:w="0" w:type="dxa"/>
                    <w:right w:w="0" w:type="dxa"/>
                  </w:tcMar>
                  <w:vAlign w:val="center"/>
                </w:tcPr>
                <w:p w14:paraId="1B413A1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p>
              </w:tc>
              <w:tc>
                <w:tcPr>
                  <w:tcW w:w="534" w:type="pct"/>
                  <w:tcBorders>
                    <w:left w:val="single" w:color="auto" w:sz="4" w:space="0"/>
                  </w:tcBorders>
                  <w:noWrap w:val="0"/>
                  <w:tcMar>
                    <w:top w:w="0" w:type="dxa"/>
                    <w:left w:w="0" w:type="dxa"/>
                    <w:bottom w:w="0" w:type="dxa"/>
                    <w:right w:w="0" w:type="dxa"/>
                  </w:tcMar>
                  <w:vAlign w:val="center"/>
                </w:tcPr>
                <w:p w14:paraId="3C2702B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浓度</w:t>
                  </w:r>
                </w:p>
                <w:p w14:paraId="7B2693B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mg/L</w:t>
                  </w:r>
                </w:p>
              </w:tc>
              <w:tc>
                <w:tcPr>
                  <w:tcW w:w="555" w:type="pct"/>
                  <w:noWrap w:val="0"/>
                  <w:tcMar>
                    <w:top w:w="0" w:type="dxa"/>
                    <w:left w:w="0" w:type="dxa"/>
                    <w:bottom w:w="0" w:type="dxa"/>
                    <w:right w:w="0" w:type="dxa"/>
                  </w:tcMar>
                  <w:vAlign w:val="center"/>
                </w:tcPr>
                <w:p w14:paraId="37464CD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接管量</w:t>
                  </w:r>
                </w:p>
                <w:p w14:paraId="190A343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t/a</w:t>
                  </w:r>
                </w:p>
              </w:tc>
              <w:tc>
                <w:tcPr>
                  <w:tcW w:w="497" w:type="pct"/>
                  <w:vMerge w:val="continue"/>
                  <w:noWrap w:val="0"/>
                  <w:tcMar>
                    <w:top w:w="0" w:type="dxa"/>
                    <w:left w:w="0" w:type="dxa"/>
                    <w:bottom w:w="0" w:type="dxa"/>
                    <w:right w:w="0" w:type="dxa"/>
                  </w:tcMar>
                  <w:vAlign w:val="center"/>
                </w:tcPr>
                <w:p w14:paraId="0105C92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kern w:val="44"/>
                      <w:sz w:val="21"/>
                      <w:szCs w:val="21"/>
                      <w:highlight w:val="none"/>
                      <w:lang w:val="en-US" w:eastAsia="zh-CN" w:bidi="ar-SA"/>
                    </w:rPr>
                  </w:pPr>
                </w:p>
              </w:tc>
            </w:tr>
            <w:tr w14:paraId="69A4BB2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635181D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生活污水</w:t>
                  </w:r>
                </w:p>
              </w:tc>
              <w:tc>
                <w:tcPr>
                  <w:tcW w:w="650" w:type="pct"/>
                  <w:noWrap w:val="0"/>
                  <w:tcMar>
                    <w:top w:w="0" w:type="dxa"/>
                    <w:left w:w="0" w:type="dxa"/>
                    <w:bottom w:w="0" w:type="dxa"/>
                    <w:right w:w="0" w:type="dxa"/>
                  </w:tcMar>
                  <w:vAlign w:val="center"/>
                </w:tcPr>
                <w:p w14:paraId="10A3AD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COD</w:t>
                  </w:r>
                </w:p>
              </w:tc>
              <w:tc>
                <w:tcPr>
                  <w:tcW w:w="559" w:type="pct"/>
                  <w:vMerge w:val="restart"/>
                  <w:noWrap w:val="0"/>
                  <w:tcMar>
                    <w:top w:w="0" w:type="dxa"/>
                    <w:left w:w="0" w:type="dxa"/>
                    <w:bottom w:w="0" w:type="dxa"/>
                    <w:right w:w="0" w:type="dxa"/>
                  </w:tcMar>
                  <w:vAlign w:val="center"/>
                </w:tcPr>
                <w:p w14:paraId="65173C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24000</w:t>
                  </w:r>
                </w:p>
              </w:tc>
              <w:tc>
                <w:tcPr>
                  <w:tcW w:w="551" w:type="pct"/>
                  <w:noWrap w:val="0"/>
                  <w:tcMar>
                    <w:top w:w="0" w:type="dxa"/>
                    <w:left w:w="0" w:type="dxa"/>
                    <w:bottom w:w="0" w:type="dxa"/>
                    <w:right w:w="0" w:type="dxa"/>
                  </w:tcMar>
                  <w:vAlign w:val="center"/>
                </w:tcPr>
                <w:p w14:paraId="143F94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500</w:t>
                  </w:r>
                </w:p>
              </w:tc>
              <w:tc>
                <w:tcPr>
                  <w:tcW w:w="595" w:type="pct"/>
                  <w:noWrap w:val="0"/>
                  <w:tcMar>
                    <w:top w:w="0" w:type="dxa"/>
                    <w:left w:w="0" w:type="dxa"/>
                    <w:bottom w:w="0" w:type="dxa"/>
                    <w:right w:w="0" w:type="dxa"/>
                  </w:tcMar>
                  <w:vAlign w:val="center"/>
                </w:tcPr>
                <w:p w14:paraId="24F6A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12.0000 </w:t>
                  </w:r>
                </w:p>
              </w:tc>
              <w:tc>
                <w:tcPr>
                  <w:tcW w:w="520" w:type="pct"/>
                  <w:vMerge w:val="restart"/>
                  <w:noWrap w:val="0"/>
                  <w:tcMar>
                    <w:top w:w="0" w:type="dxa"/>
                    <w:left w:w="0" w:type="dxa"/>
                    <w:bottom w:w="0" w:type="dxa"/>
                    <w:right w:w="0" w:type="dxa"/>
                  </w:tcMar>
                  <w:vAlign w:val="center"/>
                </w:tcPr>
                <w:p w14:paraId="49D0EF4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化粪池预处理</w:t>
                  </w:r>
                </w:p>
              </w:tc>
              <w:tc>
                <w:tcPr>
                  <w:tcW w:w="534" w:type="pct"/>
                  <w:noWrap w:val="0"/>
                  <w:tcMar>
                    <w:top w:w="0" w:type="dxa"/>
                    <w:left w:w="0" w:type="dxa"/>
                    <w:bottom w:w="0" w:type="dxa"/>
                    <w:right w:w="0" w:type="dxa"/>
                  </w:tcMar>
                  <w:vAlign w:val="center"/>
                </w:tcPr>
                <w:p w14:paraId="102DA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450</w:t>
                  </w:r>
                </w:p>
              </w:tc>
              <w:tc>
                <w:tcPr>
                  <w:tcW w:w="555" w:type="pct"/>
                  <w:noWrap w:val="0"/>
                  <w:tcMar>
                    <w:top w:w="0" w:type="dxa"/>
                    <w:left w:w="0" w:type="dxa"/>
                    <w:bottom w:w="0" w:type="dxa"/>
                    <w:right w:w="0" w:type="dxa"/>
                  </w:tcMar>
                  <w:vAlign w:val="center"/>
                </w:tcPr>
                <w:p w14:paraId="26DCDC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10.8000 </w:t>
                  </w:r>
                </w:p>
              </w:tc>
              <w:tc>
                <w:tcPr>
                  <w:tcW w:w="497" w:type="pct"/>
                  <w:vMerge w:val="restart"/>
                  <w:noWrap w:val="0"/>
                  <w:tcMar>
                    <w:top w:w="0" w:type="dxa"/>
                    <w:left w:w="0" w:type="dxa"/>
                    <w:bottom w:w="0" w:type="dxa"/>
                    <w:right w:w="0" w:type="dxa"/>
                  </w:tcMar>
                  <w:vAlign w:val="center"/>
                </w:tcPr>
                <w:p w14:paraId="7D1E38F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排入市政管网，接管太湖新城污水处理厂</w:t>
                  </w:r>
                </w:p>
              </w:tc>
            </w:tr>
            <w:tr w14:paraId="6525AA9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2946D7D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5578D20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SS</w:t>
                  </w:r>
                </w:p>
              </w:tc>
              <w:tc>
                <w:tcPr>
                  <w:tcW w:w="559" w:type="pct"/>
                  <w:vMerge w:val="continue"/>
                  <w:noWrap w:val="0"/>
                  <w:tcMar>
                    <w:top w:w="0" w:type="dxa"/>
                    <w:left w:w="0" w:type="dxa"/>
                    <w:bottom w:w="0" w:type="dxa"/>
                    <w:right w:w="0" w:type="dxa"/>
                  </w:tcMar>
                  <w:vAlign w:val="center"/>
                </w:tcPr>
                <w:p w14:paraId="4CB5FE6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2E04E9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400</w:t>
                  </w:r>
                </w:p>
              </w:tc>
              <w:tc>
                <w:tcPr>
                  <w:tcW w:w="595" w:type="pct"/>
                  <w:noWrap w:val="0"/>
                  <w:tcMar>
                    <w:top w:w="0" w:type="dxa"/>
                    <w:left w:w="0" w:type="dxa"/>
                    <w:bottom w:w="0" w:type="dxa"/>
                    <w:right w:w="0" w:type="dxa"/>
                  </w:tcMar>
                  <w:vAlign w:val="center"/>
                </w:tcPr>
                <w:p w14:paraId="4377CB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9.6000 </w:t>
                  </w:r>
                </w:p>
              </w:tc>
              <w:tc>
                <w:tcPr>
                  <w:tcW w:w="520" w:type="pct"/>
                  <w:vMerge w:val="continue"/>
                  <w:noWrap w:val="0"/>
                  <w:tcMar>
                    <w:top w:w="0" w:type="dxa"/>
                    <w:left w:w="0" w:type="dxa"/>
                    <w:bottom w:w="0" w:type="dxa"/>
                    <w:right w:w="0" w:type="dxa"/>
                  </w:tcMar>
                  <w:vAlign w:val="center"/>
                </w:tcPr>
                <w:p w14:paraId="50FE306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39CE2B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360</w:t>
                  </w:r>
                </w:p>
              </w:tc>
              <w:tc>
                <w:tcPr>
                  <w:tcW w:w="555" w:type="pct"/>
                  <w:noWrap w:val="0"/>
                  <w:tcMar>
                    <w:top w:w="0" w:type="dxa"/>
                    <w:left w:w="0" w:type="dxa"/>
                    <w:bottom w:w="0" w:type="dxa"/>
                    <w:right w:w="0" w:type="dxa"/>
                  </w:tcMar>
                  <w:vAlign w:val="center"/>
                </w:tcPr>
                <w:p w14:paraId="56266F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8.6400 </w:t>
                  </w:r>
                </w:p>
              </w:tc>
              <w:tc>
                <w:tcPr>
                  <w:tcW w:w="497" w:type="pct"/>
                  <w:vMerge w:val="continue"/>
                  <w:noWrap w:val="0"/>
                  <w:tcMar>
                    <w:top w:w="0" w:type="dxa"/>
                    <w:left w:w="0" w:type="dxa"/>
                    <w:bottom w:w="0" w:type="dxa"/>
                    <w:right w:w="0" w:type="dxa"/>
                  </w:tcMar>
                  <w:vAlign w:val="center"/>
                </w:tcPr>
                <w:p w14:paraId="5F56709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115618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4CF7EF6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5A1EBBD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氨氮</w:t>
                  </w:r>
                </w:p>
              </w:tc>
              <w:tc>
                <w:tcPr>
                  <w:tcW w:w="559" w:type="pct"/>
                  <w:vMerge w:val="continue"/>
                  <w:noWrap w:val="0"/>
                  <w:tcMar>
                    <w:top w:w="0" w:type="dxa"/>
                    <w:left w:w="0" w:type="dxa"/>
                    <w:bottom w:w="0" w:type="dxa"/>
                    <w:right w:w="0" w:type="dxa"/>
                  </w:tcMar>
                  <w:vAlign w:val="center"/>
                </w:tcPr>
                <w:p w14:paraId="54D55D2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6910FF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35</w:t>
                  </w:r>
                </w:p>
              </w:tc>
              <w:tc>
                <w:tcPr>
                  <w:tcW w:w="595" w:type="pct"/>
                  <w:noWrap w:val="0"/>
                  <w:tcMar>
                    <w:top w:w="0" w:type="dxa"/>
                    <w:left w:w="0" w:type="dxa"/>
                    <w:bottom w:w="0" w:type="dxa"/>
                    <w:right w:w="0" w:type="dxa"/>
                  </w:tcMar>
                  <w:vAlign w:val="center"/>
                </w:tcPr>
                <w:p w14:paraId="141A04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0.8400 </w:t>
                  </w:r>
                </w:p>
              </w:tc>
              <w:tc>
                <w:tcPr>
                  <w:tcW w:w="520" w:type="pct"/>
                  <w:vMerge w:val="continue"/>
                  <w:noWrap w:val="0"/>
                  <w:tcMar>
                    <w:top w:w="0" w:type="dxa"/>
                    <w:left w:w="0" w:type="dxa"/>
                    <w:bottom w:w="0" w:type="dxa"/>
                    <w:right w:w="0" w:type="dxa"/>
                  </w:tcMar>
                  <w:vAlign w:val="center"/>
                </w:tcPr>
                <w:p w14:paraId="7282C7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4970FE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35</w:t>
                  </w:r>
                </w:p>
              </w:tc>
              <w:tc>
                <w:tcPr>
                  <w:tcW w:w="555" w:type="pct"/>
                  <w:noWrap w:val="0"/>
                  <w:tcMar>
                    <w:top w:w="0" w:type="dxa"/>
                    <w:left w:w="0" w:type="dxa"/>
                    <w:bottom w:w="0" w:type="dxa"/>
                    <w:right w:w="0" w:type="dxa"/>
                  </w:tcMar>
                  <w:vAlign w:val="center"/>
                </w:tcPr>
                <w:p w14:paraId="02CE18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0.8400 </w:t>
                  </w:r>
                </w:p>
              </w:tc>
              <w:tc>
                <w:tcPr>
                  <w:tcW w:w="497" w:type="pct"/>
                  <w:vMerge w:val="continue"/>
                  <w:noWrap w:val="0"/>
                  <w:tcMar>
                    <w:top w:w="0" w:type="dxa"/>
                    <w:left w:w="0" w:type="dxa"/>
                    <w:bottom w:w="0" w:type="dxa"/>
                    <w:right w:w="0" w:type="dxa"/>
                  </w:tcMar>
                  <w:vAlign w:val="center"/>
                </w:tcPr>
                <w:p w14:paraId="16CBB1F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653C8CD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3FA1B8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39FBB8D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总氮</w:t>
                  </w:r>
                </w:p>
              </w:tc>
              <w:tc>
                <w:tcPr>
                  <w:tcW w:w="559" w:type="pct"/>
                  <w:vMerge w:val="continue"/>
                  <w:noWrap w:val="0"/>
                  <w:tcMar>
                    <w:top w:w="0" w:type="dxa"/>
                    <w:left w:w="0" w:type="dxa"/>
                    <w:bottom w:w="0" w:type="dxa"/>
                    <w:right w:w="0" w:type="dxa"/>
                  </w:tcMar>
                  <w:vAlign w:val="center"/>
                </w:tcPr>
                <w:p w14:paraId="4B9C1DA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23946E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45</w:t>
                  </w:r>
                </w:p>
              </w:tc>
              <w:tc>
                <w:tcPr>
                  <w:tcW w:w="595" w:type="pct"/>
                  <w:noWrap w:val="0"/>
                  <w:tcMar>
                    <w:top w:w="0" w:type="dxa"/>
                    <w:left w:w="0" w:type="dxa"/>
                    <w:bottom w:w="0" w:type="dxa"/>
                    <w:right w:w="0" w:type="dxa"/>
                  </w:tcMar>
                  <w:vAlign w:val="center"/>
                </w:tcPr>
                <w:p w14:paraId="363E13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1.0800 </w:t>
                  </w:r>
                </w:p>
              </w:tc>
              <w:tc>
                <w:tcPr>
                  <w:tcW w:w="520" w:type="pct"/>
                  <w:vMerge w:val="continue"/>
                  <w:noWrap w:val="0"/>
                  <w:tcMar>
                    <w:top w:w="0" w:type="dxa"/>
                    <w:left w:w="0" w:type="dxa"/>
                    <w:bottom w:w="0" w:type="dxa"/>
                    <w:right w:w="0" w:type="dxa"/>
                  </w:tcMar>
                  <w:vAlign w:val="center"/>
                </w:tcPr>
                <w:p w14:paraId="6490ADE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152B4E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45</w:t>
                  </w:r>
                </w:p>
              </w:tc>
              <w:tc>
                <w:tcPr>
                  <w:tcW w:w="555" w:type="pct"/>
                  <w:noWrap w:val="0"/>
                  <w:tcMar>
                    <w:top w:w="0" w:type="dxa"/>
                    <w:left w:w="0" w:type="dxa"/>
                    <w:bottom w:w="0" w:type="dxa"/>
                    <w:right w:w="0" w:type="dxa"/>
                  </w:tcMar>
                  <w:vAlign w:val="center"/>
                </w:tcPr>
                <w:p w14:paraId="210F4E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1.0800 </w:t>
                  </w:r>
                </w:p>
              </w:tc>
              <w:tc>
                <w:tcPr>
                  <w:tcW w:w="497" w:type="pct"/>
                  <w:vMerge w:val="continue"/>
                  <w:noWrap w:val="0"/>
                  <w:tcMar>
                    <w:top w:w="0" w:type="dxa"/>
                    <w:left w:w="0" w:type="dxa"/>
                    <w:bottom w:w="0" w:type="dxa"/>
                    <w:right w:w="0" w:type="dxa"/>
                  </w:tcMar>
                  <w:vAlign w:val="center"/>
                </w:tcPr>
                <w:p w14:paraId="28A0BA2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08B56C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4DA878C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535AEE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总磷</w:t>
                  </w:r>
                </w:p>
              </w:tc>
              <w:tc>
                <w:tcPr>
                  <w:tcW w:w="559" w:type="pct"/>
                  <w:vMerge w:val="continue"/>
                  <w:noWrap w:val="0"/>
                  <w:tcMar>
                    <w:top w:w="0" w:type="dxa"/>
                    <w:left w:w="0" w:type="dxa"/>
                    <w:bottom w:w="0" w:type="dxa"/>
                    <w:right w:w="0" w:type="dxa"/>
                  </w:tcMar>
                  <w:vAlign w:val="center"/>
                </w:tcPr>
                <w:p w14:paraId="2FC7C89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344B39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5</w:t>
                  </w:r>
                </w:p>
              </w:tc>
              <w:tc>
                <w:tcPr>
                  <w:tcW w:w="595" w:type="pct"/>
                  <w:noWrap w:val="0"/>
                  <w:tcMar>
                    <w:top w:w="0" w:type="dxa"/>
                    <w:left w:w="0" w:type="dxa"/>
                    <w:bottom w:w="0" w:type="dxa"/>
                    <w:right w:w="0" w:type="dxa"/>
                  </w:tcMar>
                  <w:vAlign w:val="center"/>
                </w:tcPr>
                <w:p w14:paraId="5A11A3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0.1200 </w:t>
                  </w:r>
                </w:p>
              </w:tc>
              <w:tc>
                <w:tcPr>
                  <w:tcW w:w="520" w:type="pct"/>
                  <w:vMerge w:val="continue"/>
                  <w:noWrap w:val="0"/>
                  <w:tcMar>
                    <w:top w:w="0" w:type="dxa"/>
                    <w:left w:w="0" w:type="dxa"/>
                    <w:bottom w:w="0" w:type="dxa"/>
                    <w:right w:w="0" w:type="dxa"/>
                  </w:tcMar>
                  <w:vAlign w:val="center"/>
                </w:tcPr>
                <w:p w14:paraId="01ECF0C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5B0C70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5</w:t>
                  </w:r>
                </w:p>
              </w:tc>
              <w:tc>
                <w:tcPr>
                  <w:tcW w:w="555" w:type="pct"/>
                  <w:noWrap w:val="0"/>
                  <w:tcMar>
                    <w:top w:w="0" w:type="dxa"/>
                    <w:left w:w="0" w:type="dxa"/>
                    <w:bottom w:w="0" w:type="dxa"/>
                    <w:right w:w="0" w:type="dxa"/>
                  </w:tcMar>
                  <w:vAlign w:val="center"/>
                </w:tcPr>
                <w:p w14:paraId="7B2BC0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0.1200 </w:t>
                  </w:r>
                </w:p>
              </w:tc>
              <w:tc>
                <w:tcPr>
                  <w:tcW w:w="497" w:type="pct"/>
                  <w:vMerge w:val="continue"/>
                  <w:noWrap w:val="0"/>
                  <w:tcMar>
                    <w:top w:w="0" w:type="dxa"/>
                    <w:left w:w="0" w:type="dxa"/>
                    <w:bottom w:w="0" w:type="dxa"/>
                    <w:right w:w="0" w:type="dxa"/>
                  </w:tcMar>
                  <w:vAlign w:val="center"/>
                </w:tcPr>
                <w:p w14:paraId="3B1B15D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50511C5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7E5A09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食堂废水</w:t>
                  </w:r>
                </w:p>
              </w:tc>
              <w:tc>
                <w:tcPr>
                  <w:tcW w:w="650" w:type="pct"/>
                  <w:noWrap w:val="0"/>
                  <w:tcMar>
                    <w:top w:w="0" w:type="dxa"/>
                    <w:left w:w="0" w:type="dxa"/>
                    <w:bottom w:w="0" w:type="dxa"/>
                    <w:right w:w="0" w:type="dxa"/>
                  </w:tcMar>
                  <w:vAlign w:val="center"/>
                </w:tcPr>
                <w:p w14:paraId="5CF21B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44"/>
                      <w:szCs w:val="21"/>
                      <w:highlight w:val="none"/>
                    </w:rPr>
                  </w:pPr>
                  <w:r>
                    <w:rPr>
                      <w:rFonts w:hint="default" w:ascii="Times New Roman" w:hAnsi="Times New Roman" w:eastAsia="宋体" w:cs="Times New Roman"/>
                      <w:color w:val="auto"/>
                      <w:kern w:val="44"/>
                      <w:szCs w:val="21"/>
                      <w:highlight w:val="none"/>
                    </w:rPr>
                    <w:t>COD</w:t>
                  </w:r>
                </w:p>
              </w:tc>
              <w:tc>
                <w:tcPr>
                  <w:tcW w:w="559" w:type="pct"/>
                  <w:vMerge w:val="restart"/>
                  <w:noWrap w:val="0"/>
                  <w:tcMar>
                    <w:top w:w="0" w:type="dxa"/>
                    <w:left w:w="0" w:type="dxa"/>
                    <w:bottom w:w="0" w:type="dxa"/>
                    <w:right w:w="0" w:type="dxa"/>
                  </w:tcMar>
                  <w:vAlign w:val="center"/>
                </w:tcPr>
                <w:p w14:paraId="438132C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9600</w:t>
                  </w:r>
                </w:p>
              </w:tc>
              <w:tc>
                <w:tcPr>
                  <w:tcW w:w="551" w:type="pct"/>
                  <w:noWrap w:val="0"/>
                  <w:tcMar>
                    <w:top w:w="0" w:type="dxa"/>
                    <w:left w:w="0" w:type="dxa"/>
                    <w:bottom w:w="0" w:type="dxa"/>
                    <w:right w:w="0" w:type="dxa"/>
                  </w:tcMar>
                  <w:vAlign w:val="center"/>
                </w:tcPr>
                <w:p w14:paraId="478567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500</w:t>
                  </w:r>
                </w:p>
              </w:tc>
              <w:tc>
                <w:tcPr>
                  <w:tcW w:w="595" w:type="pct"/>
                  <w:noWrap w:val="0"/>
                  <w:tcMar>
                    <w:top w:w="0" w:type="dxa"/>
                    <w:left w:w="0" w:type="dxa"/>
                    <w:bottom w:w="0" w:type="dxa"/>
                    <w:right w:w="0" w:type="dxa"/>
                  </w:tcMar>
                  <w:vAlign w:val="center"/>
                </w:tcPr>
                <w:p w14:paraId="71900A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4.8000 </w:t>
                  </w:r>
                </w:p>
              </w:tc>
              <w:tc>
                <w:tcPr>
                  <w:tcW w:w="520" w:type="pct"/>
                  <w:vMerge w:val="restart"/>
                  <w:noWrap w:val="0"/>
                  <w:tcMar>
                    <w:top w:w="0" w:type="dxa"/>
                    <w:left w:w="0" w:type="dxa"/>
                    <w:bottom w:w="0" w:type="dxa"/>
                    <w:right w:w="0" w:type="dxa"/>
                  </w:tcMar>
                  <w:vAlign w:val="center"/>
                </w:tcPr>
                <w:p w14:paraId="16A421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隔油池预处理</w:t>
                  </w:r>
                </w:p>
              </w:tc>
              <w:tc>
                <w:tcPr>
                  <w:tcW w:w="534" w:type="pct"/>
                  <w:noWrap w:val="0"/>
                  <w:tcMar>
                    <w:top w:w="0" w:type="dxa"/>
                    <w:left w:w="0" w:type="dxa"/>
                    <w:bottom w:w="0" w:type="dxa"/>
                    <w:right w:w="0" w:type="dxa"/>
                  </w:tcMar>
                  <w:vAlign w:val="center"/>
                </w:tcPr>
                <w:p w14:paraId="1674E8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450</w:t>
                  </w:r>
                </w:p>
              </w:tc>
              <w:tc>
                <w:tcPr>
                  <w:tcW w:w="555" w:type="pct"/>
                  <w:noWrap w:val="0"/>
                  <w:tcMar>
                    <w:top w:w="0" w:type="dxa"/>
                    <w:left w:w="0" w:type="dxa"/>
                    <w:bottom w:w="0" w:type="dxa"/>
                    <w:right w:w="0" w:type="dxa"/>
                  </w:tcMar>
                  <w:vAlign w:val="center"/>
                </w:tcPr>
                <w:p w14:paraId="7B752E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4.3200 </w:t>
                  </w:r>
                </w:p>
              </w:tc>
              <w:tc>
                <w:tcPr>
                  <w:tcW w:w="497" w:type="pct"/>
                  <w:vMerge w:val="continue"/>
                  <w:noWrap w:val="0"/>
                  <w:tcMar>
                    <w:top w:w="0" w:type="dxa"/>
                    <w:left w:w="0" w:type="dxa"/>
                    <w:bottom w:w="0" w:type="dxa"/>
                    <w:right w:w="0" w:type="dxa"/>
                  </w:tcMar>
                  <w:vAlign w:val="center"/>
                </w:tcPr>
                <w:p w14:paraId="427BAE6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6ED82E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1FD68E6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23ACFF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44"/>
                      <w:szCs w:val="21"/>
                      <w:highlight w:val="none"/>
                    </w:rPr>
                  </w:pPr>
                  <w:r>
                    <w:rPr>
                      <w:rFonts w:hint="default" w:ascii="Times New Roman" w:hAnsi="Times New Roman" w:eastAsia="宋体" w:cs="Times New Roman"/>
                      <w:color w:val="auto"/>
                      <w:kern w:val="44"/>
                      <w:szCs w:val="21"/>
                      <w:highlight w:val="none"/>
                    </w:rPr>
                    <w:t>SS</w:t>
                  </w:r>
                </w:p>
              </w:tc>
              <w:tc>
                <w:tcPr>
                  <w:tcW w:w="559" w:type="pct"/>
                  <w:vMerge w:val="continue"/>
                  <w:noWrap w:val="0"/>
                  <w:tcMar>
                    <w:top w:w="0" w:type="dxa"/>
                    <w:left w:w="0" w:type="dxa"/>
                    <w:bottom w:w="0" w:type="dxa"/>
                    <w:right w:w="0" w:type="dxa"/>
                  </w:tcMar>
                  <w:vAlign w:val="center"/>
                </w:tcPr>
                <w:p w14:paraId="387E9E6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73250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400</w:t>
                  </w:r>
                </w:p>
              </w:tc>
              <w:tc>
                <w:tcPr>
                  <w:tcW w:w="595" w:type="pct"/>
                  <w:noWrap w:val="0"/>
                  <w:tcMar>
                    <w:top w:w="0" w:type="dxa"/>
                    <w:left w:w="0" w:type="dxa"/>
                    <w:bottom w:w="0" w:type="dxa"/>
                    <w:right w:w="0" w:type="dxa"/>
                  </w:tcMar>
                  <w:vAlign w:val="center"/>
                </w:tcPr>
                <w:p w14:paraId="2D3707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3.8400 </w:t>
                  </w:r>
                </w:p>
              </w:tc>
              <w:tc>
                <w:tcPr>
                  <w:tcW w:w="520" w:type="pct"/>
                  <w:vMerge w:val="continue"/>
                  <w:noWrap w:val="0"/>
                  <w:tcMar>
                    <w:top w:w="0" w:type="dxa"/>
                    <w:left w:w="0" w:type="dxa"/>
                    <w:bottom w:w="0" w:type="dxa"/>
                    <w:right w:w="0" w:type="dxa"/>
                  </w:tcMar>
                  <w:vAlign w:val="center"/>
                </w:tcPr>
                <w:p w14:paraId="0903210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31C3D4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360</w:t>
                  </w:r>
                </w:p>
              </w:tc>
              <w:tc>
                <w:tcPr>
                  <w:tcW w:w="555" w:type="pct"/>
                  <w:noWrap w:val="0"/>
                  <w:tcMar>
                    <w:top w:w="0" w:type="dxa"/>
                    <w:left w:w="0" w:type="dxa"/>
                    <w:bottom w:w="0" w:type="dxa"/>
                    <w:right w:w="0" w:type="dxa"/>
                  </w:tcMar>
                  <w:vAlign w:val="center"/>
                </w:tcPr>
                <w:p w14:paraId="6F3C7D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3.4560 </w:t>
                  </w:r>
                </w:p>
              </w:tc>
              <w:tc>
                <w:tcPr>
                  <w:tcW w:w="497" w:type="pct"/>
                  <w:vMerge w:val="continue"/>
                  <w:noWrap w:val="0"/>
                  <w:tcMar>
                    <w:top w:w="0" w:type="dxa"/>
                    <w:left w:w="0" w:type="dxa"/>
                    <w:bottom w:w="0" w:type="dxa"/>
                    <w:right w:w="0" w:type="dxa"/>
                  </w:tcMar>
                  <w:vAlign w:val="center"/>
                </w:tcPr>
                <w:p w14:paraId="24EC0EB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0D185E3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69E52A0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72EB23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44"/>
                      <w:szCs w:val="21"/>
                      <w:highlight w:val="none"/>
                    </w:rPr>
                  </w:pPr>
                  <w:r>
                    <w:rPr>
                      <w:rFonts w:hint="default" w:ascii="Times New Roman" w:hAnsi="Times New Roman" w:eastAsia="宋体" w:cs="Times New Roman"/>
                      <w:color w:val="auto"/>
                      <w:kern w:val="44"/>
                      <w:szCs w:val="21"/>
                      <w:highlight w:val="none"/>
                    </w:rPr>
                    <w:t>氨氮</w:t>
                  </w:r>
                </w:p>
              </w:tc>
              <w:tc>
                <w:tcPr>
                  <w:tcW w:w="559" w:type="pct"/>
                  <w:vMerge w:val="continue"/>
                  <w:noWrap w:val="0"/>
                  <w:tcMar>
                    <w:top w:w="0" w:type="dxa"/>
                    <w:left w:w="0" w:type="dxa"/>
                    <w:bottom w:w="0" w:type="dxa"/>
                    <w:right w:w="0" w:type="dxa"/>
                  </w:tcMar>
                  <w:vAlign w:val="center"/>
                </w:tcPr>
                <w:p w14:paraId="6A1A0F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1E76B8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35</w:t>
                  </w:r>
                </w:p>
              </w:tc>
              <w:tc>
                <w:tcPr>
                  <w:tcW w:w="595" w:type="pct"/>
                  <w:noWrap w:val="0"/>
                  <w:tcMar>
                    <w:top w:w="0" w:type="dxa"/>
                    <w:left w:w="0" w:type="dxa"/>
                    <w:bottom w:w="0" w:type="dxa"/>
                    <w:right w:w="0" w:type="dxa"/>
                  </w:tcMar>
                  <w:vAlign w:val="center"/>
                </w:tcPr>
                <w:p w14:paraId="696AE1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0.3360 </w:t>
                  </w:r>
                </w:p>
              </w:tc>
              <w:tc>
                <w:tcPr>
                  <w:tcW w:w="520" w:type="pct"/>
                  <w:vMerge w:val="continue"/>
                  <w:noWrap w:val="0"/>
                  <w:tcMar>
                    <w:top w:w="0" w:type="dxa"/>
                    <w:left w:w="0" w:type="dxa"/>
                    <w:bottom w:w="0" w:type="dxa"/>
                    <w:right w:w="0" w:type="dxa"/>
                  </w:tcMar>
                  <w:vAlign w:val="center"/>
                </w:tcPr>
                <w:p w14:paraId="3594AD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4EC3FD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35</w:t>
                  </w:r>
                </w:p>
              </w:tc>
              <w:tc>
                <w:tcPr>
                  <w:tcW w:w="555" w:type="pct"/>
                  <w:noWrap w:val="0"/>
                  <w:tcMar>
                    <w:top w:w="0" w:type="dxa"/>
                    <w:left w:w="0" w:type="dxa"/>
                    <w:bottom w:w="0" w:type="dxa"/>
                    <w:right w:w="0" w:type="dxa"/>
                  </w:tcMar>
                  <w:vAlign w:val="center"/>
                </w:tcPr>
                <w:p w14:paraId="6AFEF3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0.3360 </w:t>
                  </w:r>
                </w:p>
              </w:tc>
              <w:tc>
                <w:tcPr>
                  <w:tcW w:w="497" w:type="pct"/>
                  <w:vMerge w:val="continue"/>
                  <w:noWrap w:val="0"/>
                  <w:tcMar>
                    <w:top w:w="0" w:type="dxa"/>
                    <w:left w:w="0" w:type="dxa"/>
                    <w:bottom w:w="0" w:type="dxa"/>
                    <w:right w:w="0" w:type="dxa"/>
                  </w:tcMar>
                  <w:vAlign w:val="center"/>
                </w:tcPr>
                <w:p w14:paraId="75315A0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5971F5B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65A8C3B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38F99D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44"/>
                      <w:szCs w:val="21"/>
                      <w:highlight w:val="none"/>
                    </w:rPr>
                  </w:pPr>
                  <w:r>
                    <w:rPr>
                      <w:rFonts w:hint="default" w:ascii="Times New Roman" w:hAnsi="Times New Roman" w:eastAsia="宋体" w:cs="Times New Roman"/>
                      <w:color w:val="auto"/>
                      <w:kern w:val="44"/>
                      <w:szCs w:val="21"/>
                      <w:highlight w:val="none"/>
                    </w:rPr>
                    <w:t>总氮</w:t>
                  </w:r>
                </w:p>
              </w:tc>
              <w:tc>
                <w:tcPr>
                  <w:tcW w:w="559" w:type="pct"/>
                  <w:vMerge w:val="continue"/>
                  <w:noWrap w:val="0"/>
                  <w:tcMar>
                    <w:top w:w="0" w:type="dxa"/>
                    <w:left w:w="0" w:type="dxa"/>
                    <w:bottom w:w="0" w:type="dxa"/>
                    <w:right w:w="0" w:type="dxa"/>
                  </w:tcMar>
                  <w:vAlign w:val="center"/>
                </w:tcPr>
                <w:p w14:paraId="185E91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3B85B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45</w:t>
                  </w:r>
                </w:p>
              </w:tc>
              <w:tc>
                <w:tcPr>
                  <w:tcW w:w="595" w:type="pct"/>
                  <w:noWrap w:val="0"/>
                  <w:tcMar>
                    <w:top w:w="0" w:type="dxa"/>
                    <w:left w:w="0" w:type="dxa"/>
                    <w:bottom w:w="0" w:type="dxa"/>
                    <w:right w:w="0" w:type="dxa"/>
                  </w:tcMar>
                  <w:vAlign w:val="center"/>
                </w:tcPr>
                <w:p w14:paraId="66B4BD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0.4320 </w:t>
                  </w:r>
                </w:p>
              </w:tc>
              <w:tc>
                <w:tcPr>
                  <w:tcW w:w="520" w:type="pct"/>
                  <w:vMerge w:val="continue"/>
                  <w:noWrap w:val="0"/>
                  <w:tcMar>
                    <w:top w:w="0" w:type="dxa"/>
                    <w:left w:w="0" w:type="dxa"/>
                    <w:bottom w:w="0" w:type="dxa"/>
                    <w:right w:w="0" w:type="dxa"/>
                  </w:tcMar>
                  <w:vAlign w:val="center"/>
                </w:tcPr>
                <w:p w14:paraId="7DD700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05539B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45</w:t>
                  </w:r>
                </w:p>
              </w:tc>
              <w:tc>
                <w:tcPr>
                  <w:tcW w:w="555" w:type="pct"/>
                  <w:noWrap w:val="0"/>
                  <w:tcMar>
                    <w:top w:w="0" w:type="dxa"/>
                    <w:left w:w="0" w:type="dxa"/>
                    <w:bottom w:w="0" w:type="dxa"/>
                    <w:right w:w="0" w:type="dxa"/>
                  </w:tcMar>
                  <w:vAlign w:val="center"/>
                </w:tcPr>
                <w:p w14:paraId="7CD6D0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0.4320 </w:t>
                  </w:r>
                </w:p>
              </w:tc>
              <w:tc>
                <w:tcPr>
                  <w:tcW w:w="497" w:type="pct"/>
                  <w:vMerge w:val="continue"/>
                  <w:noWrap w:val="0"/>
                  <w:tcMar>
                    <w:top w:w="0" w:type="dxa"/>
                    <w:left w:w="0" w:type="dxa"/>
                    <w:bottom w:w="0" w:type="dxa"/>
                    <w:right w:w="0" w:type="dxa"/>
                  </w:tcMar>
                  <w:vAlign w:val="center"/>
                </w:tcPr>
                <w:p w14:paraId="1C3F9C5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1D7D9A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350B82B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3ADF59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44"/>
                      <w:szCs w:val="21"/>
                      <w:highlight w:val="none"/>
                    </w:rPr>
                  </w:pPr>
                  <w:r>
                    <w:rPr>
                      <w:rFonts w:hint="default" w:ascii="Times New Roman" w:hAnsi="Times New Roman" w:eastAsia="宋体" w:cs="Times New Roman"/>
                      <w:color w:val="auto"/>
                      <w:kern w:val="44"/>
                      <w:szCs w:val="21"/>
                      <w:highlight w:val="none"/>
                    </w:rPr>
                    <w:t>总磷</w:t>
                  </w:r>
                </w:p>
              </w:tc>
              <w:tc>
                <w:tcPr>
                  <w:tcW w:w="559" w:type="pct"/>
                  <w:vMerge w:val="continue"/>
                  <w:noWrap w:val="0"/>
                  <w:tcMar>
                    <w:top w:w="0" w:type="dxa"/>
                    <w:left w:w="0" w:type="dxa"/>
                    <w:bottom w:w="0" w:type="dxa"/>
                    <w:right w:w="0" w:type="dxa"/>
                  </w:tcMar>
                  <w:vAlign w:val="center"/>
                </w:tcPr>
                <w:p w14:paraId="7C395A8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0AB541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w:t>
                  </w:r>
                </w:p>
              </w:tc>
              <w:tc>
                <w:tcPr>
                  <w:tcW w:w="595" w:type="pct"/>
                  <w:noWrap w:val="0"/>
                  <w:tcMar>
                    <w:top w:w="0" w:type="dxa"/>
                    <w:left w:w="0" w:type="dxa"/>
                    <w:bottom w:w="0" w:type="dxa"/>
                    <w:right w:w="0" w:type="dxa"/>
                  </w:tcMar>
                  <w:vAlign w:val="center"/>
                </w:tcPr>
                <w:p w14:paraId="5D676B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0.0480 </w:t>
                  </w:r>
                </w:p>
              </w:tc>
              <w:tc>
                <w:tcPr>
                  <w:tcW w:w="520" w:type="pct"/>
                  <w:vMerge w:val="continue"/>
                  <w:noWrap w:val="0"/>
                  <w:tcMar>
                    <w:top w:w="0" w:type="dxa"/>
                    <w:left w:w="0" w:type="dxa"/>
                    <w:bottom w:w="0" w:type="dxa"/>
                    <w:right w:w="0" w:type="dxa"/>
                  </w:tcMar>
                  <w:vAlign w:val="center"/>
                </w:tcPr>
                <w:p w14:paraId="130D2E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4E5DEB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w:t>
                  </w:r>
                </w:p>
              </w:tc>
              <w:tc>
                <w:tcPr>
                  <w:tcW w:w="555" w:type="pct"/>
                  <w:noWrap w:val="0"/>
                  <w:tcMar>
                    <w:top w:w="0" w:type="dxa"/>
                    <w:left w:w="0" w:type="dxa"/>
                    <w:bottom w:w="0" w:type="dxa"/>
                    <w:right w:w="0" w:type="dxa"/>
                  </w:tcMar>
                  <w:vAlign w:val="center"/>
                </w:tcPr>
                <w:p w14:paraId="334DB2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0.0480 </w:t>
                  </w:r>
                </w:p>
              </w:tc>
              <w:tc>
                <w:tcPr>
                  <w:tcW w:w="497" w:type="pct"/>
                  <w:vMerge w:val="continue"/>
                  <w:noWrap w:val="0"/>
                  <w:tcMar>
                    <w:top w:w="0" w:type="dxa"/>
                    <w:left w:w="0" w:type="dxa"/>
                    <w:bottom w:w="0" w:type="dxa"/>
                    <w:right w:w="0" w:type="dxa"/>
                  </w:tcMar>
                  <w:vAlign w:val="center"/>
                </w:tcPr>
                <w:p w14:paraId="03BC041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7E21D5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0A18556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264998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44"/>
                      <w:szCs w:val="21"/>
                      <w:highlight w:val="none"/>
                    </w:rPr>
                  </w:pPr>
                  <w:r>
                    <w:rPr>
                      <w:rFonts w:hint="default" w:ascii="Times New Roman" w:hAnsi="Times New Roman" w:eastAsia="宋体" w:cs="Times New Roman"/>
                      <w:color w:val="auto"/>
                      <w:kern w:val="44"/>
                      <w:szCs w:val="21"/>
                      <w:highlight w:val="none"/>
                    </w:rPr>
                    <w:t>动植物油</w:t>
                  </w:r>
                </w:p>
              </w:tc>
              <w:tc>
                <w:tcPr>
                  <w:tcW w:w="559" w:type="pct"/>
                  <w:vMerge w:val="continue"/>
                  <w:noWrap w:val="0"/>
                  <w:tcMar>
                    <w:top w:w="0" w:type="dxa"/>
                    <w:left w:w="0" w:type="dxa"/>
                    <w:bottom w:w="0" w:type="dxa"/>
                    <w:right w:w="0" w:type="dxa"/>
                  </w:tcMar>
                  <w:vAlign w:val="center"/>
                </w:tcPr>
                <w:p w14:paraId="4F05EC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6D2B56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200</w:t>
                  </w:r>
                </w:p>
              </w:tc>
              <w:tc>
                <w:tcPr>
                  <w:tcW w:w="595" w:type="pct"/>
                  <w:noWrap w:val="0"/>
                  <w:tcMar>
                    <w:top w:w="0" w:type="dxa"/>
                    <w:left w:w="0" w:type="dxa"/>
                    <w:bottom w:w="0" w:type="dxa"/>
                    <w:right w:w="0" w:type="dxa"/>
                  </w:tcMar>
                  <w:vAlign w:val="center"/>
                </w:tcPr>
                <w:p w14:paraId="1482EA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1.9200 </w:t>
                  </w:r>
                </w:p>
              </w:tc>
              <w:tc>
                <w:tcPr>
                  <w:tcW w:w="520" w:type="pct"/>
                  <w:vMerge w:val="continue"/>
                  <w:noWrap w:val="0"/>
                  <w:tcMar>
                    <w:top w:w="0" w:type="dxa"/>
                    <w:left w:w="0" w:type="dxa"/>
                    <w:bottom w:w="0" w:type="dxa"/>
                    <w:right w:w="0" w:type="dxa"/>
                  </w:tcMar>
                  <w:vAlign w:val="center"/>
                </w:tcPr>
                <w:p w14:paraId="118174D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6238C1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80</w:t>
                  </w:r>
                </w:p>
              </w:tc>
              <w:tc>
                <w:tcPr>
                  <w:tcW w:w="555" w:type="pct"/>
                  <w:noWrap w:val="0"/>
                  <w:tcMar>
                    <w:top w:w="0" w:type="dxa"/>
                    <w:left w:w="0" w:type="dxa"/>
                    <w:bottom w:w="0" w:type="dxa"/>
                    <w:right w:w="0" w:type="dxa"/>
                  </w:tcMar>
                  <w:vAlign w:val="center"/>
                </w:tcPr>
                <w:p w14:paraId="55F296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0.7680 </w:t>
                  </w:r>
                </w:p>
              </w:tc>
              <w:tc>
                <w:tcPr>
                  <w:tcW w:w="497" w:type="pct"/>
                  <w:vMerge w:val="continue"/>
                  <w:noWrap w:val="0"/>
                  <w:tcMar>
                    <w:top w:w="0" w:type="dxa"/>
                    <w:left w:w="0" w:type="dxa"/>
                    <w:bottom w:w="0" w:type="dxa"/>
                    <w:right w:w="0" w:type="dxa"/>
                  </w:tcMar>
                  <w:vAlign w:val="center"/>
                </w:tcPr>
                <w:p w14:paraId="5748B72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458812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780B528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超声波清洗废水</w:t>
                  </w:r>
                </w:p>
              </w:tc>
              <w:tc>
                <w:tcPr>
                  <w:tcW w:w="650" w:type="pct"/>
                  <w:noWrap w:val="0"/>
                  <w:tcMar>
                    <w:top w:w="0" w:type="dxa"/>
                    <w:left w:w="0" w:type="dxa"/>
                    <w:bottom w:w="0" w:type="dxa"/>
                    <w:right w:w="0" w:type="dxa"/>
                  </w:tcMar>
                  <w:vAlign w:val="center"/>
                </w:tcPr>
                <w:p w14:paraId="7FF9E9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COD</w:t>
                  </w:r>
                </w:p>
              </w:tc>
              <w:tc>
                <w:tcPr>
                  <w:tcW w:w="559" w:type="pct"/>
                  <w:vMerge w:val="restart"/>
                  <w:noWrap w:val="0"/>
                  <w:tcMar>
                    <w:top w:w="0" w:type="dxa"/>
                    <w:left w:w="0" w:type="dxa"/>
                    <w:bottom w:w="0" w:type="dxa"/>
                    <w:right w:w="0" w:type="dxa"/>
                  </w:tcMar>
                  <w:vAlign w:val="center"/>
                </w:tcPr>
                <w:p w14:paraId="3B0D43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10503.08</w:t>
                  </w:r>
                </w:p>
              </w:tc>
              <w:tc>
                <w:tcPr>
                  <w:tcW w:w="551" w:type="pct"/>
                  <w:noWrap w:val="0"/>
                  <w:tcMar>
                    <w:top w:w="0" w:type="dxa"/>
                    <w:left w:w="0" w:type="dxa"/>
                    <w:bottom w:w="0" w:type="dxa"/>
                    <w:right w:w="0" w:type="dxa"/>
                  </w:tcMar>
                  <w:vAlign w:val="center"/>
                </w:tcPr>
                <w:p w14:paraId="5307FF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595" w:type="pct"/>
                  <w:noWrap w:val="0"/>
                  <w:tcMar>
                    <w:top w:w="0" w:type="dxa"/>
                    <w:left w:w="0" w:type="dxa"/>
                    <w:bottom w:w="0" w:type="dxa"/>
                    <w:right w:w="0" w:type="dxa"/>
                  </w:tcMar>
                  <w:vAlign w:val="center"/>
                </w:tcPr>
                <w:p w14:paraId="743E81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1.0500 </w:t>
                  </w:r>
                </w:p>
              </w:tc>
              <w:tc>
                <w:tcPr>
                  <w:tcW w:w="520" w:type="pct"/>
                  <w:vMerge w:val="restart"/>
                  <w:noWrap w:val="0"/>
                  <w:tcMar>
                    <w:top w:w="0" w:type="dxa"/>
                    <w:left w:w="0" w:type="dxa"/>
                    <w:bottom w:w="0" w:type="dxa"/>
                    <w:right w:w="0" w:type="dxa"/>
                  </w:tcMar>
                  <w:vAlign w:val="center"/>
                </w:tcPr>
                <w:p w14:paraId="53B7961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w:t>
                  </w:r>
                </w:p>
              </w:tc>
              <w:tc>
                <w:tcPr>
                  <w:tcW w:w="534" w:type="pct"/>
                  <w:noWrap w:val="0"/>
                  <w:tcMar>
                    <w:top w:w="0" w:type="dxa"/>
                    <w:left w:w="0" w:type="dxa"/>
                    <w:bottom w:w="0" w:type="dxa"/>
                    <w:right w:w="0" w:type="dxa"/>
                  </w:tcMar>
                  <w:vAlign w:val="center"/>
                </w:tcPr>
                <w:p w14:paraId="79FB7F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555" w:type="pct"/>
                  <w:noWrap w:val="0"/>
                  <w:tcMar>
                    <w:top w:w="0" w:type="dxa"/>
                    <w:left w:w="0" w:type="dxa"/>
                    <w:bottom w:w="0" w:type="dxa"/>
                    <w:right w:w="0" w:type="dxa"/>
                  </w:tcMar>
                  <w:vAlign w:val="center"/>
                </w:tcPr>
                <w:p w14:paraId="31ADCC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1.0500 </w:t>
                  </w:r>
                </w:p>
              </w:tc>
              <w:tc>
                <w:tcPr>
                  <w:tcW w:w="497" w:type="pct"/>
                  <w:vMerge w:val="continue"/>
                  <w:noWrap w:val="0"/>
                  <w:tcMar>
                    <w:top w:w="0" w:type="dxa"/>
                    <w:left w:w="0" w:type="dxa"/>
                    <w:bottom w:w="0" w:type="dxa"/>
                    <w:right w:w="0" w:type="dxa"/>
                  </w:tcMar>
                  <w:vAlign w:val="center"/>
                </w:tcPr>
                <w:p w14:paraId="4994762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23D5C86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10ECEB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1394BB3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SS</w:t>
                  </w:r>
                </w:p>
              </w:tc>
              <w:tc>
                <w:tcPr>
                  <w:tcW w:w="559" w:type="pct"/>
                  <w:vMerge w:val="continue"/>
                  <w:noWrap w:val="0"/>
                  <w:tcMar>
                    <w:top w:w="0" w:type="dxa"/>
                    <w:left w:w="0" w:type="dxa"/>
                    <w:bottom w:w="0" w:type="dxa"/>
                    <w:right w:w="0" w:type="dxa"/>
                  </w:tcMar>
                  <w:vAlign w:val="center"/>
                </w:tcPr>
                <w:p w14:paraId="5A6A30E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384CC4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595" w:type="pct"/>
                  <w:noWrap w:val="0"/>
                  <w:tcMar>
                    <w:top w:w="0" w:type="dxa"/>
                    <w:left w:w="0" w:type="dxa"/>
                    <w:bottom w:w="0" w:type="dxa"/>
                    <w:right w:w="0" w:type="dxa"/>
                  </w:tcMar>
                  <w:vAlign w:val="center"/>
                </w:tcPr>
                <w:p w14:paraId="2FD287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2.1001 </w:t>
                  </w:r>
                </w:p>
              </w:tc>
              <w:tc>
                <w:tcPr>
                  <w:tcW w:w="520" w:type="pct"/>
                  <w:vMerge w:val="continue"/>
                  <w:noWrap w:val="0"/>
                  <w:tcMar>
                    <w:top w:w="0" w:type="dxa"/>
                    <w:left w:w="0" w:type="dxa"/>
                    <w:bottom w:w="0" w:type="dxa"/>
                    <w:right w:w="0" w:type="dxa"/>
                  </w:tcMar>
                  <w:vAlign w:val="center"/>
                </w:tcPr>
                <w:p w14:paraId="02B8A00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179432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555" w:type="pct"/>
                  <w:noWrap w:val="0"/>
                  <w:tcMar>
                    <w:top w:w="0" w:type="dxa"/>
                    <w:left w:w="0" w:type="dxa"/>
                    <w:bottom w:w="0" w:type="dxa"/>
                    <w:right w:w="0" w:type="dxa"/>
                  </w:tcMar>
                  <w:vAlign w:val="center"/>
                </w:tcPr>
                <w:p w14:paraId="094DBF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2.1001 </w:t>
                  </w:r>
                </w:p>
              </w:tc>
              <w:tc>
                <w:tcPr>
                  <w:tcW w:w="497" w:type="pct"/>
                  <w:vMerge w:val="continue"/>
                  <w:noWrap w:val="0"/>
                  <w:tcMar>
                    <w:top w:w="0" w:type="dxa"/>
                    <w:left w:w="0" w:type="dxa"/>
                    <w:bottom w:w="0" w:type="dxa"/>
                    <w:right w:w="0" w:type="dxa"/>
                  </w:tcMar>
                  <w:vAlign w:val="center"/>
                </w:tcPr>
                <w:p w14:paraId="6698CA6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2BD56E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3E5248C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实验室间接冷却水</w:t>
                  </w:r>
                </w:p>
              </w:tc>
              <w:tc>
                <w:tcPr>
                  <w:tcW w:w="650" w:type="pct"/>
                  <w:noWrap w:val="0"/>
                  <w:tcMar>
                    <w:top w:w="0" w:type="dxa"/>
                    <w:left w:w="0" w:type="dxa"/>
                    <w:bottom w:w="0" w:type="dxa"/>
                    <w:right w:w="0" w:type="dxa"/>
                  </w:tcMar>
                  <w:vAlign w:val="center"/>
                </w:tcPr>
                <w:p w14:paraId="6A22F83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COD</w:t>
                  </w:r>
                </w:p>
              </w:tc>
              <w:tc>
                <w:tcPr>
                  <w:tcW w:w="559" w:type="pct"/>
                  <w:vMerge w:val="restart"/>
                  <w:noWrap w:val="0"/>
                  <w:tcMar>
                    <w:top w:w="0" w:type="dxa"/>
                    <w:left w:w="0" w:type="dxa"/>
                    <w:bottom w:w="0" w:type="dxa"/>
                    <w:right w:w="0" w:type="dxa"/>
                  </w:tcMar>
                  <w:vAlign w:val="center"/>
                </w:tcPr>
                <w:p w14:paraId="2F2C28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2.04</w:t>
                  </w:r>
                </w:p>
              </w:tc>
              <w:tc>
                <w:tcPr>
                  <w:tcW w:w="551" w:type="pct"/>
                  <w:noWrap w:val="0"/>
                  <w:tcMar>
                    <w:top w:w="0" w:type="dxa"/>
                    <w:left w:w="0" w:type="dxa"/>
                    <w:bottom w:w="0" w:type="dxa"/>
                    <w:right w:w="0" w:type="dxa"/>
                  </w:tcMar>
                  <w:vAlign w:val="center"/>
                </w:tcPr>
                <w:p w14:paraId="00939B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w:t>
                  </w:r>
                </w:p>
              </w:tc>
              <w:tc>
                <w:tcPr>
                  <w:tcW w:w="595" w:type="pct"/>
                  <w:noWrap w:val="0"/>
                  <w:tcMar>
                    <w:top w:w="0" w:type="dxa"/>
                    <w:left w:w="0" w:type="dxa"/>
                    <w:bottom w:w="0" w:type="dxa"/>
                    <w:right w:w="0" w:type="dxa"/>
                  </w:tcMar>
                  <w:vAlign w:val="center"/>
                </w:tcPr>
                <w:p w14:paraId="7F858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0.00004 </w:t>
                  </w:r>
                </w:p>
              </w:tc>
              <w:tc>
                <w:tcPr>
                  <w:tcW w:w="520" w:type="pct"/>
                  <w:vMerge w:val="restart"/>
                  <w:noWrap w:val="0"/>
                  <w:tcMar>
                    <w:top w:w="0" w:type="dxa"/>
                    <w:left w:w="0" w:type="dxa"/>
                    <w:bottom w:w="0" w:type="dxa"/>
                    <w:right w:w="0" w:type="dxa"/>
                  </w:tcMar>
                  <w:vAlign w:val="center"/>
                </w:tcPr>
                <w:p w14:paraId="4FBC58E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w:t>
                  </w:r>
                </w:p>
              </w:tc>
              <w:tc>
                <w:tcPr>
                  <w:tcW w:w="534" w:type="pct"/>
                  <w:noWrap w:val="0"/>
                  <w:tcMar>
                    <w:top w:w="0" w:type="dxa"/>
                    <w:left w:w="0" w:type="dxa"/>
                    <w:bottom w:w="0" w:type="dxa"/>
                    <w:right w:w="0" w:type="dxa"/>
                  </w:tcMar>
                  <w:vAlign w:val="center"/>
                </w:tcPr>
                <w:p w14:paraId="7D16B5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w:t>
                  </w:r>
                </w:p>
              </w:tc>
              <w:tc>
                <w:tcPr>
                  <w:tcW w:w="555" w:type="pct"/>
                  <w:noWrap w:val="0"/>
                  <w:tcMar>
                    <w:top w:w="0" w:type="dxa"/>
                    <w:left w:w="0" w:type="dxa"/>
                    <w:bottom w:w="0" w:type="dxa"/>
                    <w:right w:w="0" w:type="dxa"/>
                  </w:tcMar>
                  <w:vAlign w:val="center"/>
                </w:tcPr>
                <w:p w14:paraId="788482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0.00004 </w:t>
                  </w:r>
                </w:p>
              </w:tc>
              <w:tc>
                <w:tcPr>
                  <w:tcW w:w="497" w:type="pct"/>
                  <w:vMerge w:val="continue"/>
                  <w:noWrap w:val="0"/>
                  <w:tcMar>
                    <w:top w:w="0" w:type="dxa"/>
                    <w:left w:w="0" w:type="dxa"/>
                    <w:bottom w:w="0" w:type="dxa"/>
                    <w:right w:w="0" w:type="dxa"/>
                  </w:tcMar>
                  <w:vAlign w:val="center"/>
                </w:tcPr>
                <w:p w14:paraId="25DD6DF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2461878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39C768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31FE451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SS</w:t>
                  </w:r>
                </w:p>
              </w:tc>
              <w:tc>
                <w:tcPr>
                  <w:tcW w:w="559" w:type="pct"/>
                  <w:vMerge w:val="continue"/>
                  <w:noWrap w:val="0"/>
                  <w:tcMar>
                    <w:top w:w="0" w:type="dxa"/>
                    <w:left w:w="0" w:type="dxa"/>
                    <w:bottom w:w="0" w:type="dxa"/>
                    <w:right w:w="0" w:type="dxa"/>
                  </w:tcMar>
                  <w:vAlign w:val="center"/>
                </w:tcPr>
                <w:p w14:paraId="4CACC48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6E04A3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w:t>
                  </w:r>
                </w:p>
              </w:tc>
              <w:tc>
                <w:tcPr>
                  <w:tcW w:w="595" w:type="pct"/>
                  <w:noWrap w:val="0"/>
                  <w:tcMar>
                    <w:top w:w="0" w:type="dxa"/>
                    <w:left w:w="0" w:type="dxa"/>
                    <w:bottom w:w="0" w:type="dxa"/>
                    <w:right w:w="0" w:type="dxa"/>
                  </w:tcMar>
                  <w:vAlign w:val="center"/>
                </w:tcPr>
                <w:p w14:paraId="3B5334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0.00004 </w:t>
                  </w:r>
                </w:p>
              </w:tc>
              <w:tc>
                <w:tcPr>
                  <w:tcW w:w="520" w:type="pct"/>
                  <w:vMerge w:val="continue"/>
                  <w:noWrap w:val="0"/>
                  <w:tcMar>
                    <w:top w:w="0" w:type="dxa"/>
                    <w:left w:w="0" w:type="dxa"/>
                    <w:bottom w:w="0" w:type="dxa"/>
                    <w:right w:w="0" w:type="dxa"/>
                  </w:tcMar>
                  <w:vAlign w:val="center"/>
                </w:tcPr>
                <w:p w14:paraId="4D159C5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6D71A4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w:t>
                  </w:r>
                </w:p>
              </w:tc>
              <w:tc>
                <w:tcPr>
                  <w:tcW w:w="555" w:type="pct"/>
                  <w:noWrap w:val="0"/>
                  <w:tcMar>
                    <w:top w:w="0" w:type="dxa"/>
                    <w:left w:w="0" w:type="dxa"/>
                    <w:bottom w:w="0" w:type="dxa"/>
                    <w:right w:w="0" w:type="dxa"/>
                  </w:tcMar>
                  <w:vAlign w:val="center"/>
                </w:tcPr>
                <w:p w14:paraId="1870B0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0.00004 </w:t>
                  </w:r>
                </w:p>
              </w:tc>
              <w:tc>
                <w:tcPr>
                  <w:tcW w:w="497" w:type="pct"/>
                  <w:vMerge w:val="continue"/>
                  <w:noWrap w:val="0"/>
                  <w:tcMar>
                    <w:top w:w="0" w:type="dxa"/>
                    <w:left w:w="0" w:type="dxa"/>
                    <w:bottom w:w="0" w:type="dxa"/>
                    <w:right w:w="0" w:type="dxa"/>
                  </w:tcMar>
                  <w:vAlign w:val="center"/>
                </w:tcPr>
                <w:p w14:paraId="05564D1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47CFD9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4C1ED6C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实验室水浴</w:t>
                  </w:r>
                  <w:r>
                    <w:rPr>
                      <w:rFonts w:hint="eastAsia" w:ascii="Times New Roman" w:hAnsi="Times New Roman" w:eastAsia="宋体" w:cs="Times New Roman"/>
                      <w:color w:val="auto"/>
                      <w:kern w:val="44"/>
                      <w:sz w:val="21"/>
                      <w:szCs w:val="21"/>
                      <w:highlight w:val="none"/>
                      <w:lang w:val="en-US" w:eastAsia="zh-CN" w:bidi="ar-SA"/>
                    </w:rPr>
                    <w:t>废</w:t>
                  </w:r>
                  <w:r>
                    <w:rPr>
                      <w:rFonts w:hint="default" w:ascii="Times New Roman" w:hAnsi="Times New Roman" w:eastAsia="宋体" w:cs="Times New Roman"/>
                      <w:color w:val="auto"/>
                      <w:kern w:val="44"/>
                      <w:sz w:val="21"/>
                      <w:szCs w:val="21"/>
                      <w:highlight w:val="none"/>
                      <w:lang w:val="en-US" w:eastAsia="zh-CN" w:bidi="ar-SA"/>
                    </w:rPr>
                    <w:t>水</w:t>
                  </w:r>
                </w:p>
              </w:tc>
              <w:tc>
                <w:tcPr>
                  <w:tcW w:w="650" w:type="pct"/>
                  <w:noWrap w:val="0"/>
                  <w:tcMar>
                    <w:top w:w="0" w:type="dxa"/>
                    <w:left w:w="0" w:type="dxa"/>
                    <w:bottom w:w="0" w:type="dxa"/>
                    <w:right w:w="0" w:type="dxa"/>
                  </w:tcMar>
                  <w:vAlign w:val="center"/>
                </w:tcPr>
                <w:p w14:paraId="7C5C8B9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COD</w:t>
                  </w:r>
                </w:p>
              </w:tc>
              <w:tc>
                <w:tcPr>
                  <w:tcW w:w="559" w:type="pct"/>
                  <w:vMerge w:val="restart"/>
                  <w:noWrap w:val="0"/>
                  <w:tcMar>
                    <w:top w:w="0" w:type="dxa"/>
                    <w:left w:w="0" w:type="dxa"/>
                    <w:bottom w:w="0" w:type="dxa"/>
                    <w:right w:w="0" w:type="dxa"/>
                  </w:tcMar>
                  <w:vAlign w:val="center"/>
                </w:tcPr>
                <w:p w14:paraId="6079EC4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0.14</w:t>
                  </w:r>
                </w:p>
              </w:tc>
              <w:tc>
                <w:tcPr>
                  <w:tcW w:w="551" w:type="pct"/>
                  <w:noWrap w:val="0"/>
                  <w:tcMar>
                    <w:top w:w="0" w:type="dxa"/>
                    <w:left w:w="0" w:type="dxa"/>
                    <w:bottom w:w="0" w:type="dxa"/>
                    <w:right w:w="0" w:type="dxa"/>
                  </w:tcMar>
                  <w:vAlign w:val="center"/>
                </w:tcPr>
                <w:p w14:paraId="7B9E5F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w:t>
                  </w:r>
                </w:p>
              </w:tc>
              <w:tc>
                <w:tcPr>
                  <w:tcW w:w="595" w:type="pct"/>
                  <w:noWrap w:val="0"/>
                  <w:tcMar>
                    <w:top w:w="0" w:type="dxa"/>
                    <w:left w:w="0" w:type="dxa"/>
                    <w:bottom w:w="0" w:type="dxa"/>
                    <w:right w:w="0" w:type="dxa"/>
                  </w:tcMar>
                  <w:vAlign w:val="center"/>
                </w:tcPr>
                <w:p w14:paraId="540E4B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0.000003 </w:t>
                  </w:r>
                </w:p>
              </w:tc>
              <w:tc>
                <w:tcPr>
                  <w:tcW w:w="520" w:type="pct"/>
                  <w:vMerge w:val="restart"/>
                  <w:noWrap w:val="0"/>
                  <w:tcMar>
                    <w:top w:w="0" w:type="dxa"/>
                    <w:left w:w="0" w:type="dxa"/>
                    <w:bottom w:w="0" w:type="dxa"/>
                    <w:right w:w="0" w:type="dxa"/>
                  </w:tcMar>
                  <w:vAlign w:val="center"/>
                </w:tcPr>
                <w:p w14:paraId="3106C69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w:t>
                  </w:r>
                </w:p>
              </w:tc>
              <w:tc>
                <w:tcPr>
                  <w:tcW w:w="534" w:type="pct"/>
                  <w:noWrap w:val="0"/>
                  <w:tcMar>
                    <w:top w:w="0" w:type="dxa"/>
                    <w:left w:w="0" w:type="dxa"/>
                    <w:bottom w:w="0" w:type="dxa"/>
                    <w:right w:w="0" w:type="dxa"/>
                  </w:tcMar>
                  <w:vAlign w:val="center"/>
                </w:tcPr>
                <w:p w14:paraId="268145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w:t>
                  </w:r>
                </w:p>
              </w:tc>
              <w:tc>
                <w:tcPr>
                  <w:tcW w:w="555" w:type="pct"/>
                  <w:noWrap w:val="0"/>
                  <w:tcMar>
                    <w:top w:w="0" w:type="dxa"/>
                    <w:left w:w="0" w:type="dxa"/>
                    <w:bottom w:w="0" w:type="dxa"/>
                    <w:right w:w="0" w:type="dxa"/>
                  </w:tcMar>
                  <w:vAlign w:val="center"/>
                </w:tcPr>
                <w:p w14:paraId="0263C1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0.000003 </w:t>
                  </w:r>
                </w:p>
              </w:tc>
              <w:tc>
                <w:tcPr>
                  <w:tcW w:w="497" w:type="pct"/>
                  <w:vMerge w:val="continue"/>
                  <w:noWrap w:val="0"/>
                  <w:tcMar>
                    <w:top w:w="0" w:type="dxa"/>
                    <w:left w:w="0" w:type="dxa"/>
                    <w:bottom w:w="0" w:type="dxa"/>
                    <w:right w:w="0" w:type="dxa"/>
                  </w:tcMar>
                  <w:vAlign w:val="center"/>
                </w:tcPr>
                <w:p w14:paraId="30E9B0D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37AD3A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53C7101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2C3CAA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SS</w:t>
                  </w:r>
                </w:p>
              </w:tc>
              <w:tc>
                <w:tcPr>
                  <w:tcW w:w="559" w:type="pct"/>
                  <w:vMerge w:val="continue"/>
                  <w:noWrap w:val="0"/>
                  <w:tcMar>
                    <w:top w:w="0" w:type="dxa"/>
                    <w:left w:w="0" w:type="dxa"/>
                    <w:bottom w:w="0" w:type="dxa"/>
                    <w:right w:w="0" w:type="dxa"/>
                  </w:tcMar>
                  <w:vAlign w:val="center"/>
                </w:tcPr>
                <w:p w14:paraId="50E8AA8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139C2D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w:t>
                  </w:r>
                </w:p>
              </w:tc>
              <w:tc>
                <w:tcPr>
                  <w:tcW w:w="595" w:type="pct"/>
                  <w:noWrap w:val="0"/>
                  <w:tcMar>
                    <w:top w:w="0" w:type="dxa"/>
                    <w:left w:w="0" w:type="dxa"/>
                    <w:bottom w:w="0" w:type="dxa"/>
                    <w:right w:w="0" w:type="dxa"/>
                  </w:tcMar>
                  <w:vAlign w:val="center"/>
                </w:tcPr>
                <w:p w14:paraId="3D551E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0.000003 </w:t>
                  </w:r>
                </w:p>
              </w:tc>
              <w:tc>
                <w:tcPr>
                  <w:tcW w:w="520" w:type="pct"/>
                  <w:vMerge w:val="continue"/>
                  <w:noWrap w:val="0"/>
                  <w:tcMar>
                    <w:top w:w="0" w:type="dxa"/>
                    <w:left w:w="0" w:type="dxa"/>
                    <w:bottom w:w="0" w:type="dxa"/>
                    <w:right w:w="0" w:type="dxa"/>
                  </w:tcMar>
                  <w:vAlign w:val="center"/>
                </w:tcPr>
                <w:p w14:paraId="06A8C33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18938F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w:t>
                  </w:r>
                </w:p>
              </w:tc>
              <w:tc>
                <w:tcPr>
                  <w:tcW w:w="555" w:type="pct"/>
                  <w:noWrap w:val="0"/>
                  <w:tcMar>
                    <w:top w:w="0" w:type="dxa"/>
                    <w:left w:w="0" w:type="dxa"/>
                    <w:bottom w:w="0" w:type="dxa"/>
                    <w:right w:w="0" w:type="dxa"/>
                  </w:tcMar>
                  <w:vAlign w:val="center"/>
                </w:tcPr>
                <w:p w14:paraId="4D83B3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0.000003 </w:t>
                  </w:r>
                </w:p>
              </w:tc>
              <w:tc>
                <w:tcPr>
                  <w:tcW w:w="497" w:type="pct"/>
                  <w:vMerge w:val="continue"/>
                  <w:noWrap w:val="0"/>
                  <w:tcMar>
                    <w:top w:w="0" w:type="dxa"/>
                    <w:left w:w="0" w:type="dxa"/>
                    <w:bottom w:w="0" w:type="dxa"/>
                    <w:right w:w="0" w:type="dxa"/>
                  </w:tcMar>
                  <w:vAlign w:val="center"/>
                </w:tcPr>
                <w:p w14:paraId="734404C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061750B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46105FE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实验室超声波清洗废水</w:t>
                  </w:r>
                </w:p>
              </w:tc>
              <w:tc>
                <w:tcPr>
                  <w:tcW w:w="650" w:type="pct"/>
                  <w:noWrap w:val="0"/>
                  <w:tcMar>
                    <w:top w:w="0" w:type="dxa"/>
                    <w:left w:w="0" w:type="dxa"/>
                    <w:bottom w:w="0" w:type="dxa"/>
                    <w:right w:w="0" w:type="dxa"/>
                  </w:tcMar>
                  <w:vAlign w:val="center"/>
                </w:tcPr>
                <w:p w14:paraId="12B3019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COD</w:t>
                  </w:r>
                </w:p>
              </w:tc>
              <w:tc>
                <w:tcPr>
                  <w:tcW w:w="559" w:type="pct"/>
                  <w:vMerge w:val="restart"/>
                  <w:noWrap w:val="0"/>
                  <w:tcMar>
                    <w:top w:w="0" w:type="dxa"/>
                    <w:left w:w="0" w:type="dxa"/>
                    <w:bottom w:w="0" w:type="dxa"/>
                    <w:right w:w="0" w:type="dxa"/>
                  </w:tcMar>
                  <w:vAlign w:val="center"/>
                </w:tcPr>
                <w:p w14:paraId="1F191A7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0.686</w:t>
                  </w:r>
                </w:p>
              </w:tc>
              <w:tc>
                <w:tcPr>
                  <w:tcW w:w="551" w:type="pct"/>
                  <w:noWrap w:val="0"/>
                  <w:tcMar>
                    <w:top w:w="0" w:type="dxa"/>
                    <w:left w:w="0" w:type="dxa"/>
                    <w:bottom w:w="0" w:type="dxa"/>
                    <w:right w:w="0" w:type="dxa"/>
                  </w:tcMar>
                  <w:vAlign w:val="center"/>
                </w:tcPr>
                <w:p w14:paraId="237E2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595" w:type="pct"/>
                  <w:noWrap w:val="0"/>
                  <w:tcMar>
                    <w:top w:w="0" w:type="dxa"/>
                    <w:left w:w="0" w:type="dxa"/>
                    <w:bottom w:w="0" w:type="dxa"/>
                    <w:right w:w="0" w:type="dxa"/>
                  </w:tcMar>
                  <w:vAlign w:val="center"/>
                </w:tcPr>
                <w:p w14:paraId="748507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0.000007</w:t>
                  </w:r>
                </w:p>
              </w:tc>
              <w:tc>
                <w:tcPr>
                  <w:tcW w:w="520" w:type="pct"/>
                  <w:noWrap w:val="0"/>
                  <w:tcMar>
                    <w:top w:w="0" w:type="dxa"/>
                    <w:left w:w="0" w:type="dxa"/>
                    <w:bottom w:w="0" w:type="dxa"/>
                    <w:right w:w="0" w:type="dxa"/>
                  </w:tcMar>
                  <w:vAlign w:val="center"/>
                </w:tcPr>
                <w:p w14:paraId="185727B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w:t>
                  </w:r>
                </w:p>
              </w:tc>
              <w:tc>
                <w:tcPr>
                  <w:tcW w:w="534" w:type="pct"/>
                  <w:noWrap w:val="0"/>
                  <w:tcMar>
                    <w:top w:w="0" w:type="dxa"/>
                    <w:left w:w="0" w:type="dxa"/>
                    <w:bottom w:w="0" w:type="dxa"/>
                    <w:right w:w="0" w:type="dxa"/>
                  </w:tcMar>
                  <w:vAlign w:val="center"/>
                </w:tcPr>
                <w:p w14:paraId="1CFD9A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938" w:type="dxa"/>
                  <w:noWrap w:val="0"/>
                  <w:tcMar>
                    <w:top w:w="0" w:type="dxa"/>
                    <w:left w:w="0" w:type="dxa"/>
                    <w:bottom w:w="0" w:type="dxa"/>
                    <w:right w:w="0" w:type="dxa"/>
                  </w:tcMar>
                  <w:vAlign w:val="center"/>
                </w:tcPr>
                <w:p w14:paraId="103811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0.000007</w:t>
                  </w:r>
                </w:p>
              </w:tc>
              <w:tc>
                <w:tcPr>
                  <w:tcW w:w="497" w:type="pct"/>
                  <w:vMerge w:val="continue"/>
                  <w:noWrap w:val="0"/>
                  <w:tcMar>
                    <w:top w:w="0" w:type="dxa"/>
                    <w:left w:w="0" w:type="dxa"/>
                    <w:bottom w:w="0" w:type="dxa"/>
                    <w:right w:w="0" w:type="dxa"/>
                  </w:tcMar>
                  <w:vAlign w:val="center"/>
                </w:tcPr>
                <w:p w14:paraId="5916390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53F6448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421A4C7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18BDCAC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SS</w:t>
                  </w:r>
                </w:p>
              </w:tc>
              <w:tc>
                <w:tcPr>
                  <w:tcW w:w="559" w:type="pct"/>
                  <w:vMerge w:val="continue"/>
                  <w:noWrap w:val="0"/>
                  <w:tcMar>
                    <w:top w:w="0" w:type="dxa"/>
                    <w:left w:w="0" w:type="dxa"/>
                    <w:bottom w:w="0" w:type="dxa"/>
                    <w:right w:w="0" w:type="dxa"/>
                  </w:tcMar>
                  <w:vAlign w:val="center"/>
                </w:tcPr>
                <w:p w14:paraId="497E34C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65C201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595" w:type="pct"/>
                  <w:noWrap w:val="0"/>
                  <w:tcMar>
                    <w:top w:w="0" w:type="dxa"/>
                    <w:left w:w="0" w:type="dxa"/>
                    <w:bottom w:w="0" w:type="dxa"/>
                    <w:right w:w="0" w:type="dxa"/>
                  </w:tcMar>
                  <w:vAlign w:val="center"/>
                </w:tcPr>
                <w:p w14:paraId="6DC097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0.000014</w:t>
                  </w:r>
                </w:p>
              </w:tc>
              <w:tc>
                <w:tcPr>
                  <w:tcW w:w="520" w:type="pct"/>
                  <w:noWrap w:val="0"/>
                  <w:tcMar>
                    <w:top w:w="0" w:type="dxa"/>
                    <w:left w:w="0" w:type="dxa"/>
                    <w:bottom w:w="0" w:type="dxa"/>
                    <w:right w:w="0" w:type="dxa"/>
                  </w:tcMar>
                  <w:vAlign w:val="center"/>
                </w:tcPr>
                <w:p w14:paraId="332B217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w:t>
                  </w:r>
                </w:p>
              </w:tc>
              <w:tc>
                <w:tcPr>
                  <w:tcW w:w="534" w:type="pct"/>
                  <w:noWrap w:val="0"/>
                  <w:tcMar>
                    <w:top w:w="0" w:type="dxa"/>
                    <w:left w:w="0" w:type="dxa"/>
                    <w:bottom w:w="0" w:type="dxa"/>
                    <w:right w:w="0" w:type="dxa"/>
                  </w:tcMar>
                  <w:vAlign w:val="center"/>
                </w:tcPr>
                <w:p w14:paraId="0E8496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20</w:t>
                  </w:r>
                </w:p>
              </w:tc>
              <w:tc>
                <w:tcPr>
                  <w:tcW w:w="938" w:type="dxa"/>
                  <w:noWrap w:val="0"/>
                  <w:tcMar>
                    <w:top w:w="0" w:type="dxa"/>
                    <w:left w:w="0" w:type="dxa"/>
                    <w:bottom w:w="0" w:type="dxa"/>
                    <w:right w:w="0" w:type="dxa"/>
                  </w:tcMar>
                  <w:vAlign w:val="center"/>
                </w:tcPr>
                <w:p w14:paraId="4D778E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0.000014</w:t>
                  </w:r>
                </w:p>
              </w:tc>
              <w:tc>
                <w:tcPr>
                  <w:tcW w:w="497" w:type="pct"/>
                  <w:vMerge w:val="continue"/>
                  <w:noWrap w:val="0"/>
                  <w:tcMar>
                    <w:top w:w="0" w:type="dxa"/>
                    <w:left w:w="0" w:type="dxa"/>
                    <w:bottom w:w="0" w:type="dxa"/>
                    <w:right w:w="0" w:type="dxa"/>
                  </w:tcMar>
                  <w:vAlign w:val="center"/>
                </w:tcPr>
                <w:p w14:paraId="419730C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44B7F7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restart"/>
                  <w:noWrap w:val="0"/>
                  <w:tcMar>
                    <w:top w:w="0" w:type="dxa"/>
                    <w:left w:w="0" w:type="dxa"/>
                    <w:bottom w:w="0" w:type="dxa"/>
                    <w:right w:w="0" w:type="dxa"/>
                  </w:tcMar>
                  <w:vAlign w:val="center"/>
                </w:tcPr>
                <w:p w14:paraId="7B0E58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合计</w:t>
                  </w:r>
                </w:p>
              </w:tc>
              <w:tc>
                <w:tcPr>
                  <w:tcW w:w="650" w:type="pct"/>
                  <w:noWrap w:val="0"/>
                  <w:tcMar>
                    <w:top w:w="0" w:type="dxa"/>
                    <w:left w:w="0" w:type="dxa"/>
                    <w:bottom w:w="0" w:type="dxa"/>
                    <w:right w:w="0" w:type="dxa"/>
                  </w:tcMar>
                  <w:vAlign w:val="center"/>
                </w:tcPr>
                <w:p w14:paraId="5226A25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COD</w:t>
                  </w:r>
                </w:p>
              </w:tc>
              <w:tc>
                <w:tcPr>
                  <w:tcW w:w="559" w:type="pct"/>
                  <w:vMerge w:val="restart"/>
                  <w:noWrap w:val="0"/>
                  <w:tcMar>
                    <w:top w:w="0" w:type="dxa"/>
                    <w:left w:w="0" w:type="dxa"/>
                    <w:bottom w:w="0" w:type="dxa"/>
                    <w:right w:w="0" w:type="dxa"/>
                  </w:tcMar>
                  <w:vAlign w:val="center"/>
                </w:tcPr>
                <w:p w14:paraId="0DB9C3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44"/>
                      <w:szCs w:val="21"/>
                      <w:highlight w:val="none"/>
                    </w:rPr>
                    <w:t>138605.946</w:t>
                  </w:r>
                </w:p>
              </w:tc>
              <w:tc>
                <w:tcPr>
                  <w:tcW w:w="551" w:type="pct"/>
                  <w:noWrap w:val="0"/>
                  <w:tcMar>
                    <w:top w:w="0" w:type="dxa"/>
                    <w:left w:w="0" w:type="dxa"/>
                    <w:bottom w:w="0" w:type="dxa"/>
                    <w:right w:w="0" w:type="dxa"/>
                  </w:tcMar>
                  <w:vAlign w:val="center"/>
                </w:tcPr>
                <w:p w14:paraId="3900A3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128.78 </w:t>
                  </w:r>
                </w:p>
              </w:tc>
              <w:tc>
                <w:tcPr>
                  <w:tcW w:w="595" w:type="pct"/>
                  <w:noWrap w:val="0"/>
                  <w:tcMar>
                    <w:top w:w="0" w:type="dxa"/>
                    <w:left w:w="0" w:type="dxa"/>
                    <w:bottom w:w="0" w:type="dxa"/>
                    <w:right w:w="0" w:type="dxa"/>
                  </w:tcMar>
                  <w:vAlign w:val="center"/>
                </w:tcPr>
                <w:p w14:paraId="7232E7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17.8501 </w:t>
                  </w:r>
                </w:p>
              </w:tc>
              <w:tc>
                <w:tcPr>
                  <w:tcW w:w="520" w:type="pct"/>
                  <w:vMerge w:val="restart"/>
                  <w:noWrap w:val="0"/>
                  <w:tcMar>
                    <w:top w:w="0" w:type="dxa"/>
                    <w:left w:w="0" w:type="dxa"/>
                    <w:bottom w:w="0" w:type="dxa"/>
                    <w:right w:w="0" w:type="dxa"/>
                  </w:tcMar>
                  <w:vAlign w:val="center"/>
                </w:tcPr>
                <w:p w14:paraId="0ABF42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spacing w:val="-6"/>
                      <w:kern w:val="44"/>
                      <w:sz w:val="21"/>
                      <w:szCs w:val="21"/>
                      <w:highlight w:val="none"/>
                      <w:lang w:val="en-US" w:eastAsia="zh-CN" w:bidi="ar-SA"/>
                    </w:rPr>
                    <w:t>/</w:t>
                  </w:r>
                </w:p>
              </w:tc>
              <w:tc>
                <w:tcPr>
                  <w:tcW w:w="534" w:type="pct"/>
                  <w:noWrap w:val="0"/>
                  <w:tcMar>
                    <w:top w:w="0" w:type="dxa"/>
                    <w:left w:w="0" w:type="dxa"/>
                    <w:bottom w:w="0" w:type="dxa"/>
                    <w:right w:w="0" w:type="dxa"/>
                  </w:tcMar>
                  <w:vAlign w:val="center"/>
                </w:tcPr>
                <w:p w14:paraId="450751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116.66 </w:t>
                  </w:r>
                </w:p>
              </w:tc>
              <w:tc>
                <w:tcPr>
                  <w:tcW w:w="555" w:type="pct"/>
                  <w:noWrap w:val="0"/>
                  <w:tcMar>
                    <w:top w:w="0" w:type="dxa"/>
                    <w:left w:w="0" w:type="dxa"/>
                    <w:bottom w:w="0" w:type="dxa"/>
                    <w:right w:w="0" w:type="dxa"/>
                  </w:tcMar>
                  <w:vAlign w:val="center"/>
                </w:tcPr>
                <w:p w14:paraId="12AF3A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16.1701 </w:t>
                  </w:r>
                </w:p>
              </w:tc>
              <w:tc>
                <w:tcPr>
                  <w:tcW w:w="497" w:type="pct"/>
                  <w:vMerge w:val="restart"/>
                  <w:noWrap w:val="0"/>
                  <w:tcMar>
                    <w:top w:w="0" w:type="dxa"/>
                    <w:left w:w="0" w:type="dxa"/>
                    <w:bottom w:w="0" w:type="dxa"/>
                    <w:right w:w="0" w:type="dxa"/>
                  </w:tcMar>
                  <w:vAlign w:val="center"/>
                </w:tcPr>
                <w:p w14:paraId="5A10A80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接管太湖新城污水处理厂</w:t>
                  </w:r>
                </w:p>
              </w:tc>
            </w:tr>
            <w:tr w14:paraId="30C825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02BCB46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7DE7D76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SS</w:t>
                  </w:r>
                </w:p>
              </w:tc>
              <w:tc>
                <w:tcPr>
                  <w:tcW w:w="559" w:type="pct"/>
                  <w:vMerge w:val="continue"/>
                  <w:noWrap w:val="0"/>
                  <w:tcMar>
                    <w:top w:w="0" w:type="dxa"/>
                    <w:left w:w="0" w:type="dxa"/>
                    <w:bottom w:w="0" w:type="dxa"/>
                    <w:right w:w="0" w:type="dxa"/>
                  </w:tcMar>
                  <w:vAlign w:val="center"/>
                </w:tcPr>
                <w:p w14:paraId="6661A7D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2E1A0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112.12 </w:t>
                  </w:r>
                </w:p>
              </w:tc>
              <w:tc>
                <w:tcPr>
                  <w:tcW w:w="595" w:type="pct"/>
                  <w:noWrap w:val="0"/>
                  <w:tcMar>
                    <w:top w:w="0" w:type="dxa"/>
                    <w:left w:w="0" w:type="dxa"/>
                    <w:bottom w:w="0" w:type="dxa"/>
                    <w:right w:w="0" w:type="dxa"/>
                  </w:tcMar>
                  <w:vAlign w:val="center"/>
                </w:tcPr>
                <w:p w14:paraId="775CD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15.5401 </w:t>
                  </w:r>
                </w:p>
              </w:tc>
              <w:tc>
                <w:tcPr>
                  <w:tcW w:w="520" w:type="pct"/>
                  <w:vMerge w:val="continue"/>
                  <w:noWrap w:val="0"/>
                  <w:tcMar>
                    <w:top w:w="0" w:type="dxa"/>
                    <w:left w:w="0" w:type="dxa"/>
                    <w:bottom w:w="0" w:type="dxa"/>
                    <w:right w:w="0" w:type="dxa"/>
                  </w:tcMar>
                  <w:vAlign w:val="center"/>
                </w:tcPr>
                <w:p w14:paraId="7EC0A5F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24610F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102.42 </w:t>
                  </w:r>
                </w:p>
              </w:tc>
              <w:tc>
                <w:tcPr>
                  <w:tcW w:w="555" w:type="pct"/>
                  <w:noWrap w:val="0"/>
                  <w:tcMar>
                    <w:top w:w="0" w:type="dxa"/>
                    <w:left w:w="0" w:type="dxa"/>
                    <w:bottom w:w="0" w:type="dxa"/>
                    <w:right w:w="0" w:type="dxa"/>
                  </w:tcMar>
                  <w:vAlign w:val="center"/>
                </w:tcPr>
                <w:p w14:paraId="47112E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14.1961 </w:t>
                  </w:r>
                </w:p>
              </w:tc>
              <w:tc>
                <w:tcPr>
                  <w:tcW w:w="497" w:type="pct"/>
                  <w:vMerge w:val="continue"/>
                  <w:noWrap w:val="0"/>
                  <w:tcMar>
                    <w:top w:w="0" w:type="dxa"/>
                    <w:left w:w="0" w:type="dxa"/>
                    <w:bottom w:w="0" w:type="dxa"/>
                    <w:right w:w="0" w:type="dxa"/>
                  </w:tcMar>
                  <w:vAlign w:val="center"/>
                </w:tcPr>
                <w:p w14:paraId="14A441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4B4A0D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22F33E2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5B86FD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氨氮</w:t>
                  </w:r>
                </w:p>
              </w:tc>
              <w:tc>
                <w:tcPr>
                  <w:tcW w:w="559" w:type="pct"/>
                  <w:vMerge w:val="continue"/>
                  <w:noWrap w:val="0"/>
                  <w:tcMar>
                    <w:top w:w="0" w:type="dxa"/>
                    <w:left w:w="0" w:type="dxa"/>
                    <w:bottom w:w="0" w:type="dxa"/>
                    <w:right w:w="0" w:type="dxa"/>
                  </w:tcMar>
                  <w:vAlign w:val="center"/>
                </w:tcPr>
                <w:p w14:paraId="232C842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039D70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8.48 </w:t>
                  </w:r>
                </w:p>
              </w:tc>
              <w:tc>
                <w:tcPr>
                  <w:tcW w:w="595" w:type="pct"/>
                  <w:noWrap w:val="0"/>
                  <w:tcMar>
                    <w:top w:w="0" w:type="dxa"/>
                    <w:left w:w="0" w:type="dxa"/>
                    <w:bottom w:w="0" w:type="dxa"/>
                    <w:right w:w="0" w:type="dxa"/>
                  </w:tcMar>
                  <w:vAlign w:val="center"/>
                </w:tcPr>
                <w:p w14:paraId="6FACBD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1.176</w:t>
                  </w:r>
                  <w:r>
                    <w:rPr>
                      <w:rFonts w:hint="eastAsia" w:ascii="Times New Roman" w:hAnsi="Times New Roman" w:eastAsia="宋体" w:cs="Times New Roman"/>
                      <w:i w:val="0"/>
                      <w:color w:val="auto"/>
                      <w:kern w:val="0"/>
                      <w:sz w:val="21"/>
                      <w:szCs w:val="21"/>
                      <w:highlight w:val="none"/>
                      <w:u w:val="none"/>
                      <w:lang w:val="en-US" w:eastAsia="zh-CN" w:bidi="ar"/>
                    </w:rPr>
                    <w:t>0</w:t>
                  </w:r>
                </w:p>
              </w:tc>
              <w:tc>
                <w:tcPr>
                  <w:tcW w:w="520" w:type="pct"/>
                  <w:vMerge w:val="continue"/>
                  <w:noWrap w:val="0"/>
                  <w:tcMar>
                    <w:top w:w="0" w:type="dxa"/>
                    <w:left w:w="0" w:type="dxa"/>
                    <w:bottom w:w="0" w:type="dxa"/>
                    <w:right w:w="0" w:type="dxa"/>
                  </w:tcMar>
                  <w:vAlign w:val="center"/>
                </w:tcPr>
                <w:p w14:paraId="4BBEB24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30A03A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8.48 </w:t>
                  </w:r>
                </w:p>
              </w:tc>
              <w:tc>
                <w:tcPr>
                  <w:tcW w:w="555" w:type="pct"/>
                  <w:noWrap w:val="0"/>
                  <w:tcMar>
                    <w:top w:w="0" w:type="dxa"/>
                    <w:left w:w="0" w:type="dxa"/>
                    <w:bottom w:w="0" w:type="dxa"/>
                    <w:right w:w="0" w:type="dxa"/>
                  </w:tcMar>
                  <w:vAlign w:val="center"/>
                </w:tcPr>
                <w:p w14:paraId="32D562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1.1760 </w:t>
                  </w:r>
                </w:p>
              </w:tc>
              <w:tc>
                <w:tcPr>
                  <w:tcW w:w="497" w:type="pct"/>
                  <w:vMerge w:val="continue"/>
                  <w:noWrap w:val="0"/>
                  <w:tcMar>
                    <w:top w:w="0" w:type="dxa"/>
                    <w:left w:w="0" w:type="dxa"/>
                    <w:bottom w:w="0" w:type="dxa"/>
                    <w:right w:w="0" w:type="dxa"/>
                  </w:tcMar>
                  <w:vAlign w:val="center"/>
                </w:tcPr>
                <w:p w14:paraId="590CE27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59BF61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24272CD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29D5377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总氮</w:t>
                  </w:r>
                </w:p>
              </w:tc>
              <w:tc>
                <w:tcPr>
                  <w:tcW w:w="559" w:type="pct"/>
                  <w:vMerge w:val="continue"/>
                  <w:noWrap w:val="0"/>
                  <w:tcMar>
                    <w:top w:w="0" w:type="dxa"/>
                    <w:left w:w="0" w:type="dxa"/>
                    <w:bottom w:w="0" w:type="dxa"/>
                    <w:right w:w="0" w:type="dxa"/>
                  </w:tcMar>
                  <w:vAlign w:val="center"/>
                </w:tcPr>
                <w:p w14:paraId="546DAD7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240557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10.91 </w:t>
                  </w:r>
                </w:p>
              </w:tc>
              <w:tc>
                <w:tcPr>
                  <w:tcW w:w="595" w:type="pct"/>
                  <w:noWrap w:val="0"/>
                  <w:tcMar>
                    <w:top w:w="0" w:type="dxa"/>
                    <w:left w:w="0" w:type="dxa"/>
                    <w:bottom w:w="0" w:type="dxa"/>
                    <w:right w:w="0" w:type="dxa"/>
                  </w:tcMar>
                  <w:vAlign w:val="center"/>
                </w:tcPr>
                <w:p w14:paraId="6B81F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1.512</w:t>
                  </w:r>
                  <w:r>
                    <w:rPr>
                      <w:rFonts w:hint="eastAsia" w:ascii="Times New Roman" w:hAnsi="Times New Roman" w:eastAsia="宋体" w:cs="Times New Roman"/>
                      <w:i w:val="0"/>
                      <w:color w:val="auto"/>
                      <w:kern w:val="0"/>
                      <w:sz w:val="21"/>
                      <w:szCs w:val="21"/>
                      <w:highlight w:val="none"/>
                      <w:u w:val="none"/>
                      <w:lang w:val="en-US" w:eastAsia="zh-CN" w:bidi="ar"/>
                    </w:rPr>
                    <w:t>0</w:t>
                  </w:r>
                </w:p>
              </w:tc>
              <w:tc>
                <w:tcPr>
                  <w:tcW w:w="520" w:type="pct"/>
                  <w:vMerge w:val="continue"/>
                  <w:noWrap w:val="0"/>
                  <w:tcMar>
                    <w:top w:w="0" w:type="dxa"/>
                    <w:left w:w="0" w:type="dxa"/>
                    <w:bottom w:w="0" w:type="dxa"/>
                    <w:right w:w="0" w:type="dxa"/>
                  </w:tcMar>
                  <w:vAlign w:val="center"/>
                </w:tcPr>
                <w:p w14:paraId="3822ADF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709657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10.91 </w:t>
                  </w:r>
                </w:p>
              </w:tc>
              <w:tc>
                <w:tcPr>
                  <w:tcW w:w="555" w:type="pct"/>
                  <w:noWrap w:val="0"/>
                  <w:tcMar>
                    <w:top w:w="0" w:type="dxa"/>
                    <w:left w:w="0" w:type="dxa"/>
                    <w:bottom w:w="0" w:type="dxa"/>
                    <w:right w:w="0" w:type="dxa"/>
                  </w:tcMar>
                  <w:vAlign w:val="center"/>
                </w:tcPr>
                <w:p w14:paraId="240D37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1.5120 </w:t>
                  </w:r>
                </w:p>
              </w:tc>
              <w:tc>
                <w:tcPr>
                  <w:tcW w:w="497" w:type="pct"/>
                  <w:vMerge w:val="continue"/>
                  <w:noWrap w:val="0"/>
                  <w:tcMar>
                    <w:top w:w="0" w:type="dxa"/>
                    <w:left w:w="0" w:type="dxa"/>
                    <w:bottom w:w="0" w:type="dxa"/>
                    <w:right w:w="0" w:type="dxa"/>
                  </w:tcMar>
                  <w:vAlign w:val="center"/>
                </w:tcPr>
                <w:p w14:paraId="118218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3593AD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7616BF8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174D83B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总磷</w:t>
                  </w:r>
                </w:p>
              </w:tc>
              <w:tc>
                <w:tcPr>
                  <w:tcW w:w="559" w:type="pct"/>
                  <w:vMerge w:val="continue"/>
                  <w:noWrap w:val="0"/>
                  <w:tcMar>
                    <w:top w:w="0" w:type="dxa"/>
                    <w:left w:w="0" w:type="dxa"/>
                    <w:bottom w:w="0" w:type="dxa"/>
                    <w:right w:w="0" w:type="dxa"/>
                  </w:tcMar>
                  <w:vAlign w:val="center"/>
                </w:tcPr>
                <w:p w14:paraId="7D03696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126AD1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1.21 </w:t>
                  </w:r>
                </w:p>
              </w:tc>
              <w:tc>
                <w:tcPr>
                  <w:tcW w:w="595" w:type="pct"/>
                  <w:noWrap w:val="0"/>
                  <w:tcMar>
                    <w:top w:w="0" w:type="dxa"/>
                    <w:left w:w="0" w:type="dxa"/>
                    <w:bottom w:w="0" w:type="dxa"/>
                    <w:right w:w="0" w:type="dxa"/>
                  </w:tcMar>
                  <w:vAlign w:val="center"/>
                </w:tcPr>
                <w:p w14:paraId="682B94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0.168</w:t>
                  </w:r>
                  <w:r>
                    <w:rPr>
                      <w:rFonts w:hint="eastAsia" w:ascii="Times New Roman" w:hAnsi="Times New Roman" w:eastAsia="宋体" w:cs="Times New Roman"/>
                      <w:i w:val="0"/>
                      <w:color w:val="auto"/>
                      <w:kern w:val="0"/>
                      <w:sz w:val="21"/>
                      <w:szCs w:val="21"/>
                      <w:highlight w:val="none"/>
                      <w:u w:val="none"/>
                      <w:lang w:val="en-US" w:eastAsia="zh-CN" w:bidi="ar"/>
                    </w:rPr>
                    <w:t>0</w:t>
                  </w:r>
                </w:p>
              </w:tc>
              <w:tc>
                <w:tcPr>
                  <w:tcW w:w="520" w:type="pct"/>
                  <w:vMerge w:val="continue"/>
                  <w:noWrap w:val="0"/>
                  <w:tcMar>
                    <w:top w:w="0" w:type="dxa"/>
                    <w:left w:w="0" w:type="dxa"/>
                    <w:bottom w:w="0" w:type="dxa"/>
                    <w:right w:w="0" w:type="dxa"/>
                  </w:tcMar>
                  <w:vAlign w:val="center"/>
                </w:tcPr>
                <w:p w14:paraId="3FF2C0D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741F76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1.21 </w:t>
                  </w:r>
                </w:p>
              </w:tc>
              <w:tc>
                <w:tcPr>
                  <w:tcW w:w="555" w:type="pct"/>
                  <w:noWrap w:val="0"/>
                  <w:tcMar>
                    <w:top w:w="0" w:type="dxa"/>
                    <w:left w:w="0" w:type="dxa"/>
                    <w:bottom w:w="0" w:type="dxa"/>
                    <w:right w:w="0" w:type="dxa"/>
                  </w:tcMar>
                  <w:vAlign w:val="center"/>
                </w:tcPr>
                <w:p w14:paraId="5AA290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0.1680 </w:t>
                  </w:r>
                </w:p>
              </w:tc>
              <w:tc>
                <w:tcPr>
                  <w:tcW w:w="497" w:type="pct"/>
                  <w:vMerge w:val="continue"/>
                  <w:noWrap w:val="0"/>
                  <w:tcMar>
                    <w:top w:w="0" w:type="dxa"/>
                    <w:left w:w="0" w:type="dxa"/>
                    <w:bottom w:w="0" w:type="dxa"/>
                    <w:right w:w="0" w:type="dxa"/>
                  </w:tcMar>
                  <w:vAlign w:val="center"/>
                </w:tcPr>
                <w:p w14:paraId="1FE5089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r w14:paraId="489ACDA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536" w:type="pct"/>
                  <w:vMerge w:val="continue"/>
                  <w:noWrap w:val="0"/>
                  <w:tcMar>
                    <w:top w:w="0" w:type="dxa"/>
                    <w:left w:w="0" w:type="dxa"/>
                    <w:bottom w:w="0" w:type="dxa"/>
                    <w:right w:w="0" w:type="dxa"/>
                  </w:tcMar>
                  <w:vAlign w:val="center"/>
                </w:tcPr>
                <w:p w14:paraId="478016D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650" w:type="pct"/>
                  <w:noWrap w:val="0"/>
                  <w:tcMar>
                    <w:top w:w="0" w:type="dxa"/>
                    <w:left w:w="0" w:type="dxa"/>
                    <w:bottom w:w="0" w:type="dxa"/>
                    <w:right w:w="0" w:type="dxa"/>
                  </w:tcMar>
                  <w:vAlign w:val="center"/>
                </w:tcPr>
                <w:p w14:paraId="56ED89C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r>
                    <w:rPr>
                      <w:rFonts w:hint="default" w:ascii="Times New Roman" w:hAnsi="Times New Roman" w:eastAsia="宋体" w:cs="Times New Roman"/>
                      <w:color w:val="auto"/>
                      <w:kern w:val="44"/>
                      <w:sz w:val="21"/>
                      <w:szCs w:val="21"/>
                      <w:highlight w:val="none"/>
                      <w:lang w:val="en-US" w:eastAsia="zh-CN" w:bidi="ar-SA"/>
                    </w:rPr>
                    <w:t>动植物油</w:t>
                  </w:r>
                </w:p>
              </w:tc>
              <w:tc>
                <w:tcPr>
                  <w:tcW w:w="559" w:type="pct"/>
                  <w:vMerge w:val="continue"/>
                  <w:noWrap w:val="0"/>
                  <w:tcMar>
                    <w:top w:w="0" w:type="dxa"/>
                    <w:left w:w="0" w:type="dxa"/>
                    <w:bottom w:w="0" w:type="dxa"/>
                    <w:right w:w="0" w:type="dxa"/>
                  </w:tcMar>
                  <w:vAlign w:val="center"/>
                </w:tcPr>
                <w:p w14:paraId="722B02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51" w:type="pct"/>
                  <w:noWrap w:val="0"/>
                  <w:tcMar>
                    <w:top w:w="0" w:type="dxa"/>
                    <w:left w:w="0" w:type="dxa"/>
                    <w:bottom w:w="0" w:type="dxa"/>
                    <w:right w:w="0" w:type="dxa"/>
                  </w:tcMar>
                  <w:vAlign w:val="center"/>
                </w:tcPr>
                <w:p w14:paraId="119873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13.85 </w:t>
                  </w:r>
                </w:p>
              </w:tc>
              <w:tc>
                <w:tcPr>
                  <w:tcW w:w="595" w:type="pct"/>
                  <w:noWrap w:val="0"/>
                  <w:tcMar>
                    <w:top w:w="0" w:type="dxa"/>
                    <w:left w:w="0" w:type="dxa"/>
                    <w:bottom w:w="0" w:type="dxa"/>
                    <w:right w:w="0" w:type="dxa"/>
                  </w:tcMar>
                  <w:vAlign w:val="center"/>
                </w:tcPr>
                <w:p w14:paraId="3FA955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bidi="ar"/>
                    </w:rPr>
                  </w:pPr>
                  <w:r>
                    <w:rPr>
                      <w:rFonts w:hint="default" w:ascii="Times New Roman" w:hAnsi="Times New Roman" w:eastAsia="宋体" w:cs="Times New Roman"/>
                      <w:i w:val="0"/>
                      <w:color w:val="auto"/>
                      <w:kern w:val="0"/>
                      <w:sz w:val="22"/>
                      <w:szCs w:val="22"/>
                      <w:highlight w:val="none"/>
                      <w:u w:val="none"/>
                      <w:lang w:val="en-US" w:eastAsia="zh-CN" w:bidi="ar"/>
                    </w:rPr>
                    <w:t>1.92</w:t>
                  </w:r>
                  <w:r>
                    <w:rPr>
                      <w:rFonts w:hint="eastAsia" w:ascii="Times New Roman" w:hAnsi="Times New Roman" w:eastAsia="宋体" w:cs="Times New Roman"/>
                      <w:i w:val="0"/>
                      <w:color w:val="auto"/>
                      <w:kern w:val="0"/>
                      <w:sz w:val="22"/>
                      <w:szCs w:val="22"/>
                      <w:highlight w:val="none"/>
                      <w:u w:val="none"/>
                      <w:lang w:val="en-US" w:eastAsia="zh-CN" w:bidi="ar"/>
                    </w:rPr>
                    <w:t>00</w:t>
                  </w:r>
                </w:p>
              </w:tc>
              <w:tc>
                <w:tcPr>
                  <w:tcW w:w="520" w:type="pct"/>
                  <w:vMerge w:val="continue"/>
                  <w:noWrap w:val="0"/>
                  <w:tcMar>
                    <w:top w:w="0" w:type="dxa"/>
                    <w:left w:w="0" w:type="dxa"/>
                    <w:bottom w:w="0" w:type="dxa"/>
                    <w:right w:w="0" w:type="dxa"/>
                  </w:tcMar>
                  <w:vAlign w:val="center"/>
                </w:tcPr>
                <w:p w14:paraId="51B3044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c>
                <w:tcPr>
                  <w:tcW w:w="534" w:type="pct"/>
                  <w:noWrap w:val="0"/>
                  <w:tcMar>
                    <w:top w:w="0" w:type="dxa"/>
                    <w:left w:w="0" w:type="dxa"/>
                    <w:bottom w:w="0" w:type="dxa"/>
                    <w:right w:w="0" w:type="dxa"/>
                  </w:tcMar>
                  <w:vAlign w:val="center"/>
                </w:tcPr>
                <w:p w14:paraId="76251B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1"/>
                      <w:szCs w:val="21"/>
                      <w:highlight w:val="none"/>
                      <w:u w:val="none"/>
                      <w:lang w:val="en-US" w:eastAsia="zh-CN" w:bidi="ar"/>
                    </w:rPr>
                    <w:t xml:space="preserve">5.54 </w:t>
                  </w:r>
                </w:p>
              </w:tc>
              <w:tc>
                <w:tcPr>
                  <w:tcW w:w="555" w:type="pct"/>
                  <w:noWrap w:val="0"/>
                  <w:tcMar>
                    <w:top w:w="0" w:type="dxa"/>
                    <w:left w:w="0" w:type="dxa"/>
                    <w:bottom w:w="0" w:type="dxa"/>
                    <w:right w:w="0" w:type="dxa"/>
                  </w:tcMar>
                  <w:vAlign w:val="center"/>
                </w:tcPr>
                <w:p w14:paraId="3A9708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color w:val="auto"/>
                      <w:kern w:val="0"/>
                      <w:sz w:val="22"/>
                      <w:szCs w:val="22"/>
                      <w:highlight w:val="none"/>
                      <w:u w:val="none"/>
                      <w:lang w:val="en-US" w:eastAsia="zh-CN" w:bidi="ar"/>
                    </w:rPr>
                    <w:t xml:space="preserve">0.7680 </w:t>
                  </w:r>
                </w:p>
              </w:tc>
              <w:tc>
                <w:tcPr>
                  <w:tcW w:w="497" w:type="pct"/>
                  <w:vMerge w:val="continue"/>
                  <w:noWrap w:val="0"/>
                  <w:tcMar>
                    <w:top w:w="0" w:type="dxa"/>
                    <w:left w:w="0" w:type="dxa"/>
                    <w:bottom w:w="0" w:type="dxa"/>
                    <w:right w:w="0" w:type="dxa"/>
                  </w:tcMar>
                  <w:vAlign w:val="center"/>
                </w:tcPr>
                <w:p w14:paraId="6787520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44"/>
                      <w:sz w:val="21"/>
                      <w:szCs w:val="21"/>
                      <w:highlight w:val="none"/>
                      <w:lang w:val="en-US" w:eastAsia="zh-CN" w:bidi="ar-SA"/>
                    </w:rPr>
                  </w:pPr>
                </w:p>
              </w:tc>
            </w:tr>
          </w:tbl>
          <w:p w14:paraId="66098C69">
            <w:pPr>
              <w:pStyle w:val="15"/>
              <w:keepNext w:val="0"/>
              <w:keepLines w:val="0"/>
              <w:widowControl/>
              <w:suppressLineNumbers w:val="0"/>
              <w:spacing w:before="0" w:beforeAutospacing="0" w:after="0" w:afterAutospacing="0" w:line="360" w:lineRule="auto"/>
              <w:ind w:left="0" w:leftChars="0" w:right="0" w:firstLine="480" w:firstLineChars="200"/>
              <w:rPr>
                <w:rStyle w:val="29"/>
                <w:rFonts w:hint="eastAsia" w:ascii="Times New Roman" w:hAnsi="Times New Roman" w:eastAsia="宋体" w:cs="Times New Roman"/>
                <w:b w:val="0"/>
                <w:bCs w:val="0"/>
                <w:color w:val="auto"/>
                <w:sz w:val="24"/>
                <w:szCs w:val="24"/>
                <w:highlight w:val="none"/>
                <w:lang w:val="en-US" w:eastAsia="zh-CN"/>
              </w:rPr>
            </w:pPr>
            <w:r>
              <w:rPr>
                <w:rStyle w:val="29"/>
                <w:rFonts w:hint="eastAsia" w:ascii="Times New Roman" w:hAnsi="Times New Roman" w:eastAsia="宋体" w:cs="Times New Roman"/>
                <w:b w:val="0"/>
                <w:bCs w:val="0"/>
                <w:color w:val="auto"/>
                <w:kern w:val="2"/>
                <w:sz w:val="24"/>
                <w:szCs w:val="24"/>
                <w:highlight w:val="none"/>
                <w:lang w:val="en-US" w:eastAsia="zh-CN"/>
              </w:rPr>
              <w:t>根据《时代天使创美基地项目二阶段、年产1亿个隐形矫治器技术改造项目一阶段、年产一亿个口腔隐形正畸产品的个性化定制与柔性制造协同创新模式应用项目一阶段》竣工环境保护验收报告中废水检测报告</w:t>
            </w:r>
            <w:r>
              <w:rPr>
                <w:rStyle w:val="29"/>
                <w:rFonts w:hint="eastAsia" w:ascii="Times New Roman" w:hAnsi="Times New Roman" w:eastAsia="宋体" w:cs="Times New Roman"/>
                <w:b w:val="0"/>
                <w:bCs w:val="0"/>
                <w:color w:val="auto"/>
                <w:sz w:val="24"/>
                <w:szCs w:val="24"/>
                <w:highlight w:val="none"/>
                <w:lang w:val="en-US" w:eastAsia="zh-CN"/>
              </w:rPr>
              <w:t>，报告编号为：SZJC2411004检测日期2024年11月4日~2024年11月5日，现有项目水污染物达标情况见下表。</w:t>
            </w:r>
          </w:p>
          <w:p w14:paraId="746D4B7F">
            <w:pPr>
              <w:pStyle w:val="16"/>
              <w:keepNext w:val="0"/>
              <w:keepLines w:val="0"/>
              <w:suppressLineNumbers w:val="0"/>
              <w:spacing w:beforeAutospacing="0" w:afterAutospacing="0"/>
              <w:ind w:left="0"/>
              <w:rPr>
                <w:rStyle w:val="29"/>
                <w:rFonts w:hint="eastAsia" w:ascii="Times New Roman" w:hAnsi="Times New Roman" w:eastAsia="宋体" w:cs="Times New Roman"/>
                <w:b w:val="0"/>
                <w:bCs w:val="0"/>
                <w:color w:val="auto"/>
                <w:sz w:val="24"/>
                <w:szCs w:val="24"/>
                <w:highlight w:val="none"/>
                <w:lang w:val="en-US" w:eastAsia="zh-CN"/>
              </w:rPr>
            </w:pPr>
          </w:p>
          <w:p w14:paraId="4DB80DFD">
            <w:pPr>
              <w:keepNext w:val="0"/>
              <w:keepLines w:val="0"/>
              <w:suppressLineNumbers w:val="0"/>
              <w:spacing w:before="0" w:beforeAutospacing="0" w:after="0" w:afterAutospacing="0"/>
              <w:ind w:left="0" w:right="0"/>
              <w:rPr>
                <w:rFonts w:hint="eastAsia"/>
                <w:color w:val="auto"/>
                <w:highlight w:val="none"/>
                <w:lang w:val="en-US" w:eastAsia="zh-CN"/>
              </w:rPr>
            </w:pPr>
          </w:p>
          <w:p w14:paraId="554258B4">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16</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废水污染物排放达标情况</w:t>
            </w:r>
          </w:p>
          <w:tbl>
            <w:tblPr>
              <w:tblStyle w:val="24"/>
              <w:tblW w:w="84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17"/>
              <w:gridCol w:w="1480"/>
              <w:gridCol w:w="1000"/>
              <w:gridCol w:w="1310"/>
              <w:gridCol w:w="1178"/>
              <w:gridCol w:w="1027"/>
            </w:tblGrid>
            <w:tr w14:paraId="5CBEC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104" w:type="dxa"/>
                  <w:noWrap w:val="0"/>
                  <w:vAlign w:val="center"/>
                </w:tcPr>
                <w:p w14:paraId="30EAB9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w:t>
                  </w:r>
                </w:p>
              </w:tc>
              <w:tc>
                <w:tcPr>
                  <w:tcW w:w="1317" w:type="dxa"/>
                  <w:noWrap w:val="0"/>
                  <w:vAlign w:val="center"/>
                </w:tcPr>
                <w:p w14:paraId="59C28C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1480" w:type="dxa"/>
                  <w:noWrap w:val="0"/>
                  <w:vAlign w:val="center"/>
                </w:tcPr>
                <w:p w14:paraId="1B04C5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日平均排放浓度（mg/L）</w:t>
                  </w:r>
                </w:p>
              </w:tc>
              <w:tc>
                <w:tcPr>
                  <w:tcW w:w="1000" w:type="dxa"/>
                  <w:noWrap w:val="0"/>
                  <w:vAlign w:val="center"/>
                </w:tcPr>
                <w:p w14:paraId="0676EC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年运行天数（d）</w:t>
                  </w:r>
                </w:p>
              </w:tc>
              <w:tc>
                <w:tcPr>
                  <w:tcW w:w="1310" w:type="dxa"/>
                  <w:noWrap w:val="0"/>
                  <w:vAlign w:val="center"/>
                </w:tcPr>
                <w:p w14:paraId="06432C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废水年排放量（t/a）</w:t>
                  </w:r>
                </w:p>
              </w:tc>
              <w:tc>
                <w:tcPr>
                  <w:tcW w:w="1178" w:type="dxa"/>
                  <w:noWrap w:val="0"/>
                  <w:vAlign w:val="center"/>
                </w:tcPr>
                <w:p w14:paraId="7CAA79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实际排放量（t/a）</w:t>
                  </w:r>
                </w:p>
              </w:tc>
              <w:tc>
                <w:tcPr>
                  <w:tcW w:w="1027" w:type="dxa"/>
                  <w:noWrap w:val="0"/>
                  <w:vAlign w:val="center"/>
                </w:tcPr>
                <w:p w14:paraId="315C5D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排放标准</w:t>
                  </w:r>
                </w:p>
              </w:tc>
            </w:tr>
            <w:tr w14:paraId="02EF4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104" w:type="dxa"/>
                  <w:vMerge w:val="restart"/>
                  <w:noWrap w:val="0"/>
                  <w:vAlign w:val="center"/>
                </w:tcPr>
                <w:p w14:paraId="210A61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污水总排放口</w:t>
                  </w:r>
                </w:p>
              </w:tc>
              <w:tc>
                <w:tcPr>
                  <w:tcW w:w="1317" w:type="dxa"/>
                  <w:noWrap w:val="0"/>
                  <w:vAlign w:val="center"/>
                </w:tcPr>
                <w:p w14:paraId="4EDC8E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化学需氧量</w:t>
                  </w:r>
                </w:p>
              </w:tc>
              <w:tc>
                <w:tcPr>
                  <w:tcW w:w="1480" w:type="dxa"/>
                  <w:noWrap w:val="0"/>
                  <w:vAlign w:val="center"/>
                </w:tcPr>
                <w:p w14:paraId="15989F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86</w:t>
                  </w:r>
                </w:p>
              </w:tc>
              <w:tc>
                <w:tcPr>
                  <w:tcW w:w="1000" w:type="dxa"/>
                  <w:vMerge w:val="restart"/>
                  <w:noWrap w:val="0"/>
                  <w:vAlign w:val="center"/>
                </w:tcPr>
                <w:p w14:paraId="1D05A0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300</w:t>
                  </w:r>
                </w:p>
              </w:tc>
              <w:tc>
                <w:tcPr>
                  <w:tcW w:w="1310" w:type="dxa"/>
                  <w:vMerge w:val="restart"/>
                  <w:noWrap w:val="0"/>
                  <w:vAlign w:val="center"/>
                </w:tcPr>
                <w:p w14:paraId="45EAC7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67384.406</w:t>
                  </w:r>
                </w:p>
              </w:tc>
              <w:tc>
                <w:tcPr>
                  <w:tcW w:w="1178" w:type="dxa"/>
                  <w:noWrap w:val="0"/>
                  <w:vAlign w:val="center"/>
                </w:tcPr>
                <w:p w14:paraId="612F41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5.7951</w:t>
                  </w:r>
                </w:p>
              </w:tc>
              <w:tc>
                <w:tcPr>
                  <w:tcW w:w="1027" w:type="dxa"/>
                  <w:noWrap w:val="0"/>
                  <w:vAlign w:val="center"/>
                </w:tcPr>
                <w:p w14:paraId="1B058E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500</w:t>
                  </w:r>
                </w:p>
              </w:tc>
            </w:tr>
            <w:tr w14:paraId="08C38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04" w:type="dxa"/>
                  <w:vMerge w:val="continue"/>
                  <w:noWrap w:val="0"/>
                  <w:vAlign w:val="center"/>
                </w:tcPr>
                <w:p w14:paraId="1151EF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7" w:type="dxa"/>
                  <w:noWrap w:val="0"/>
                  <w:vAlign w:val="center"/>
                </w:tcPr>
                <w:p w14:paraId="4A6095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悬浮物</w:t>
                  </w:r>
                </w:p>
              </w:tc>
              <w:tc>
                <w:tcPr>
                  <w:tcW w:w="1480" w:type="dxa"/>
                  <w:noWrap w:val="0"/>
                  <w:vAlign w:val="center"/>
                </w:tcPr>
                <w:p w14:paraId="2D451F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56</w:t>
                  </w:r>
                </w:p>
              </w:tc>
              <w:tc>
                <w:tcPr>
                  <w:tcW w:w="1000" w:type="dxa"/>
                  <w:vMerge w:val="continue"/>
                  <w:noWrap w:val="0"/>
                  <w:vAlign w:val="center"/>
                </w:tcPr>
                <w:p w14:paraId="2FFCD0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0" w:type="dxa"/>
                  <w:vMerge w:val="continue"/>
                  <w:noWrap w:val="0"/>
                  <w:vAlign w:val="center"/>
                </w:tcPr>
                <w:p w14:paraId="6ECE13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178" w:type="dxa"/>
                  <w:noWrap w:val="0"/>
                  <w:vAlign w:val="center"/>
                </w:tcPr>
                <w:p w14:paraId="6991A8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3.7735</w:t>
                  </w:r>
                </w:p>
              </w:tc>
              <w:tc>
                <w:tcPr>
                  <w:tcW w:w="1027" w:type="dxa"/>
                  <w:noWrap w:val="0"/>
                  <w:vAlign w:val="center"/>
                </w:tcPr>
                <w:p w14:paraId="4D8B5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400</w:t>
                  </w:r>
                </w:p>
              </w:tc>
            </w:tr>
            <w:tr w14:paraId="729A5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4" w:type="dxa"/>
                  <w:vMerge w:val="continue"/>
                  <w:noWrap w:val="0"/>
                  <w:vAlign w:val="center"/>
                </w:tcPr>
                <w:p w14:paraId="142FF1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7" w:type="dxa"/>
                  <w:noWrap w:val="0"/>
                  <w:vAlign w:val="center"/>
                </w:tcPr>
                <w:p w14:paraId="633245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氨氮</w:t>
                  </w:r>
                </w:p>
              </w:tc>
              <w:tc>
                <w:tcPr>
                  <w:tcW w:w="1480" w:type="dxa"/>
                  <w:noWrap w:val="0"/>
                  <w:vAlign w:val="center"/>
                </w:tcPr>
                <w:p w14:paraId="082FFC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9.4</w:t>
                  </w:r>
                </w:p>
              </w:tc>
              <w:tc>
                <w:tcPr>
                  <w:tcW w:w="1000" w:type="dxa"/>
                  <w:vMerge w:val="continue"/>
                  <w:noWrap w:val="0"/>
                  <w:vAlign w:val="center"/>
                </w:tcPr>
                <w:p w14:paraId="52FD54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0" w:type="dxa"/>
                  <w:vMerge w:val="continue"/>
                  <w:noWrap w:val="0"/>
                  <w:vAlign w:val="center"/>
                </w:tcPr>
                <w:p w14:paraId="2E58C7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178" w:type="dxa"/>
                  <w:noWrap w:val="0"/>
                  <w:vAlign w:val="center"/>
                </w:tcPr>
                <w:p w14:paraId="6AD51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0.6334</w:t>
                  </w:r>
                </w:p>
              </w:tc>
              <w:tc>
                <w:tcPr>
                  <w:tcW w:w="1027" w:type="dxa"/>
                  <w:noWrap w:val="0"/>
                  <w:vAlign w:val="center"/>
                </w:tcPr>
                <w:p w14:paraId="75BB99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45</w:t>
                  </w:r>
                </w:p>
              </w:tc>
            </w:tr>
            <w:tr w14:paraId="127C2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104" w:type="dxa"/>
                  <w:vMerge w:val="continue"/>
                  <w:noWrap w:val="0"/>
                  <w:vAlign w:val="center"/>
                </w:tcPr>
                <w:p w14:paraId="3970A9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7" w:type="dxa"/>
                  <w:noWrap w:val="0"/>
                  <w:vAlign w:val="center"/>
                </w:tcPr>
                <w:p w14:paraId="73F76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总磷</w:t>
                  </w:r>
                </w:p>
              </w:tc>
              <w:tc>
                <w:tcPr>
                  <w:tcW w:w="1480" w:type="dxa"/>
                  <w:noWrap w:val="0"/>
                  <w:vAlign w:val="center"/>
                </w:tcPr>
                <w:p w14:paraId="057848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1.57</w:t>
                  </w:r>
                </w:p>
              </w:tc>
              <w:tc>
                <w:tcPr>
                  <w:tcW w:w="1000" w:type="dxa"/>
                  <w:vMerge w:val="continue"/>
                  <w:noWrap w:val="0"/>
                  <w:vAlign w:val="center"/>
                </w:tcPr>
                <w:p w14:paraId="33870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0" w:type="dxa"/>
                  <w:vMerge w:val="continue"/>
                  <w:noWrap w:val="0"/>
                  <w:vAlign w:val="center"/>
                </w:tcPr>
                <w:p w14:paraId="36E685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178" w:type="dxa"/>
                  <w:noWrap w:val="0"/>
                  <w:vAlign w:val="center"/>
                </w:tcPr>
                <w:p w14:paraId="6F25E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0.1058</w:t>
                  </w:r>
                </w:p>
              </w:tc>
              <w:tc>
                <w:tcPr>
                  <w:tcW w:w="1027" w:type="dxa"/>
                  <w:noWrap w:val="0"/>
                  <w:vAlign w:val="center"/>
                </w:tcPr>
                <w:p w14:paraId="29970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w:t>
                  </w:r>
                </w:p>
              </w:tc>
            </w:tr>
            <w:tr w14:paraId="3FC46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04" w:type="dxa"/>
                  <w:vMerge w:val="continue"/>
                  <w:noWrap w:val="0"/>
                  <w:vAlign w:val="center"/>
                </w:tcPr>
                <w:p w14:paraId="7577BE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7" w:type="dxa"/>
                  <w:noWrap w:val="0"/>
                  <w:vAlign w:val="center"/>
                </w:tcPr>
                <w:p w14:paraId="1625D1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总氮</w:t>
                  </w:r>
                </w:p>
              </w:tc>
              <w:tc>
                <w:tcPr>
                  <w:tcW w:w="1480" w:type="dxa"/>
                  <w:noWrap w:val="0"/>
                  <w:vAlign w:val="center"/>
                </w:tcPr>
                <w:p w14:paraId="3720D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14.3</w:t>
                  </w:r>
                </w:p>
              </w:tc>
              <w:tc>
                <w:tcPr>
                  <w:tcW w:w="1000" w:type="dxa"/>
                  <w:vMerge w:val="continue"/>
                  <w:noWrap w:val="0"/>
                  <w:vAlign w:val="center"/>
                </w:tcPr>
                <w:p w14:paraId="381784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0" w:type="dxa"/>
                  <w:vMerge w:val="continue"/>
                  <w:noWrap w:val="0"/>
                  <w:vAlign w:val="center"/>
                </w:tcPr>
                <w:p w14:paraId="0D90A5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178" w:type="dxa"/>
                  <w:noWrap w:val="0"/>
                  <w:vAlign w:val="center"/>
                </w:tcPr>
                <w:p w14:paraId="288C96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0.9636</w:t>
                  </w:r>
                </w:p>
              </w:tc>
              <w:tc>
                <w:tcPr>
                  <w:tcW w:w="1027" w:type="dxa"/>
                  <w:noWrap w:val="0"/>
                  <w:vAlign w:val="center"/>
                </w:tcPr>
                <w:p w14:paraId="1FB65E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r>
            <w:tr w14:paraId="1AEAC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104" w:type="dxa"/>
                  <w:vMerge w:val="continue"/>
                  <w:noWrap w:val="0"/>
                  <w:vAlign w:val="center"/>
                </w:tcPr>
                <w:p w14:paraId="0DD112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7" w:type="dxa"/>
                  <w:noWrap w:val="0"/>
                  <w:vAlign w:val="center"/>
                </w:tcPr>
                <w:p w14:paraId="79570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动植物油类</w:t>
                  </w:r>
                </w:p>
              </w:tc>
              <w:tc>
                <w:tcPr>
                  <w:tcW w:w="1480" w:type="dxa"/>
                  <w:noWrap w:val="0"/>
                  <w:vAlign w:val="center"/>
                </w:tcPr>
                <w:p w14:paraId="4B5C7E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0.16</w:t>
                  </w:r>
                </w:p>
              </w:tc>
              <w:tc>
                <w:tcPr>
                  <w:tcW w:w="1000" w:type="dxa"/>
                  <w:vMerge w:val="continue"/>
                  <w:noWrap w:val="0"/>
                  <w:vAlign w:val="center"/>
                </w:tcPr>
                <w:p w14:paraId="3BB0EB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310" w:type="dxa"/>
                  <w:vMerge w:val="continue"/>
                  <w:noWrap w:val="0"/>
                  <w:vAlign w:val="center"/>
                </w:tcPr>
                <w:p w14:paraId="5F181B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 w:val="21"/>
                      <w:szCs w:val="21"/>
                      <w:highlight w:val="none"/>
                    </w:rPr>
                  </w:pPr>
                </w:p>
              </w:tc>
              <w:tc>
                <w:tcPr>
                  <w:tcW w:w="1178" w:type="dxa"/>
                  <w:noWrap w:val="0"/>
                  <w:vAlign w:val="center"/>
                </w:tcPr>
                <w:p w14:paraId="65044C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0.0108</w:t>
                  </w:r>
                </w:p>
              </w:tc>
              <w:tc>
                <w:tcPr>
                  <w:tcW w:w="1027" w:type="dxa"/>
                  <w:noWrap w:val="0"/>
                  <w:vAlign w:val="center"/>
                </w:tcPr>
                <w:p w14:paraId="3BAFD9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r>
          </w:tbl>
          <w:p w14:paraId="523781FB">
            <w:pPr>
              <w:pStyle w:val="15"/>
              <w:keepNext w:val="0"/>
              <w:keepLines w:val="0"/>
              <w:widowControl/>
              <w:suppressLineNumbers w:val="0"/>
              <w:spacing w:before="0" w:beforeAutospacing="0" w:after="0" w:afterAutospacing="0" w:line="360" w:lineRule="auto"/>
              <w:ind w:left="0" w:leftChars="0" w:right="0" w:firstLine="480" w:firstLineChars="200"/>
              <w:rPr>
                <w:rFonts w:hint="default"/>
                <w:color w:val="auto"/>
                <w:highlight w:val="none"/>
              </w:rPr>
            </w:pPr>
            <w:r>
              <w:rPr>
                <w:rFonts w:hint="default" w:ascii="宋体" w:hAnsi="宋体" w:eastAsia="宋体" w:cs="宋体"/>
                <w:b w:val="0"/>
                <w:bCs w:val="0"/>
                <w:color w:val="auto"/>
                <w:sz w:val="24"/>
                <w:szCs w:val="24"/>
                <w:highlight w:val="none"/>
              </w:rPr>
              <w:t>以上监测结果表明：废水总排口中水质</w:t>
            </w:r>
            <w:r>
              <w:rPr>
                <w:rFonts w:hint="eastAsia" w:ascii="宋体" w:hAnsi="宋体" w:cs="宋体"/>
                <w:b w:val="0"/>
                <w:bCs w:val="0"/>
                <w:color w:val="auto"/>
                <w:sz w:val="24"/>
                <w:szCs w:val="24"/>
                <w:highlight w:val="none"/>
                <w:lang w:val="en-US" w:eastAsia="zh-CN"/>
              </w:rPr>
              <w:t>达到</w:t>
            </w:r>
            <w:r>
              <w:rPr>
                <w:rFonts w:hint="default" w:ascii="宋体" w:hAnsi="宋体" w:eastAsia="宋体" w:cs="宋体"/>
                <w:b w:val="0"/>
                <w:bCs w:val="0"/>
                <w:color w:val="auto"/>
                <w:sz w:val="24"/>
                <w:szCs w:val="24"/>
                <w:highlight w:val="none"/>
              </w:rPr>
              <w:t>《污水综合排放标准》（</w:t>
            </w:r>
            <w:r>
              <w:rPr>
                <w:rFonts w:hint="default" w:ascii="TimesNewRomanPSMT" w:hAnsi="TimesNewRomanPSMT" w:eastAsia="TimesNewRomanPSMT" w:cs="TimesNewRomanPSMT"/>
                <w:b w:val="0"/>
                <w:bCs w:val="0"/>
                <w:color w:val="auto"/>
                <w:sz w:val="24"/>
                <w:szCs w:val="24"/>
                <w:highlight w:val="none"/>
              </w:rPr>
              <w:t>GB8978-1996</w:t>
            </w:r>
            <w:r>
              <w:rPr>
                <w:rFonts w:hint="default" w:ascii="宋体" w:hAnsi="宋体" w:eastAsia="宋体" w:cs="宋体"/>
                <w:b w:val="0"/>
                <w:bCs w:val="0"/>
                <w:color w:val="auto"/>
                <w:sz w:val="24"/>
                <w:szCs w:val="24"/>
                <w:highlight w:val="none"/>
              </w:rPr>
              <w:t xml:space="preserve">） 表 </w:t>
            </w:r>
            <w:r>
              <w:rPr>
                <w:rFonts w:hint="default" w:ascii="TimesNewRomanPSMT" w:hAnsi="TimesNewRomanPSMT" w:eastAsia="TimesNewRomanPSMT" w:cs="TimesNewRomanPSMT"/>
                <w:b w:val="0"/>
                <w:bCs w:val="0"/>
                <w:color w:val="auto"/>
                <w:sz w:val="24"/>
                <w:szCs w:val="24"/>
                <w:highlight w:val="none"/>
              </w:rPr>
              <w:t xml:space="preserve">4 </w:t>
            </w:r>
            <w:r>
              <w:rPr>
                <w:rFonts w:hint="default" w:ascii="宋体" w:hAnsi="宋体" w:eastAsia="宋体" w:cs="宋体"/>
                <w:b w:val="0"/>
                <w:bCs w:val="0"/>
                <w:color w:val="auto"/>
                <w:sz w:val="24"/>
                <w:szCs w:val="24"/>
                <w:highlight w:val="none"/>
              </w:rPr>
              <w:t>三级标准，其中氨氮、总氮、总磷、动植物油满足《污水排入城镇下水道水质标准》（</w:t>
            </w:r>
            <w:r>
              <w:rPr>
                <w:rFonts w:hint="default" w:ascii="TimesNewRomanPSMT" w:hAnsi="TimesNewRomanPSMT" w:eastAsia="TimesNewRomanPSMT" w:cs="TimesNewRomanPSMT"/>
                <w:b w:val="0"/>
                <w:bCs w:val="0"/>
                <w:color w:val="auto"/>
                <w:sz w:val="24"/>
                <w:szCs w:val="24"/>
                <w:highlight w:val="none"/>
              </w:rPr>
              <w:t>GB/T 31962-2015</w:t>
            </w:r>
            <w:r>
              <w:rPr>
                <w:rFonts w:hint="default" w:ascii="宋体" w:hAnsi="宋体" w:eastAsia="宋体" w:cs="宋体"/>
                <w:b w:val="0"/>
                <w:bCs w:val="0"/>
                <w:color w:val="auto"/>
                <w:sz w:val="24"/>
                <w:szCs w:val="24"/>
                <w:highlight w:val="none"/>
              </w:rPr>
              <w:t xml:space="preserve">）表 </w:t>
            </w:r>
            <w:r>
              <w:rPr>
                <w:rFonts w:hint="default" w:ascii="TimesNewRomanPSMT" w:hAnsi="TimesNewRomanPSMT" w:eastAsia="TimesNewRomanPSMT" w:cs="TimesNewRomanPSMT"/>
                <w:b w:val="0"/>
                <w:bCs w:val="0"/>
                <w:color w:val="auto"/>
                <w:sz w:val="24"/>
                <w:szCs w:val="24"/>
                <w:highlight w:val="none"/>
              </w:rPr>
              <w:t xml:space="preserve">1 </w:t>
            </w:r>
            <w:r>
              <w:rPr>
                <w:rFonts w:hint="default" w:ascii="宋体" w:hAnsi="宋体" w:eastAsia="宋体" w:cs="宋体"/>
                <w:b w:val="0"/>
                <w:bCs w:val="0"/>
                <w:color w:val="auto"/>
                <w:sz w:val="24"/>
                <w:szCs w:val="24"/>
                <w:highlight w:val="none"/>
              </w:rPr>
              <w:t xml:space="preserve">中 </w:t>
            </w:r>
            <w:r>
              <w:rPr>
                <w:rFonts w:hint="default" w:ascii="TimesNewRomanPSMT" w:hAnsi="TimesNewRomanPSMT" w:eastAsia="TimesNewRomanPSMT" w:cs="TimesNewRomanPSMT"/>
                <w:b w:val="0"/>
                <w:bCs w:val="0"/>
                <w:color w:val="auto"/>
                <w:sz w:val="24"/>
                <w:szCs w:val="24"/>
                <w:highlight w:val="none"/>
              </w:rPr>
              <w:t xml:space="preserve">A </w:t>
            </w:r>
            <w:r>
              <w:rPr>
                <w:rFonts w:hint="default" w:ascii="宋体" w:hAnsi="宋体" w:eastAsia="宋体" w:cs="宋体"/>
                <w:b w:val="0"/>
                <w:bCs w:val="0"/>
                <w:color w:val="auto"/>
                <w:sz w:val="24"/>
                <w:szCs w:val="24"/>
                <w:highlight w:val="none"/>
              </w:rPr>
              <w:t>级标准。</w:t>
            </w:r>
          </w:p>
          <w:p w14:paraId="2DE45F4B">
            <w:pPr>
              <w:pStyle w:val="15"/>
              <w:keepNext w:val="0"/>
              <w:keepLines w:val="0"/>
              <w:widowControl/>
              <w:suppressLineNumbers w:val="0"/>
              <w:spacing w:before="0" w:beforeAutospacing="0" w:after="0" w:afterAutospacing="0" w:line="360" w:lineRule="auto"/>
              <w:ind w:left="0" w:leftChars="0" w:right="0" w:firstLine="482" w:firstLineChars="200"/>
              <w:rPr>
                <w:rStyle w:val="29"/>
                <w:rFonts w:hint="eastAsia" w:ascii="Times New Roman" w:hAnsi="Times New Roman" w:eastAsia="宋体" w:cs="Times New Roman"/>
                <w:b/>
                <w:bCs/>
                <w:color w:val="auto"/>
                <w:sz w:val="24"/>
                <w:szCs w:val="24"/>
                <w:highlight w:val="none"/>
                <w:lang w:val="en-US" w:eastAsia="zh-CN"/>
              </w:rPr>
            </w:pPr>
            <w:r>
              <w:rPr>
                <w:rStyle w:val="29"/>
                <w:rFonts w:hint="eastAsia" w:ascii="Times New Roman" w:hAnsi="Times New Roman" w:eastAsia="宋体" w:cs="Times New Roman"/>
                <w:b/>
                <w:bCs/>
                <w:color w:val="auto"/>
                <w:sz w:val="24"/>
                <w:szCs w:val="24"/>
                <w:highlight w:val="none"/>
                <w:lang w:val="en-US" w:eastAsia="zh-CN"/>
              </w:rPr>
              <w:t>（3）噪声产生及排放情况</w:t>
            </w:r>
          </w:p>
          <w:p w14:paraId="6090A0A1">
            <w:pPr>
              <w:pStyle w:val="15"/>
              <w:keepNext w:val="0"/>
              <w:keepLines w:val="0"/>
              <w:widowControl/>
              <w:suppressLineNumbers w:val="0"/>
              <w:spacing w:before="0" w:beforeAutospacing="0" w:after="0" w:afterAutospacing="0" w:line="360" w:lineRule="auto"/>
              <w:ind w:left="0" w:leftChars="0" w:right="0" w:firstLine="480" w:firstLineChars="200"/>
              <w:rPr>
                <w:rStyle w:val="29"/>
                <w:rFonts w:hint="default" w:ascii="Times New Roman" w:hAnsi="Times New Roman" w:eastAsia="宋体" w:cs="Times New Roman"/>
                <w:b w:val="0"/>
                <w:bCs w:val="0"/>
                <w:color w:val="auto"/>
                <w:sz w:val="24"/>
                <w:szCs w:val="24"/>
                <w:highlight w:val="none"/>
                <w:lang w:val="en-US" w:eastAsia="zh-CN"/>
              </w:rPr>
            </w:pPr>
            <w:r>
              <w:rPr>
                <w:rStyle w:val="29"/>
                <w:rFonts w:hint="eastAsia" w:ascii="Times New Roman" w:hAnsi="Times New Roman" w:eastAsia="宋体" w:cs="Times New Roman"/>
                <w:b w:val="0"/>
                <w:bCs w:val="0"/>
                <w:color w:val="auto"/>
                <w:kern w:val="2"/>
                <w:sz w:val="24"/>
                <w:szCs w:val="24"/>
                <w:highlight w:val="none"/>
                <w:lang w:val="en-US" w:eastAsia="zh-CN"/>
              </w:rPr>
              <w:t>根据《时代天使创美基地项目二阶段、年产1亿个隐形矫治器技术改造项目一阶段、年产一亿个口腔隐形正畸产品的个性化定制与柔性制造协同创新模式应用项目一阶段》竣工环境保护验收报告中噪声检测报告</w:t>
            </w:r>
            <w:r>
              <w:rPr>
                <w:rStyle w:val="29"/>
                <w:rFonts w:hint="eastAsia" w:ascii="Times New Roman" w:hAnsi="Times New Roman" w:eastAsia="宋体" w:cs="Times New Roman"/>
                <w:b w:val="0"/>
                <w:bCs w:val="0"/>
                <w:color w:val="auto"/>
                <w:sz w:val="24"/>
                <w:szCs w:val="24"/>
                <w:highlight w:val="none"/>
                <w:lang w:val="en-US" w:eastAsia="zh-CN"/>
              </w:rPr>
              <w:t>，报告编号为：SZJC2411004。检测日期2024年11月4日~2024年11月5日，</w:t>
            </w:r>
            <w:r>
              <w:rPr>
                <w:rStyle w:val="29"/>
                <w:rFonts w:hint="default" w:ascii="Times New Roman" w:hAnsi="Times New Roman" w:eastAsia="宋体" w:cs="Times New Roman"/>
                <w:b w:val="0"/>
                <w:bCs w:val="0"/>
                <w:color w:val="auto"/>
                <w:sz w:val="24"/>
                <w:szCs w:val="24"/>
                <w:highlight w:val="none"/>
                <w:lang w:val="en-US" w:eastAsia="zh-CN"/>
              </w:rPr>
              <w:t>现有项目噪声达标情况见下表。</w:t>
            </w:r>
          </w:p>
          <w:p w14:paraId="67B3B67E">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17</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b/>
                <w:bCs/>
                <w:color w:val="auto"/>
                <w:sz w:val="24"/>
                <w:highlight w:val="none"/>
              </w:rPr>
              <w:t>现有项目噪声监测结果</w:t>
            </w:r>
          </w:p>
          <w:tbl>
            <w:tblPr>
              <w:tblStyle w:val="24"/>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331"/>
              <w:gridCol w:w="1506"/>
              <w:gridCol w:w="1383"/>
              <w:gridCol w:w="1391"/>
              <w:gridCol w:w="1473"/>
            </w:tblGrid>
            <w:tr w14:paraId="1037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625" w:type="dxa"/>
                  <w:gridSpan w:val="2"/>
                  <w:vMerge w:val="restart"/>
                  <w:tcBorders>
                    <w:top w:val="single" w:color="auto" w:sz="12" w:space="0"/>
                    <w:left w:val="nil"/>
                  </w:tcBorders>
                  <w:noWrap w:val="0"/>
                  <w:vAlign w:val="center"/>
                </w:tcPr>
                <w:p w14:paraId="57C363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监测结果dB(A)</w:t>
                  </w:r>
                </w:p>
              </w:tc>
              <w:tc>
                <w:tcPr>
                  <w:tcW w:w="1506" w:type="dxa"/>
                  <w:tcBorders>
                    <w:top w:val="single" w:color="auto" w:sz="12" w:space="0"/>
                    <w:bottom w:val="single" w:color="auto" w:sz="4" w:space="0"/>
                    <w:right w:val="nil"/>
                  </w:tcBorders>
                  <w:noWrap w:val="0"/>
                  <w:vAlign w:val="center"/>
                </w:tcPr>
                <w:p w14:paraId="05DAA5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olor w:val="auto"/>
                      <w:szCs w:val="21"/>
                      <w:highlight w:val="none"/>
                      <w:lang w:eastAsia="zh-CN"/>
                    </w:rPr>
                  </w:pPr>
                  <w:r>
                    <w:rPr>
                      <w:rFonts w:hint="default" w:ascii="Times New Roman" w:hAnsi="Times New Roman" w:eastAsia="宋体"/>
                      <w:b/>
                      <w:color w:val="auto"/>
                      <w:szCs w:val="21"/>
                      <w:highlight w:val="none"/>
                    </w:rPr>
                    <w:t>厂界东</w:t>
                  </w:r>
                  <w:r>
                    <w:rPr>
                      <w:rFonts w:hint="eastAsia" w:ascii="Times New Roman" w:hAnsi="Times New Roman" w:eastAsia="宋体"/>
                      <w:b/>
                      <w:color w:val="auto"/>
                      <w:szCs w:val="21"/>
                      <w:highlight w:val="none"/>
                      <w:lang w:val="en-US" w:eastAsia="zh-CN"/>
                    </w:rPr>
                    <w:t>侧</w:t>
                  </w:r>
                </w:p>
              </w:tc>
              <w:tc>
                <w:tcPr>
                  <w:tcW w:w="1383" w:type="dxa"/>
                  <w:tcBorders>
                    <w:top w:val="single" w:color="auto" w:sz="12" w:space="0"/>
                    <w:bottom w:val="single" w:color="auto" w:sz="4" w:space="0"/>
                    <w:right w:val="nil"/>
                  </w:tcBorders>
                  <w:noWrap w:val="0"/>
                  <w:vAlign w:val="center"/>
                </w:tcPr>
                <w:p w14:paraId="2DB49D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b/>
                      <w:color w:val="auto"/>
                      <w:szCs w:val="21"/>
                      <w:highlight w:val="none"/>
                      <w:lang w:eastAsia="zh-CN"/>
                    </w:rPr>
                  </w:pPr>
                  <w:r>
                    <w:rPr>
                      <w:rFonts w:hint="default" w:ascii="Times New Roman" w:hAnsi="Times New Roman" w:eastAsia="宋体"/>
                      <w:b/>
                      <w:color w:val="auto"/>
                      <w:szCs w:val="21"/>
                      <w:highlight w:val="none"/>
                    </w:rPr>
                    <w:t>厂界</w:t>
                  </w:r>
                  <w:r>
                    <w:rPr>
                      <w:rFonts w:hint="eastAsia" w:ascii="Times New Roman" w:hAnsi="Times New Roman" w:eastAsia="宋体"/>
                      <w:b/>
                      <w:color w:val="auto"/>
                      <w:szCs w:val="21"/>
                      <w:highlight w:val="none"/>
                    </w:rPr>
                    <w:t>南</w:t>
                  </w:r>
                  <w:r>
                    <w:rPr>
                      <w:rFonts w:hint="eastAsia" w:ascii="Times New Roman" w:hAnsi="Times New Roman" w:eastAsia="宋体"/>
                      <w:b/>
                      <w:color w:val="auto"/>
                      <w:szCs w:val="21"/>
                      <w:highlight w:val="none"/>
                      <w:lang w:val="en-US" w:eastAsia="zh-CN"/>
                    </w:rPr>
                    <w:t>侧</w:t>
                  </w:r>
                </w:p>
              </w:tc>
              <w:tc>
                <w:tcPr>
                  <w:tcW w:w="1391" w:type="dxa"/>
                  <w:tcBorders>
                    <w:top w:val="single" w:color="auto" w:sz="12" w:space="0"/>
                    <w:bottom w:val="single" w:color="auto" w:sz="4" w:space="0"/>
                    <w:right w:val="nil"/>
                  </w:tcBorders>
                  <w:noWrap w:val="0"/>
                  <w:vAlign w:val="center"/>
                </w:tcPr>
                <w:p w14:paraId="1187A4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olor w:val="auto"/>
                      <w:szCs w:val="21"/>
                      <w:highlight w:val="none"/>
                      <w:lang w:eastAsia="zh-CN"/>
                    </w:rPr>
                  </w:pPr>
                  <w:r>
                    <w:rPr>
                      <w:rFonts w:hint="default" w:ascii="Times New Roman" w:hAnsi="Times New Roman" w:eastAsia="宋体"/>
                      <w:b/>
                      <w:color w:val="auto"/>
                      <w:szCs w:val="21"/>
                      <w:highlight w:val="none"/>
                    </w:rPr>
                    <w:t>厂界</w:t>
                  </w:r>
                  <w:r>
                    <w:rPr>
                      <w:rFonts w:hint="eastAsia" w:ascii="Times New Roman" w:hAnsi="Times New Roman" w:eastAsia="宋体"/>
                      <w:b/>
                      <w:color w:val="auto"/>
                      <w:szCs w:val="21"/>
                      <w:highlight w:val="none"/>
                    </w:rPr>
                    <w:t>西</w:t>
                  </w:r>
                  <w:r>
                    <w:rPr>
                      <w:rFonts w:hint="eastAsia" w:ascii="Times New Roman" w:hAnsi="Times New Roman" w:eastAsia="宋体"/>
                      <w:b/>
                      <w:color w:val="auto"/>
                      <w:szCs w:val="21"/>
                      <w:highlight w:val="none"/>
                      <w:lang w:val="en-US" w:eastAsia="zh-CN"/>
                    </w:rPr>
                    <w:t>侧</w:t>
                  </w:r>
                </w:p>
              </w:tc>
              <w:tc>
                <w:tcPr>
                  <w:tcW w:w="1473" w:type="dxa"/>
                  <w:tcBorders>
                    <w:top w:val="single" w:color="auto" w:sz="12" w:space="0"/>
                    <w:bottom w:val="single" w:color="auto" w:sz="4" w:space="0"/>
                    <w:right w:val="nil"/>
                  </w:tcBorders>
                  <w:noWrap w:val="0"/>
                  <w:vAlign w:val="center"/>
                </w:tcPr>
                <w:p w14:paraId="13ED10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b/>
                      <w:color w:val="auto"/>
                      <w:szCs w:val="21"/>
                      <w:highlight w:val="none"/>
                      <w:lang w:eastAsia="zh-CN"/>
                    </w:rPr>
                  </w:pPr>
                  <w:r>
                    <w:rPr>
                      <w:rFonts w:hint="default" w:ascii="Times New Roman" w:hAnsi="Times New Roman" w:eastAsia="宋体"/>
                      <w:b/>
                      <w:color w:val="auto"/>
                      <w:szCs w:val="21"/>
                      <w:highlight w:val="none"/>
                    </w:rPr>
                    <w:t>厂界</w:t>
                  </w:r>
                  <w:r>
                    <w:rPr>
                      <w:rFonts w:hint="eastAsia" w:ascii="Times New Roman" w:hAnsi="Times New Roman" w:eastAsia="宋体"/>
                      <w:b/>
                      <w:color w:val="auto"/>
                      <w:szCs w:val="21"/>
                      <w:highlight w:val="none"/>
                    </w:rPr>
                    <w:t>北</w:t>
                  </w:r>
                  <w:r>
                    <w:rPr>
                      <w:rFonts w:hint="eastAsia" w:ascii="Times New Roman" w:hAnsi="Times New Roman" w:eastAsia="宋体"/>
                      <w:b/>
                      <w:color w:val="auto"/>
                      <w:szCs w:val="21"/>
                      <w:highlight w:val="none"/>
                      <w:lang w:val="en-US" w:eastAsia="zh-CN"/>
                    </w:rPr>
                    <w:t>侧</w:t>
                  </w:r>
                </w:p>
              </w:tc>
            </w:tr>
            <w:tr w14:paraId="673D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625" w:type="dxa"/>
                  <w:gridSpan w:val="2"/>
                  <w:vMerge w:val="continue"/>
                  <w:tcBorders>
                    <w:left w:val="nil"/>
                  </w:tcBorders>
                  <w:noWrap w:val="0"/>
                  <w:vAlign w:val="center"/>
                </w:tcPr>
                <w:p w14:paraId="51C085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p>
              </w:tc>
              <w:tc>
                <w:tcPr>
                  <w:tcW w:w="1506" w:type="dxa"/>
                  <w:tcBorders>
                    <w:top w:val="single" w:color="auto" w:sz="4" w:space="0"/>
                    <w:right w:val="nil"/>
                  </w:tcBorders>
                  <w:noWrap w:val="0"/>
                  <w:vAlign w:val="center"/>
                </w:tcPr>
                <w:p w14:paraId="3FB821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N1</w:t>
                  </w:r>
                </w:p>
              </w:tc>
              <w:tc>
                <w:tcPr>
                  <w:tcW w:w="1383" w:type="dxa"/>
                  <w:tcBorders>
                    <w:top w:val="single" w:color="auto" w:sz="4" w:space="0"/>
                    <w:right w:val="nil"/>
                  </w:tcBorders>
                  <w:noWrap w:val="0"/>
                  <w:vAlign w:val="center"/>
                </w:tcPr>
                <w:p w14:paraId="7D2EB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N2</w:t>
                  </w:r>
                </w:p>
              </w:tc>
              <w:tc>
                <w:tcPr>
                  <w:tcW w:w="1391" w:type="dxa"/>
                  <w:tcBorders>
                    <w:top w:val="single" w:color="auto" w:sz="4" w:space="0"/>
                    <w:right w:val="nil"/>
                  </w:tcBorders>
                  <w:noWrap w:val="0"/>
                  <w:vAlign w:val="center"/>
                </w:tcPr>
                <w:p w14:paraId="7DDF4C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N3</w:t>
                  </w:r>
                </w:p>
              </w:tc>
              <w:tc>
                <w:tcPr>
                  <w:tcW w:w="1473" w:type="dxa"/>
                  <w:tcBorders>
                    <w:top w:val="single" w:color="auto" w:sz="4" w:space="0"/>
                    <w:right w:val="nil"/>
                  </w:tcBorders>
                  <w:noWrap w:val="0"/>
                  <w:vAlign w:val="center"/>
                </w:tcPr>
                <w:p w14:paraId="537A34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bCs/>
                      <w:color w:val="auto"/>
                      <w:szCs w:val="21"/>
                      <w:highlight w:val="none"/>
                    </w:rPr>
                  </w:pPr>
                  <w:r>
                    <w:rPr>
                      <w:rFonts w:hint="eastAsia" w:ascii="Times New Roman" w:hAnsi="Times New Roman" w:eastAsia="宋体"/>
                      <w:b/>
                      <w:bCs/>
                      <w:color w:val="auto"/>
                      <w:szCs w:val="21"/>
                      <w:highlight w:val="none"/>
                    </w:rPr>
                    <w:t>N4</w:t>
                  </w:r>
                </w:p>
              </w:tc>
            </w:tr>
            <w:tr w14:paraId="51CE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294" w:type="dxa"/>
                  <w:vMerge w:val="restart"/>
                  <w:tcBorders>
                    <w:left w:val="nil"/>
                  </w:tcBorders>
                  <w:noWrap w:val="0"/>
                  <w:vAlign w:val="center"/>
                </w:tcPr>
                <w:p w14:paraId="3720F8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2024.11.04</w:t>
                  </w:r>
                </w:p>
              </w:tc>
              <w:tc>
                <w:tcPr>
                  <w:tcW w:w="1331" w:type="dxa"/>
                  <w:noWrap w:val="0"/>
                  <w:vAlign w:val="center"/>
                </w:tcPr>
                <w:p w14:paraId="2CE0B9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Leq（昼间）</w:t>
                  </w:r>
                </w:p>
              </w:tc>
              <w:tc>
                <w:tcPr>
                  <w:tcW w:w="1506" w:type="dxa"/>
                  <w:tcBorders>
                    <w:right w:val="nil"/>
                  </w:tcBorders>
                  <w:noWrap w:val="0"/>
                  <w:vAlign w:val="center"/>
                </w:tcPr>
                <w:p w14:paraId="553BB9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55.9</w:t>
                  </w:r>
                </w:p>
              </w:tc>
              <w:tc>
                <w:tcPr>
                  <w:tcW w:w="1383" w:type="dxa"/>
                  <w:tcBorders>
                    <w:right w:val="nil"/>
                  </w:tcBorders>
                  <w:noWrap w:val="0"/>
                  <w:vAlign w:val="center"/>
                </w:tcPr>
                <w:p w14:paraId="4083E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56.5</w:t>
                  </w:r>
                </w:p>
              </w:tc>
              <w:tc>
                <w:tcPr>
                  <w:tcW w:w="1391" w:type="dxa"/>
                  <w:tcBorders>
                    <w:right w:val="nil"/>
                  </w:tcBorders>
                  <w:noWrap w:val="0"/>
                  <w:vAlign w:val="center"/>
                </w:tcPr>
                <w:p w14:paraId="3D730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56.1</w:t>
                  </w:r>
                </w:p>
              </w:tc>
              <w:tc>
                <w:tcPr>
                  <w:tcW w:w="1473" w:type="dxa"/>
                  <w:tcBorders>
                    <w:right w:val="nil"/>
                  </w:tcBorders>
                  <w:noWrap w:val="0"/>
                  <w:vAlign w:val="center"/>
                </w:tcPr>
                <w:p w14:paraId="68673E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56.8</w:t>
                  </w:r>
                </w:p>
              </w:tc>
            </w:tr>
            <w:tr w14:paraId="57DD0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continue"/>
                  <w:tcBorders>
                    <w:left w:val="nil"/>
                  </w:tcBorders>
                  <w:noWrap w:val="0"/>
                  <w:vAlign w:val="center"/>
                </w:tcPr>
                <w:p w14:paraId="7E654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olor w:val="auto"/>
                      <w:szCs w:val="21"/>
                      <w:highlight w:val="none"/>
                    </w:rPr>
                  </w:pPr>
                </w:p>
              </w:tc>
              <w:tc>
                <w:tcPr>
                  <w:tcW w:w="1331" w:type="dxa"/>
                  <w:noWrap w:val="0"/>
                  <w:vAlign w:val="center"/>
                </w:tcPr>
                <w:p w14:paraId="422A68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Leq（</w:t>
                  </w:r>
                  <w:r>
                    <w:rPr>
                      <w:rFonts w:hint="eastAsia" w:ascii="Times New Roman" w:hAnsi="Times New Roman" w:eastAsia="宋体"/>
                      <w:color w:val="auto"/>
                      <w:szCs w:val="21"/>
                      <w:highlight w:val="none"/>
                    </w:rPr>
                    <w:t>夜</w:t>
                  </w:r>
                  <w:r>
                    <w:rPr>
                      <w:rFonts w:hint="default" w:ascii="Times New Roman" w:hAnsi="Times New Roman" w:eastAsia="宋体"/>
                      <w:color w:val="auto"/>
                      <w:szCs w:val="21"/>
                      <w:highlight w:val="none"/>
                    </w:rPr>
                    <w:t>间）</w:t>
                  </w:r>
                </w:p>
              </w:tc>
              <w:tc>
                <w:tcPr>
                  <w:tcW w:w="1506" w:type="dxa"/>
                  <w:tcBorders>
                    <w:right w:val="nil"/>
                  </w:tcBorders>
                  <w:noWrap w:val="0"/>
                  <w:vAlign w:val="center"/>
                </w:tcPr>
                <w:p w14:paraId="74BD6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44.5</w:t>
                  </w:r>
                </w:p>
              </w:tc>
              <w:tc>
                <w:tcPr>
                  <w:tcW w:w="1383" w:type="dxa"/>
                  <w:tcBorders>
                    <w:right w:val="nil"/>
                  </w:tcBorders>
                  <w:noWrap w:val="0"/>
                  <w:vAlign w:val="center"/>
                </w:tcPr>
                <w:p w14:paraId="775B3D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46.0</w:t>
                  </w:r>
                </w:p>
              </w:tc>
              <w:tc>
                <w:tcPr>
                  <w:tcW w:w="1391" w:type="dxa"/>
                  <w:tcBorders>
                    <w:right w:val="nil"/>
                  </w:tcBorders>
                  <w:noWrap w:val="0"/>
                  <w:vAlign w:val="center"/>
                </w:tcPr>
                <w:p w14:paraId="3C1977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46.2</w:t>
                  </w:r>
                </w:p>
              </w:tc>
              <w:tc>
                <w:tcPr>
                  <w:tcW w:w="1473" w:type="dxa"/>
                  <w:tcBorders>
                    <w:right w:val="nil"/>
                  </w:tcBorders>
                  <w:noWrap w:val="0"/>
                  <w:vAlign w:val="center"/>
                </w:tcPr>
                <w:p w14:paraId="11B85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44.4</w:t>
                  </w:r>
                </w:p>
              </w:tc>
            </w:tr>
            <w:tr w14:paraId="2151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restart"/>
                  <w:tcBorders>
                    <w:left w:val="nil"/>
                  </w:tcBorders>
                  <w:noWrap w:val="0"/>
                  <w:vAlign w:val="center"/>
                </w:tcPr>
                <w:p w14:paraId="7AC052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2024.11.05</w:t>
                  </w:r>
                </w:p>
              </w:tc>
              <w:tc>
                <w:tcPr>
                  <w:tcW w:w="1331" w:type="dxa"/>
                  <w:noWrap w:val="0"/>
                  <w:vAlign w:val="center"/>
                </w:tcPr>
                <w:p w14:paraId="15FC5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Leq（昼间）</w:t>
                  </w:r>
                </w:p>
              </w:tc>
              <w:tc>
                <w:tcPr>
                  <w:tcW w:w="1506" w:type="dxa"/>
                  <w:tcBorders>
                    <w:right w:val="nil"/>
                  </w:tcBorders>
                  <w:noWrap w:val="0"/>
                  <w:vAlign w:val="center"/>
                </w:tcPr>
                <w:p w14:paraId="0D28BC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57.2</w:t>
                  </w:r>
                </w:p>
              </w:tc>
              <w:tc>
                <w:tcPr>
                  <w:tcW w:w="1383" w:type="dxa"/>
                  <w:tcBorders>
                    <w:right w:val="nil"/>
                  </w:tcBorders>
                  <w:noWrap w:val="0"/>
                  <w:vAlign w:val="center"/>
                </w:tcPr>
                <w:p w14:paraId="7C380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57.3</w:t>
                  </w:r>
                </w:p>
              </w:tc>
              <w:tc>
                <w:tcPr>
                  <w:tcW w:w="1391" w:type="dxa"/>
                  <w:tcBorders>
                    <w:right w:val="nil"/>
                  </w:tcBorders>
                  <w:noWrap w:val="0"/>
                  <w:vAlign w:val="center"/>
                </w:tcPr>
                <w:p w14:paraId="11E7F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58.1</w:t>
                  </w:r>
                </w:p>
              </w:tc>
              <w:tc>
                <w:tcPr>
                  <w:tcW w:w="1473" w:type="dxa"/>
                  <w:tcBorders>
                    <w:right w:val="nil"/>
                  </w:tcBorders>
                  <w:noWrap w:val="0"/>
                  <w:vAlign w:val="center"/>
                </w:tcPr>
                <w:p w14:paraId="55840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57.2</w:t>
                  </w:r>
                </w:p>
              </w:tc>
            </w:tr>
            <w:tr w14:paraId="05C0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continue"/>
                  <w:tcBorders>
                    <w:left w:val="nil"/>
                  </w:tcBorders>
                  <w:noWrap w:val="0"/>
                  <w:vAlign w:val="center"/>
                </w:tcPr>
                <w:p w14:paraId="26238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olor w:val="auto"/>
                      <w:szCs w:val="21"/>
                      <w:highlight w:val="none"/>
                    </w:rPr>
                  </w:pPr>
                </w:p>
              </w:tc>
              <w:tc>
                <w:tcPr>
                  <w:tcW w:w="1331" w:type="dxa"/>
                  <w:noWrap w:val="0"/>
                  <w:vAlign w:val="center"/>
                </w:tcPr>
                <w:p w14:paraId="3E4A6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Leq（</w:t>
                  </w:r>
                  <w:r>
                    <w:rPr>
                      <w:rFonts w:hint="eastAsia" w:ascii="Times New Roman" w:hAnsi="Times New Roman" w:eastAsia="宋体"/>
                      <w:color w:val="auto"/>
                      <w:szCs w:val="21"/>
                      <w:highlight w:val="none"/>
                    </w:rPr>
                    <w:t>夜</w:t>
                  </w:r>
                  <w:r>
                    <w:rPr>
                      <w:rFonts w:hint="default" w:ascii="Times New Roman" w:hAnsi="Times New Roman" w:eastAsia="宋体"/>
                      <w:color w:val="auto"/>
                      <w:szCs w:val="21"/>
                      <w:highlight w:val="none"/>
                    </w:rPr>
                    <w:t>间）</w:t>
                  </w:r>
                </w:p>
              </w:tc>
              <w:tc>
                <w:tcPr>
                  <w:tcW w:w="1506" w:type="dxa"/>
                  <w:tcBorders>
                    <w:right w:val="nil"/>
                  </w:tcBorders>
                  <w:noWrap w:val="0"/>
                  <w:vAlign w:val="center"/>
                </w:tcPr>
                <w:p w14:paraId="610DA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48.5</w:t>
                  </w:r>
                </w:p>
              </w:tc>
              <w:tc>
                <w:tcPr>
                  <w:tcW w:w="1383" w:type="dxa"/>
                  <w:tcBorders>
                    <w:right w:val="nil"/>
                  </w:tcBorders>
                  <w:noWrap w:val="0"/>
                  <w:vAlign w:val="center"/>
                </w:tcPr>
                <w:p w14:paraId="24342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43.9</w:t>
                  </w:r>
                </w:p>
              </w:tc>
              <w:tc>
                <w:tcPr>
                  <w:tcW w:w="1391" w:type="dxa"/>
                  <w:tcBorders>
                    <w:right w:val="nil"/>
                  </w:tcBorders>
                  <w:noWrap w:val="0"/>
                  <w:vAlign w:val="center"/>
                </w:tcPr>
                <w:p w14:paraId="4A6E0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43.4</w:t>
                  </w:r>
                </w:p>
              </w:tc>
              <w:tc>
                <w:tcPr>
                  <w:tcW w:w="1473" w:type="dxa"/>
                  <w:tcBorders>
                    <w:right w:val="nil"/>
                  </w:tcBorders>
                  <w:noWrap w:val="0"/>
                  <w:vAlign w:val="center"/>
                </w:tcPr>
                <w:p w14:paraId="6C05E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43.9</w:t>
                  </w:r>
                </w:p>
              </w:tc>
            </w:tr>
            <w:tr w14:paraId="0CDE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restart"/>
                  <w:tcBorders>
                    <w:left w:val="nil"/>
                  </w:tcBorders>
                  <w:noWrap w:val="0"/>
                  <w:vAlign w:val="center"/>
                </w:tcPr>
                <w:p w14:paraId="29C25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标准限值</w:t>
                  </w:r>
                </w:p>
              </w:tc>
              <w:tc>
                <w:tcPr>
                  <w:tcW w:w="1331" w:type="dxa"/>
                  <w:noWrap w:val="0"/>
                  <w:vAlign w:val="center"/>
                </w:tcPr>
                <w:p w14:paraId="3702F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Leq（昼间）</w:t>
                  </w:r>
                </w:p>
              </w:tc>
              <w:tc>
                <w:tcPr>
                  <w:tcW w:w="1506" w:type="dxa"/>
                  <w:tcBorders>
                    <w:right w:val="nil"/>
                  </w:tcBorders>
                  <w:noWrap w:val="0"/>
                  <w:vAlign w:val="center"/>
                </w:tcPr>
                <w:p w14:paraId="2A1FC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lang w:val="en-US" w:eastAsia="zh-CN"/>
                    </w:rPr>
                  </w:pPr>
                  <w:r>
                    <w:rPr>
                      <w:rFonts w:hint="eastAsia" w:ascii="Times New Roman" w:hAnsi="Times New Roman" w:eastAsia="宋体"/>
                      <w:b/>
                      <w:color w:val="auto"/>
                      <w:szCs w:val="21"/>
                      <w:highlight w:val="none"/>
                      <w:lang w:val="en-US" w:eastAsia="zh-CN"/>
                    </w:rPr>
                    <w:t>60</w:t>
                  </w:r>
                </w:p>
              </w:tc>
              <w:tc>
                <w:tcPr>
                  <w:tcW w:w="1383" w:type="dxa"/>
                  <w:tcBorders>
                    <w:right w:val="nil"/>
                  </w:tcBorders>
                  <w:noWrap w:val="0"/>
                  <w:vAlign w:val="center"/>
                </w:tcPr>
                <w:p w14:paraId="62625C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eastAsia" w:ascii="Times New Roman" w:hAnsi="Times New Roman" w:eastAsia="宋体"/>
                      <w:b/>
                      <w:color w:val="auto"/>
                      <w:szCs w:val="21"/>
                      <w:highlight w:val="none"/>
                      <w:lang w:val="en-US" w:eastAsia="zh-CN"/>
                    </w:rPr>
                    <w:t>60</w:t>
                  </w:r>
                </w:p>
              </w:tc>
              <w:tc>
                <w:tcPr>
                  <w:tcW w:w="1391" w:type="dxa"/>
                  <w:tcBorders>
                    <w:right w:val="nil"/>
                  </w:tcBorders>
                  <w:noWrap w:val="0"/>
                  <w:vAlign w:val="center"/>
                </w:tcPr>
                <w:p w14:paraId="4FEDB2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eastAsia" w:ascii="Times New Roman" w:hAnsi="Times New Roman" w:eastAsia="宋体"/>
                      <w:b/>
                      <w:color w:val="auto"/>
                      <w:szCs w:val="21"/>
                      <w:highlight w:val="none"/>
                      <w:lang w:val="en-US" w:eastAsia="zh-CN"/>
                    </w:rPr>
                    <w:t>60</w:t>
                  </w:r>
                </w:p>
              </w:tc>
              <w:tc>
                <w:tcPr>
                  <w:tcW w:w="1473" w:type="dxa"/>
                  <w:tcBorders>
                    <w:right w:val="nil"/>
                  </w:tcBorders>
                  <w:noWrap w:val="0"/>
                  <w:vAlign w:val="center"/>
                </w:tcPr>
                <w:p w14:paraId="2D07C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eastAsia" w:ascii="Times New Roman" w:hAnsi="Times New Roman" w:eastAsia="宋体"/>
                      <w:b/>
                      <w:color w:val="auto"/>
                      <w:szCs w:val="21"/>
                      <w:highlight w:val="none"/>
                      <w:lang w:val="en-US" w:eastAsia="zh-CN"/>
                    </w:rPr>
                    <w:t>60</w:t>
                  </w:r>
                </w:p>
              </w:tc>
            </w:tr>
            <w:tr w14:paraId="0D53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4" w:type="dxa"/>
                  <w:vMerge w:val="continue"/>
                  <w:tcBorders>
                    <w:left w:val="nil"/>
                  </w:tcBorders>
                  <w:noWrap w:val="0"/>
                  <w:vAlign w:val="center"/>
                </w:tcPr>
                <w:p w14:paraId="253F81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p>
              </w:tc>
              <w:tc>
                <w:tcPr>
                  <w:tcW w:w="1331" w:type="dxa"/>
                  <w:noWrap w:val="0"/>
                  <w:vAlign w:val="center"/>
                </w:tcPr>
                <w:p w14:paraId="3339E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Leq（</w:t>
                  </w:r>
                  <w:r>
                    <w:rPr>
                      <w:rFonts w:hint="eastAsia" w:ascii="Times New Roman" w:hAnsi="Times New Roman" w:eastAsia="宋体"/>
                      <w:b/>
                      <w:color w:val="auto"/>
                      <w:szCs w:val="21"/>
                      <w:highlight w:val="none"/>
                    </w:rPr>
                    <w:t>夜</w:t>
                  </w:r>
                  <w:r>
                    <w:rPr>
                      <w:rFonts w:hint="default" w:ascii="Times New Roman" w:hAnsi="Times New Roman" w:eastAsia="宋体"/>
                      <w:b/>
                      <w:color w:val="auto"/>
                      <w:szCs w:val="21"/>
                      <w:highlight w:val="none"/>
                    </w:rPr>
                    <w:t>间）</w:t>
                  </w:r>
                </w:p>
              </w:tc>
              <w:tc>
                <w:tcPr>
                  <w:tcW w:w="1506" w:type="dxa"/>
                  <w:tcBorders>
                    <w:right w:val="nil"/>
                  </w:tcBorders>
                  <w:noWrap w:val="0"/>
                  <w:vAlign w:val="center"/>
                </w:tcPr>
                <w:p w14:paraId="1E8BF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lang w:val="en-US" w:eastAsia="zh-CN"/>
                    </w:rPr>
                  </w:pPr>
                  <w:r>
                    <w:rPr>
                      <w:rFonts w:hint="eastAsia" w:ascii="Times New Roman" w:hAnsi="Times New Roman" w:eastAsia="宋体"/>
                      <w:b/>
                      <w:color w:val="auto"/>
                      <w:szCs w:val="21"/>
                      <w:highlight w:val="none"/>
                      <w:lang w:val="en-US" w:eastAsia="zh-CN"/>
                    </w:rPr>
                    <w:t>50</w:t>
                  </w:r>
                </w:p>
              </w:tc>
              <w:tc>
                <w:tcPr>
                  <w:tcW w:w="1383" w:type="dxa"/>
                  <w:tcBorders>
                    <w:right w:val="nil"/>
                  </w:tcBorders>
                  <w:noWrap w:val="0"/>
                  <w:vAlign w:val="center"/>
                </w:tcPr>
                <w:p w14:paraId="10927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eastAsia" w:ascii="Times New Roman" w:hAnsi="Times New Roman" w:eastAsia="宋体"/>
                      <w:b/>
                      <w:color w:val="auto"/>
                      <w:szCs w:val="21"/>
                      <w:highlight w:val="none"/>
                      <w:lang w:val="en-US" w:eastAsia="zh-CN"/>
                    </w:rPr>
                    <w:t>50</w:t>
                  </w:r>
                </w:p>
              </w:tc>
              <w:tc>
                <w:tcPr>
                  <w:tcW w:w="1391" w:type="dxa"/>
                  <w:tcBorders>
                    <w:right w:val="nil"/>
                  </w:tcBorders>
                  <w:noWrap w:val="0"/>
                  <w:vAlign w:val="center"/>
                </w:tcPr>
                <w:p w14:paraId="7F726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eastAsia" w:ascii="Times New Roman" w:hAnsi="Times New Roman" w:eastAsia="宋体"/>
                      <w:b/>
                      <w:color w:val="auto"/>
                      <w:szCs w:val="21"/>
                      <w:highlight w:val="none"/>
                      <w:lang w:val="en-US" w:eastAsia="zh-CN"/>
                    </w:rPr>
                    <w:t>50</w:t>
                  </w:r>
                </w:p>
              </w:tc>
              <w:tc>
                <w:tcPr>
                  <w:tcW w:w="1473" w:type="dxa"/>
                  <w:tcBorders>
                    <w:right w:val="nil"/>
                  </w:tcBorders>
                  <w:noWrap w:val="0"/>
                  <w:vAlign w:val="center"/>
                </w:tcPr>
                <w:p w14:paraId="63AE0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color w:val="auto"/>
                      <w:szCs w:val="21"/>
                      <w:highlight w:val="none"/>
                    </w:rPr>
                  </w:pPr>
                  <w:r>
                    <w:rPr>
                      <w:rFonts w:hint="eastAsia" w:ascii="Times New Roman" w:hAnsi="Times New Roman" w:eastAsia="宋体"/>
                      <w:b/>
                      <w:color w:val="auto"/>
                      <w:szCs w:val="21"/>
                      <w:highlight w:val="none"/>
                      <w:lang w:val="en-US" w:eastAsia="zh-CN"/>
                    </w:rPr>
                    <w:t>50</w:t>
                  </w:r>
                </w:p>
              </w:tc>
            </w:tr>
            <w:tr w14:paraId="07B0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625" w:type="dxa"/>
                  <w:gridSpan w:val="2"/>
                  <w:tcBorders>
                    <w:left w:val="nil"/>
                    <w:bottom w:val="single" w:color="auto" w:sz="12" w:space="0"/>
                  </w:tcBorders>
                  <w:noWrap w:val="0"/>
                  <w:vAlign w:val="center"/>
                </w:tcPr>
                <w:p w14:paraId="5CAFFE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评价</w:t>
                  </w:r>
                </w:p>
              </w:tc>
              <w:tc>
                <w:tcPr>
                  <w:tcW w:w="2889" w:type="dxa"/>
                  <w:gridSpan w:val="2"/>
                  <w:tcBorders>
                    <w:bottom w:val="single" w:color="auto" w:sz="12" w:space="0"/>
                    <w:right w:val="nil"/>
                  </w:tcBorders>
                  <w:noWrap w:val="0"/>
                  <w:vAlign w:val="center"/>
                </w:tcPr>
                <w:p w14:paraId="18D9CA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合格</w:t>
                  </w:r>
                </w:p>
              </w:tc>
              <w:tc>
                <w:tcPr>
                  <w:tcW w:w="2864" w:type="dxa"/>
                  <w:gridSpan w:val="2"/>
                  <w:tcBorders>
                    <w:bottom w:val="single" w:color="auto" w:sz="12" w:space="0"/>
                    <w:right w:val="nil"/>
                  </w:tcBorders>
                  <w:noWrap w:val="0"/>
                  <w:vAlign w:val="center"/>
                </w:tcPr>
                <w:p w14:paraId="5B1B31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合格</w:t>
                  </w:r>
                </w:p>
              </w:tc>
            </w:tr>
          </w:tbl>
          <w:p w14:paraId="19573B74">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eastAsia" w:ascii="Times New Roman" w:hAnsi="Times New Roman" w:eastAsia="宋体"/>
                <w:color w:val="auto"/>
                <w:sz w:val="24"/>
                <w:highlight w:val="none"/>
              </w:rPr>
              <w:t>由</w:t>
            </w:r>
            <w:r>
              <w:rPr>
                <w:rFonts w:hint="eastAsia" w:ascii="Times New Roman" w:hAnsi="Times New Roman" w:eastAsia="宋体"/>
                <w:color w:val="auto"/>
                <w:sz w:val="24"/>
                <w:highlight w:val="none"/>
                <w:lang w:val="en-US" w:eastAsia="zh-CN"/>
              </w:rPr>
              <w:t>监测结果</w:t>
            </w:r>
            <w:r>
              <w:rPr>
                <w:rFonts w:hint="eastAsia" w:ascii="Times New Roman" w:hAnsi="Times New Roman" w:eastAsia="宋体"/>
                <w:color w:val="auto"/>
                <w:sz w:val="24"/>
                <w:highlight w:val="none"/>
              </w:rPr>
              <w:t>可知，</w:t>
            </w:r>
            <w:r>
              <w:rPr>
                <w:rStyle w:val="29"/>
                <w:rFonts w:hint="default" w:ascii="Times New Roman" w:hAnsi="Times New Roman" w:eastAsia="宋体" w:cs="Times New Roman"/>
                <w:b w:val="0"/>
                <w:bCs w:val="0"/>
                <w:color w:val="auto"/>
                <w:sz w:val="24"/>
                <w:szCs w:val="24"/>
                <w:highlight w:val="none"/>
                <w:lang w:val="en-US" w:eastAsia="zh-CN"/>
              </w:rPr>
              <w:t>现有项目</w:t>
            </w:r>
            <w:r>
              <w:rPr>
                <w:rStyle w:val="29"/>
                <w:rFonts w:hint="eastAsia" w:cs="Times New Roman"/>
                <w:b w:val="0"/>
                <w:bCs w:val="0"/>
                <w:color w:val="auto"/>
                <w:sz w:val="24"/>
                <w:szCs w:val="24"/>
                <w:highlight w:val="none"/>
                <w:lang w:val="en-US" w:eastAsia="zh-CN"/>
              </w:rPr>
              <w:t>厂界噪声</w:t>
            </w:r>
            <w:r>
              <w:rPr>
                <w:rStyle w:val="29"/>
                <w:rFonts w:hint="eastAsia" w:ascii="Times New Roman" w:hAnsi="Times New Roman" w:eastAsia="宋体" w:cs="Times New Roman"/>
                <w:b w:val="0"/>
                <w:bCs w:val="0"/>
                <w:color w:val="auto"/>
                <w:sz w:val="24"/>
                <w:szCs w:val="24"/>
                <w:highlight w:val="none"/>
                <w:lang w:val="en-US" w:eastAsia="zh-CN"/>
              </w:rPr>
              <w:t>可以</w:t>
            </w:r>
            <w:r>
              <w:rPr>
                <w:rStyle w:val="29"/>
                <w:rFonts w:hint="default" w:ascii="Times New Roman" w:hAnsi="Times New Roman" w:eastAsia="宋体" w:cs="Times New Roman"/>
                <w:b w:val="0"/>
                <w:bCs w:val="0"/>
                <w:color w:val="auto"/>
                <w:sz w:val="24"/>
                <w:szCs w:val="24"/>
                <w:highlight w:val="none"/>
                <w:lang w:val="en-US" w:eastAsia="zh-CN"/>
              </w:rPr>
              <w:t>达到《工业企业厂界环境噪声排放标准》（GB12348-2008）中的2类标准</w:t>
            </w:r>
            <w:r>
              <w:rPr>
                <w:rFonts w:hint="eastAsia" w:ascii="Times New Roman" w:hAnsi="Times New Roman" w:eastAsia="宋体"/>
                <w:color w:val="auto"/>
                <w:sz w:val="24"/>
                <w:highlight w:val="none"/>
              </w:rPr>
              <w:t>。</w:t>
            </w:r>
          </w:p>
          <w:p w14:paraId="4472637E">
            <w:pPr>
              <w:pStyle w:val="15"/>
              <w:keepNext w:val="0"/>
              <w:keepLines w:val="0"/>
              <w:widowControl/>
              <w:suppressLineNumbers w:val="0"/>
              <w:spacing w:before="0" w:beforeAutospacing="0" w:after="0" w:afterAutospacing="0" w:line="360" w:lineRule="auto"/>
              <w:ind w:left="0" w:leftChars="0" w:right="0" w:firstLine="482" w:firstLineChars="200"/>
              <w:rPr>
                <w:rStyle w:val="29"/>
                <w:rFonts w:hint="default" w:ascii="Times New Roman" w:hAnsi="Times New Roman" w:eastAsia="宋体" w:cs="Times New Roman"/>
                <w:b/>
                <w:bCs/>
                <w:color w:val="auto"/>
                <w:sz w:val="24"/>
                <w:szCs w:val="24"/>
                <w:highlight w:val="none"/>
                <w:lang w:val="en-US" w:eastAsia="zh-CN"/>
              </w:rPr>
            </w:pPr>
            <w:r>
              <w:rPr>
                <w:rStyle w:val="29"/>
                <w:rFonts w:hint="default" w:ascii="Times New Roman" w:hAnsi="Times New Roman" w:eastAsia="宋体" w:cs="Times New Roman"/>
                <w:b/>
                <w:bCs/>
                <w:color w:val="auto"/>
                <w:sz w:val="24"/>
                <w:szCs w:val="24"/>
                <w:highlight w:val="none"/>
                <w:lang w:val="en-US" w:eastAsia="zh-CN"/>
              </w:rPr>
              <w:t>（4）固体废物</w:t>
            </w:r>
          </w:p>
          <w:p w14:paraId="4D69EF7B">
            <w:pPr>
              <w:pStyle w:val="15"/>
              <w:keepNext w:val="0"/>
              <w:keepLines w:val="0"/>
              <w:widowControl/>
              <w:suppressLineNumbers w:val="0"/>
              <w:spacing w:before="0" w:beforeAutospacing="0" w:after="0" w:afterAutospacing="0" w:line="360" w:lineRule="auto"/>
              <w:ind w:left="0" w:leftChars="0" w:right="0" w:firstLine="480" w:firstLineChars="200"/>
              <w:rPr>
                <w:rStyle w:val="29"/>
                <w:rFonts w:hint="eastAsia" w:ascii="Times New Roman" w:hAnsi="Times New Roman" w:eastAsia="宋体" w:cs="Times New Roman"/>
                <w:b w:val="0"/>
                <w:bCs w:val="0"/>
                <w:color w:val="auto"/>
                <w:sz w:val="24"/>
                <w:szCs w:val="24"/>
                <w:highlight w:val="none"/>
                <w:lang w:val="en-US" w:eastAsia="zh-CN"/>
              </w:rPr>
            </w:pPr>
            <w:r>
              <w:rPr>
                <w:rStyle w:val="29"/>
                <w:rFonts w:hint="eastAsia" w:ascii="Times New Roman" w:hAnsi="Times New Roman" w:eastAsia="宋体" w:cs="Times New Roman"/>
                <w:b w:val="0"/>
                <w:bCs w:val="0"/>
                <w:color w:val="auto"/>
                <w:sz w:val="24"/>
                <w:szCs w:val="24"/>
                <w:highlight w:val="none"/>
                <w:lang w:val="en-US" w:eastAsia="zh-CN"/>
              </w:rPr>
              <w:t>现有项目严格按照污染防治措施的要求对各类</w:t>
            </w:r>
            <w:r>
              <w:rPr>
                <w:rStyle w:val="29"/>
                <w:rFonts w:hint="eastAsia" w:cs="Times New Roman"/>
                <w:b w:val="0"/>
                <w:bCs w:val="0"/>
                <w:color w:val="auto"/>
                <w:sz w:val="24"/>
                <w:szCs w:val="24"/>
                <w:highlight w:val="none"/>
                <w:lang w:val="en-US" w:eastAsia="zh-CN"/>
              </w:rPr>
              <w:t>固体废物</w:t>
            </w:r>
            <w:r>
              <w:rPr>
                <w:rStyle w:val="29"/>
                <w:rFonts w:hint="eastAsia" w:ascii="Times New Roman" w:hAnsi="Times New Roman" w:eastAsia="宋体" w:cs="Times New Roman"/>
                <w:b w:val="0"/>
                <w:bCs w:val="0"/>
                <w:color w:val="auto"/>
                <w:sz w:val="24"/>
                <w:szCs w:val="24"/>
                <w:highlight w:val="none"/>
                <w:lang w:val="en-US" w:eastAsia="zh-CN"/>
              </w:rPr>
              <w:t>进行分类收集、妥善处置等相关措施，防止二次污染，不排放，不会对周围环境产生明显影响。根据《年产一亿个口腔隐形正畸产品的个性化定制与柔性制造协同创新模式应用项目》，现有项目全厂</w:t>
            </w:r>
            <w:r>
              <w:rPr>
                <w:rStyle w:val="29"/>
                <w:rFonts w:hint="eastAsia" w:cs="Times New Roman"/>
                <w:b w:val="0"/>
                <w:bCs w:val="0"/>
                <w:color w:val="auto"/>
                <w:sz w:val="24"/>
                <w:szCs w:val="24"/>
                <w:highlight w:val="none"/>
                <w:lang w:val="en-US" w:eastAsia="zh-CN"/>
              </w:rPr>
              <w:t>固体废物</w:t>
            </w:r>
            <w:r>
              <w:rPr>
                <w:rStyle w:val="29"/>
                <w:rFonts w:hint="eastAsia" w:ascii="Times New Roman" w:hAnsi="Times New Roman" w:eastAsia="宋体" w:cs="Times New Roman"/>
                <w:b w:val="0"/>
                <w:bCs w:val="0"/>
                <w:color w:val="auto"/>
                <w:sz w:val="24"/>
                <w:szCs w:val="24"/>
                <w:highlight w:val="none"/>
                <w:lang w:val="en-US" w:eastAsia="zh-CN"/>
              </w:rPr>
              <w:t>产生处置情况见下表。</w:t>
            </w:r>
          </w:p>
          <w:p w14:paraId="5CB60AA5">
            <w:pPr>
              <w:keepNext w:val="0"/>
              <w:keepLines w:val="0"/>
              <w:widowControl/>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50681995">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18</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b/>
                <w:bCs/>
                <w:color w:val="auto"/>
                <w:sz w:val="24"/>
                <w:highlight w:val="none"/>
              </w:rPr>
              <w:t>现有项目</w:t>
            </w:r>
            <w:r>
              <w:rPr>
                <w:rFonts w:hint="eastAsia" w:ascii="Times New Roman" w:hAnsi="Times New Roman" w:eastAsia="宋体"/>
                <w:b/>
                <w:bCs/>
                <w:color w:val="auto"/>
                <w:sz w:val="24"/>
                <w:highlight w:val="none"/>
                <w:lang w:val="en-US" w:eastAsia="zh-CN"/>
              </w:rPr>
              <w:t>全厂</w:t>
            </w:r>
            <w:r>
              <w:rPr>
                <w:rFonts w:hint="eastAsia" w:ascii="Times New Roman" w:hAnsi="Times New Roman" w:eastAsia="宋体"/>
                <w:b/>
                <w:bCs/>
                <w:color w:val="auto"/>
                <w:sz w:val="24"/>
                <w:highlight w:val="none"/>
              </w:rPr>
              <w:t>固体废物处理、处置情况表</w:t>
            </w:r>
          </w:p>
          <w:tbl>
            <w:tblPr>
              <w:tblStyle w:val="37"/>
              <w:tblW w:w="843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3"/>
              <w:gridCol w:w="518"/>
              <w:gridCol w:w="1168"/>
              <w:gridCol w:w="735"/>
              <w:gridCol w:w="1185"/>
              <w:gridCol w:w="585"/>
              <w:gridCol w:w="840"/>
              <w:gridCol w:w="810"/>
              <w:gridCol w:w="2325"/>
            </w:tblGrid>
            <w:tr w14:paraId="4ADE4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273" w:type="dxa"/>
                  <w:tcBorders>
                    <w:top w:val="single" w:color="000000" w:sz="12" w:space="0"/>
                    <w:left w:val="nil"/>
                    <w:bottom w:val="single" w:color="000000" w:sz="4" w:space="0"/>
                    <w:right w:val="single" w:color="000000" w:sz="4" w:space="0"/>
                  </w:tcBorders>
                  <w:vAlign w:val="center"/>
                </w:tcPr>
                <w:p w14:paraId="532B4D53">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序号</w:t>
                  </w:r>
                </w:p>
              </w:tc>
              <w:tc>
                <w:tcPr>
                  <w:tcW w:w="518" w:type="dxa"/>
                  <w:tcBorders>
                    <w:top w:val="single" w:color="000000" w:sz="12" w:space="0"/>
                    <w:left w:val="single" w:color="000000" w:sz="4" w:space="0"/>
                    <w:bottom w:val="single" w:color="000000" w:sz="4" w:space="0"/>
                    <w:right w:val="single" w:color="000000" w:sz="4" w:space="0"/>
                  </w:tcBorders>
                  <w:vAlign w:val="center"/>
                </w:tcPr>
                <w:p w14:paraId="01DF02CA">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贮存场所名称</w:t>
                  </w:r>
                </w:p>
              </w:tc>
              <w:tc>
                <w:tcPr>
                  <w:tcW w:w="1168" w:type="dxa"/>
                  <w:tcBorders>
                    <w:top w:val="single" w:color="000000" w:sz="12" w:space="0"/>
                    <w:left w:val="single" w:color="000000" w:sz="4" w:space="0"/>
                    <w:bottom w:val="single" w:color="000000" w:sz="4" w:space="0"/>
                    <w:right w:val="single" w:color="000000" w:sz="4" w:space="0"/>
                  </w:tcBorders>
                  <w:vAlign w:val="center"/>
                </w:tcPr>
                <w:p w14:paraId="24E57267">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危险废物</w:t>
                  </w:r>
                </w:p>
                <w:p w14:paraId="09F0C09C">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名称</w:t>
                  </w:r>
                </w:p>
              </w:tc>
              <w:tc>
                <w:tcPr>
                  <w:tcW w:w="735" w:type="dxa"/>
                  <w:tcBorders>
                    <w:top w:val="single" w:color="000000" w:sz="12" w:space="0"/>
                    <w:left w:val="single" w:color="000000" w:sz="4" w:space="0"/>
                    <w:bottom w:val="single" w:color="000000" w:sz="4" w:space="0"/>
                    <w:right w:val="single" w:color="000000" w:sz="4" w:space="0"/>
                  </w:tcBorders>
                  <w:vAlign w:val="center"/>
                </w:tcPr>
                <w:p w14:paraId="03A33079">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废物</w:t>
                  </w:r>
                </w:p>
                <w:p w14:paraId="38D2BB81">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类别</w:t>
                  </w:r>
                </w:p>
              </w:tc>
              <w:tc>
                <w:tcPr>
                  <w:tcW w:w="1185" w:type="dxa"/>
                  <w:tcBorders>
                    <w:top w:val="single" w:color="000000" w:sz="12" w:space="0"/>
                    <w:left w:val="single" w:color="000000" w:sz="4" w:space="0"/>
                    <w:bottom w:val="single" w:color="000000" w:sz="4" w:space="0"/>
                    <w:right w:val="single" w:color="000000" w:sz="4" w:space="0"/>
                  </w:tcBorders>
                  <w:vAlign w:val="center"/>
                </w:tcPr>
                <w:p w14:paraId="6F72804A">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废物代码</w:t>
                  </w:r>
                </w:p>
              </w:tc>
              <w:tc>
                <w:tcPr>
                  <w:tcW w:w="585" w:type="dxa"/>
                  <w:tcBorders>
                    <w:top w:val="single" w:color="000000" w:sz="12" w:space="0"/>
                    <w:left w:val="single" w:color="000000" w:sz="4" w:space="0"/>
                    <w:bottom w:val="single" w:color="000000" w:sz="4" w:space="0"/>
                    <w:right w:val="single" w:color="000000" w:sz="4" w:space="0"/>
                  </w:tcBorders>
                  <w:vAlign w:val="center"/>
                </w:tcPr>
                <w:p w14:paraId="5898C8A2">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位置</w:t>
                  </w:r>
                </w:p>
              </w:tc>
              <w:tc>
                <w:tcPr>
                  <w:tcW w:w="840" w:type="dxa"/>
                  <w:tcBorders>
                    <w:top w:val="single" w:color="000000" w:sz="12" w:space="0"/>
                    <w:left w:val="single" w:color="000000" w:sz="4" w:space="0"/>
                    <w:bottom w:val="single" w:color="000000" w:sz="4" w:space="0"/>
                    <w:right w:val="single" w:color="000000" w:sz="4" w:space="0"/>
                  </w:tcBorders>
                  <w:vAlign w:val="center"/>
                </w:tcPr>
                <w:p w14:paraId="1504D98A">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占地面积</w:t>
                  </w:r>
                </w:p>
              </w:tc>
              <w:tc>
                <w:tcPr>
                  <w:tcW w:w="810" w:type="dxa"/>
                  <w:tcBorders>
                    <w:top w:val="single" w:color="000000" w:sz="12" w:space="0"/>
                    <w:left w:val="single" w:color="000000" w:sz="4" w:space="0"/>
                    <w:bottom w:val="single" w:color="000000" w:sz="4" w:space="0"/>
                    <w:right w:val="single" w:color="000000" w:sz="4" w:space="0"/>
                  </w:tcBorders>
                  <w:vAlign w:val="center"/>
                </w:tcPr>
                <w:p w14:paraId="38A5B7ED">
                  <w:pPr>
                    <w:widowControl/>
                    <w:jc w:val="center"/>
                    <w:rPr>
                      <w:rFonts w:hint="default" w:ascii="Times New Roman" w:hAnsi="Times New Roman" w:eastAsia="宋体" w:cs="Times New Roman"/>
                      <w:b/>
                      <w:color w:val="auto"/>
                      <w:sz w:val="20"/>
                      <w:szCs w:val="20"/>
                      <w:highlight w:val="none"/>
                      <w:lang w:val="en-US" w:eastAsia="zh-CN"/>
                    </w:rPr>
                  </w:pPr>
                  <w:r>
                    <w:rPr>
                      <w:rFonts w:hint="eastAsia" w:ascii="Times New Roman" w:hAnsi="Times New Roman" w:eastAsia="宋体" w:cs="Times New Roman"/>
                      <w:b/>
                      <w:color w:val="auto"/>
                      <w:sz w:val="20"/>
                      <w:szCs w:val="20"/>
                      <w:highlight w:val="none"/>
                      <w:lang w:val="en-US" w:eastAsia="zh-CN"/>
                    </w:rPr>
                    <w:t>全厂产生量t/a</w:t>
                  </w:r>
                </w:p>
              </w:tc>
              <w:tc>
                <w:tcPr>
                  <w:tcW w:w="2325" w:type="dxa"/>
                  <w:tcBorders>
                    <w:top w:val="single" w:color="000000" w:sz="12" w:space="0"/>
                    <w:left w:val="single" w:color="000000" w:sz="4" w:space="0"/>
                    <w:bottom w:val="single" w:color="000000" w:sz="4" w:space="0"/>
                    <w:right w:val="nil"/>
                  </w:tcBorders>
                  <w:vAlign w:val="center"/>
                </w:tcPr>
                <w:p w14:paraId="09684146">
                  <w:pPr>
                    <w:widowControl/>
                    <w:jc w:val="center"/>
                    <w:rPr>
                      <w:rFonts w:hint="default" w:ascii="Times New Roman" w:hAnsi="Times New Roman" w:eastAsia="宋体" w:cs="Times New Roman"/>
                      <w:b/>
                      <w:color w:val="auto"/>
                      <w:sz w:val="20"/>
                      <w:szCs w:val="20"/>
                      <w:highlight w:val="none"/>
                    </w:rPr>
                  </w:pPr>
                  <w:r>
                    <w:rPr>
                      <w:rFonts w:hint="default" w:ascii="Times New Roman" w:hAnsi="Times New Roman" w:eastAsia="宋体" w:cs="Times New Roman"/>
                      <w:b/>
                      <w:color w:val="auto"/>
                      <w:sz w:val="20"/>
                      <w:szCs w:val="20"/>
                      <w:highlight w:val="none"/>
                    </w:rPr>
                    <w:t>处置方式及去向</w:t>
                  </w:r>
                </w:p>
              </w:tc>
            </w:tr>
            <w:tr w14:paraId="6C894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73" w:type="dxa"/>
                  <w:tcBorders>
                    <w:top w:val="single" w:color="000000" w:sz="4" w:space="0"/>
                    <w:left w:val="nil"/>
                    <w:bottom w:val="single" w:color="000000" w:sz="4" w:space="0"/>
                    <w:right w:val="single" w:color="000000" w:sz="4" w:space="0"/>
                  </w:tcBorders>
                  <w:vAlign w:val="center"/>
                </w:tcPr>
                <w:p w14:paraId="4D792E22">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1</w:t>
                  </w:r>
                </w:p>
              </w:tc>
              <w:tc>
                <w:tcPr>
                  <w:tcW w:w="518" w:type="dxa"/>
                  <w:vMerge w:val="restart"/>
                  <w:tcBorders>
                    <w:top w:val="single" w:color="000000" w:sz="4" w:space="0"/>
                    <w:left w:val="single" w:color="000000" w:sz="4" w:space="0"/>
                    <w:bottom w:val="single" w:color="000000" w:sz="4" w:space="0"/>
                    <w:right w:val="single" w:color="000000" w:sz="4" w:space="0"/>
                  </w:tcBorders>
                  <w:vAlign w:val="center"/>
                </w:tcPr>
                <w:p w14:paraId="315536D9">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危险废物暂存间</w:t>
                  </w:r>
                </w:p>
              </w:tc>
              <w:tc>
                <w:tcPr>
                  <w:tcW w:w="1168" w:type="dxa"/>
                  <w:tcBorders>
                    <w:top w:val="single" w:color="000000" w:sz="4" w:space="0"/>
                    <w:left w:val="single" w:color="000000" w:sz="4" w:space="0"/>
                    <w:bottom w:val="single" w:color="000000" w:sz="4" w:space="0"/>
                    <w:right w:val="single" w:color="000000" w:sz="4" w:space="0"/>
                  </w:tcBorders>
                  <w:vAlign w:val="center"/>
                </w:tcPr>
                <w:p w14:paraId="2672D87A">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废包装桶</w:t>
                  </w:r>
                </w:p>
              </w:tc>
              <w:tc>
                <w:tcPr>
                  <w:tcW w:w="735" w:type="dxa"/>
                  <w:tcBorders>
                    <w:top w:val="single" w:color="000000" w:sz="4" w:space="0"/>
                    <w:left w:val="single" w:color="000000" w:sz="4" w:space="0"/>
                    <w:bottom w:val="single" w:color="000000" w:sz="4" w:space="0"/>
                    <w:right w:val="single" w:color="000000" w:sz="4" w:space="0"/>
                  </w:tcBorders>
                  <w:vAlign w:val="center"/>
                </w:tcPr>
                <w:p w14:paraId="00E1339A">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HW49</w:t>
                  </w:r>
                </w:p>
              </w:tc>
              <w:tc>
                <w:tcPr>
                  <w:tcW w:w="1185" w:type="dxa"/>
                  <w:tcBorders>
                    <w:top w:val="single" w:color="000000" w:sz="4" w:space="0"/>
                    <w:left w:val="single" w:color="000000" w:sz="4" w:space="0"/>
                    <w:bottom w:val="single" w:color="000000" w:sz="4" w:space="0"/>
                    <w:right w:val="single" w:color="000000" w:sz="4" w:space="0"/>
                  </w:tcBorders>
                  <w:vAlign w:val="center"/>
                </w:tcPr>
                <w:p w14:paraId="6170639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900-041-49</w:t>
                  </w:r>
                </w:p>
              </w:tc>
              <w:tc>
                <w:tcPr>
                  <w:tcW w:w="585" w:type="dxa"/>
                  <w:vMerge w:val="restart"/>
                  <w:tcBorders>
                    <w:top w:val="single" w:color="000000" w:sz="4" w:space="0"/>
                    <w:left w:val="single" w:color="000000" w:sz="4" w:space="0"/>
                    <w:bottom w:val="single" w:color="000000" w:sz="4" w:space="0"/>
                    <w:right w:val="single" w:color="000000" w:sz="4" w:space="0"/>
                  </w:tcBorders>
                  <w:vAlign w:val="center"/>
                </w:tcPr>
                <w:p w14:paraId="234376BB">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厂区东北侧</w:t>
                  </w:r>
                </w:p>
              </w:tc>
              <w:tc>
                <w:tcPr>
                  <w:tcW w:w="840" w:type="dxa"/>
                  <w:vMerge w:val="restart"/>
                  <w:tcBorders>
                    <w:top w:val="single" w:color="000000" w:sz="4" w:space="0"/>
                    <w:left w:val="single" w:color="000000" w:sz="4" w:space="0"/>
                    <w:bottom w:val="single" w:color="000000" w:sz="4" w:space="0"/>
                    <w:right w:val="single" w:color="000000" w:sz="4" w:space="0"/>
                  </w:tcBorders>
                  <w:vAlign w:val="center"/>
                </w:tcPr>
                <w:p w14:paraId="6B49A17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100m</w:t>
                  </w:r>
                  <w:r>
                    <w:rPr>
                      <w:rFonts w:hint="default" w:ascii="Times New Roman" w:hAnsi="Times New Roman" w:eastAsia="宋体" w:cs="Times New Roman"/>
                      <w:b w:val="0"/>
                      <w:bCs/>
                      <w:color w:val="auto"/>
                      <w:sz w:val="20"/>
                      <w:szCs w:val="20"/>
                      <w:highlight w:val="none"/>
                      <w:vertAlign w:val="superscript"/>
                    </w:rPr>
                    <w:t>2</w:t>
                  </w:r>
                </w:p>
              </w:tc>
              <w:tc>
                <w:tcPr>
                  <w:tcW w:w="810" w:type="dxa"/>
                  <w:tcBorders>
                    <w:top w:val="single" w:color="000000" w:sz="4" w:space="0"/>
                    <w:left w:val="single" w:color="000000" w:sz="4" w:space="0"/>
                    <w:bottom w:val="single" w:color="000000" w:sz="4" w:space="0"/>
                    <w:right w:val="single" w:color="000000" w:sz="4" w:space="0"/>
                  </w:tcBorders>
                  <w:vAlign w:val="center"/>
                </w:tcPr>
                <w:p w14:paraId="45A771F5">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lang w:val="en-US" w:eastAsia="zh-CN"/>
                    </w:rPr>
                    <w:t>173.685</w:t>
                  </w:r>
                </w:p>
              </w:tc>
              <w:tc>
                <w:tcPr>
                  <w:tcW w:w="2325" w:type="dxa"/>
                  <w:tcBorders>
                    <w:top w:val="single" w:color="000000" w:sz="4" w:space="0"/>
                    <w:left w:val="single" w:color="000000" w:sz="4" w:space="0"/>
                    <w:bottom w:val="single" w:color="000000" w:sz="4" w:space="0"/>
                    <w:right w:val="nil"/>
                  </w:tcBorders>
                  <w:vAlign w:val="center"/>
                </w:tcPr>
                <w:p w14:paraId="695B6717">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lang w:val="en-US" w:eastAsia="zh-CN"/>
                    </w:rPr>
                  </w:pPr>
                  <w:r>
                    <w:rPr>
                      <w:rFonts w:hint="eastAsia" w:ascii="Times New Roman" w:hAnsi="Times New Roman" w:eastAsia="宋体" w:cs="宋体"/>
                      <w:i w:val="0"/>
                      <w:iCs w:val="0"/>
                      <w:color w:val="auto"/>
                      <w:kern w:val="0"/>
                      <w:sz w:val="18"/>
                      <w:szCs w:val="20"/>
                      <w:highlight w:val="none"/>
                      <w:u w:val="none"/>
                      <w:lang w:val="en-US" w:eastAsia="zh-CN" w:bidi="ar"/>
                    </w:rPr>
                    <w:t>委托江苏永吉环保科技有限公司和江阴市锦绣江南环境发展有限公司处置</w:t>
                  </w:r>
                </w:p>
              </w:tc>
            </w:tr>
            <w:tr w14:paraId="475C4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73" w:type="dxa"/>
                  <w:tcBorders>
                    <w:top w:val="single" w:color="000000" w:sz="4" w:space="0"/>
                    <w:left w:val="nil"/>
                    <w:bottom w:val="single" w:color="000000" w:sz="4" w:space="0"/>
                    <w:right w:val="single" w:color="000000" w:sz="4" w:space="0"/>
                  </w:tcBorders>
                  <w:vAlign w:val="center"/>
                </w:tcPr>
                <w:p w14:paraId="2FDD6E3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2</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0E9ED2EF">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4A7FDA5E">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废清洗液</w:t>
                  </w:r>
                </w:p>
              </w:tc>
              <w:tc>
                <w:tcPr>
                  <w:tcW w:w="735" w:type="dxa"/>
                  <w:tcBorders>
                    <w:top w:val="single" w:color="000000" w:sz="4" w:space="0"/>
                    <w:left w:val="single" w:color="000000" w:sz="4" w:space="0"/>
                    <w:bottom w:val="single" w:color="000000" w:sz="4" w:space="0"/>
                    <w:right w:val="single" w:color="000000" w:sz="4" w:space="0"/>
                  </w:tcBorders>
                  <w:vAlign w:val="center"/>
                </w:tcPr>
                <w:p w14:paraId="747091A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HW06</w:t>
                  </w:r>
                </w:p>
              </w:tc>
              <w:tc>
                <w:tcPr>
                  <w:tcW w:w="1185" w:type="dxa"/>
                  <w:tcBorders>
                    <w:top w:val="single" w:color="000000" w:sz="4" w:space="0"/>
                    <w:left w:val="single" w:color="000000" w:sz="4" w:space="0"/>
                    <w:bottom w:val="single" w:color="000000" w:sz="4" w:space="0"/>
                    <w:right w:val="single" w:color="000000" w:sz="4" w:space="0"/>
                  </w:tcBorders>
                  <w:vAlign w:val="center"/>
                </w:tcPr>
                <w:p w14:paraId="2D6C57AC">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900-404-06</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7BAC4BCF">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59ABB414">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07281DF8">
                  <w:pPr>
                    <w:widowControl/>
                    <w:jc w:val="center"/>
                    <w:rPr>
                      <w:rFonts w:hint="eastAsia" w:ascii="Times New Roman" w:hAnsi="Times New Roman" w:eastAsia="宋体" w:cs="Times New Roman"/>
                      <w:b w:val="0"/>
                      <w:bCs/>
                      <w:color w:val="auto"/>
                      <w:kern w:val="2"/>
                      <w:sz w:val="20"/>
                      <w:szCs w:val="20"/>
                      <w:highlight w:val="none"/>
                      <w:lang w:val="en-US" w:eastAsia="zh-CN" w:bidi="ar-SA"/>
                    </w:rPr>
                  </w:pPr>
                  <w:r>
                    <w:rPr>
                      <w:rFonts w:hint="eastAsia" w:cs="Times New Roman"/>
                      <w:b w:val="0"/>
                      <w:bCs/>
                      <w:color w:val="auto"/>
                      <w:sz w:val="20"/>
                      <w:szCs w:val="20"/>
                      <w:highlight w:val="none"/>
                      <w:lang w:eastAsia="zh-CN"/>
                    </w:rPr>
                    <w:t>470.4</w:t>
                  </w:r>
                </w:p>
              </w:tc>
              <w:tc>
                <w:tcPr>
                  <w:tcW w:w="2325" w:type="dxa"/>
                  <w:tcBorders>
                    <w:top w:val="single" w:color="000000" w:sz="4" w:space="0"/>
                    <w:left w:val="single" w:color="000000" w:sz="4" w:space="0"/>
                    <w:bottom w:val="single" w:color="000000" w:sz="4" w:space="0"/>
                    <w:right w:val="nil"/>
                  </w:tcBorders>
                  <w:vAlign w:val="center"/>
                </w:tcPr>
                <w:p w14:paraId="376940AC">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委托江苏永吉环保科技有限公司进行处置</w:t>
                  </w:r>
                </w:p>
              </w:tc>
            </w:tr>
            <w:tr w14:paraId="6C223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73" w:type="dxa"/>
                  <w:tcBorders>
                    <w:top w:val="single" w:color="000000" w:sz="4" w:space="0"/>
                    <w:left w:val="nil"/>
                    <w:bottom w:val="single" w:color="000000" w:sz="4" w:space="0"/>
                    <w:right w:val="single" w:color="000000" w:sz="4" w:space="0"/>
                  </w:tcBorders>
                  <w:vAlign w:val="center"/>
                </w:tcPr>
                <w:p w14:paraId="0254CF6E">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3</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6AE5E375">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5271AC54">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废无水乙醇</w:t>
                  </w:r>
                </w:p>
              </w:tc>
              <w:tc>
                <w:tcPr>
                  <w:tcW w:w="735" w:type="dxa"/>
                  <w:tcBorders>
                    <w:top w:val="single" w:color="000000" w:sz="4" w:space="0"/>
                    <w:left w:val="single" w:color="000000" w:sz="4" w:space="0"/>
                    <w:bottom w:val="single" w:color="000000" w:sz="4" w:space="0"/>
                    <w:right w:val="single" w:color="000000" w:sz="4" w:space="0"/>
                  </w:tcBorders>
                  <w:vAlign w:val="center"/>
                </w:tcPr>
                <w:p w14:paraId="2ECD3548">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HW06</w:t>
                  </w:r>
                </w:p>
              </w:tc>
              <w:tc>
                <w:tcPr>
                  <w:tcW w:w="1185" w:type="dxa"/>
                  <w:tcBorders>
                    <w:top w:val="single" w:color="000000" w:sz="4" w:space="0"/>
                    <w:left w:val="single" w:color="000000" w:sz="4" w:space="0"/>
                    <w:bottom w:val="single" w:color="000000" w:sz="4" w:space="0"/>
                    <w:right w:val="single" w:color="000000" w:sz="4" w:space="0"/>
                  </w:tcBorders>
                  <w:vAlign w:val="center"/>
                </w:tcPr>
                <w:p w14:paraId="79A379CB">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900-406-06</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7D890383">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642E8BD3">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3E2922B2">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0.007</w:t>
                  </w:r>
                </w:p>
              </w:tc>
              <w:tc>
                <w:tcPr>
                  <w:tcW w:w="2325" w:type="dxa"/>
                  <w:tcBorders>
                    <w:top w:val="single" w:color="000000" w:sz="4" w:space="0"/>
                    <w:left w:val="single" w:color="000000" w:sz="4" w:space="0"/>
                    <w:bottom w:val="single" w:color="000000" w:sz="4" w:space="0"/>
                    <w:right w:val="nil"/>
                  </w:tcBorders>
                  <w:vAlign w:val="center"/>
                </w:tcPr>
                <w:p w14:paraId="40E37E27">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实际运营过程中尚未产生</w:t>
                  </w:r>
                </w:p>
              </w:tc>
            </w:tr>
            <w:tr w14:paraId="7F8A7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73" w:type="dxa"/>
                  <w:tcBorders>
                    <w:top w:val="single" w:color="000000" w:sz="4" w:space="0"/>
                    <w:left w:val="nil"/>
                    <w:bottom w:val="single" w:color="000000" w:sz="4" w:space="0"/>
                    <w:right w:val="single" w:color="000000" w:sz="4" w:space="0"/>
                  </w:tcBorders>
                  <w:vAlign w:val="center"/>
                </w:tcPr>
                <w:p w14:paraId="32713EB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4</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6AA1115C">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500C3D78">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废滴管、手套和口罩</w:t>
                  </w:r>
                </w:p>
                <w:p w14:paraId="531BDC6B">
                  <w:pPr>
                    <w:widowControl/>
                    <w:jc w:val="center"/>
                    <w:rPr>
                      <w:rFonts w:hint="eastAsia" w:ascii="Times New Roman" w:hAnsi="Times New Roman" w:eastAsia="宋体" w:cs="Times New Roman"/>
                      <w:b w:val="0"/>
                      <w:bCs/>
                      <w:color w:val="auto"/>
                      <w:sz w:val="20"/>
                      <w:szCs w:val="20"/>
                      <w:highlight w:val="none"/>
                      <w:lang w:eastAsia="zh-CN"/>
                    </w:rPr>
                  </w:pPr>
                  <w:r>
                    <w:rPr>
                      <w:rFonts w:hint="eastAsia" w:cs="Times New Roman"/>
                      <w:b w:val="0"/>
                      <w:bCs/>
                      <w:color w:val="auto"/>
                      <w:sz w:val="20"/>
                      <w:szCs w:val="20"/>
                      <w:highlight w:val="none"/>
                      <w:lang w:eastAsia="zh-CN"/>
                    </w:rPr>
                    <w:t>（</w:t>
                  </w:r>
                  <w:r>
                    <w:rPr>
                      <w:rFonts w:hint="eastAsia" w:cs="Times New Roman"/>
                      <w:b w:val="0"/>
                      <w:bCs/>
                      <w:color w:val="auto"/>
                      <w:sz w:val="20"/>
                      <w:szCs w:val="20"/>
                      <w:highlight w:val="none"/>
                      <w:lang w:val="en-US" w:eastAsia="zh-CN"/>
                    </w:rPr>
                    <w:t>实验室</w:t>
                  </w:r>
                  <w:r>
                    <w:rPr>
                      <w:rFonts w:hint="eastAsia" w:cs="Times New Roman"/>
                      <w:b w:val="0"/>
                      <w:bCs/>
                      <w:color w:val="auto"/>
                      <w:sz w:val="20"/>
                      <w:szCs w:val="20"/>
                      <w:highlight w:val="none"/>
                      <w:lang w:eastAsia="zh-CN"/>
                    </w:rPr>
                    <w:t>）</w:t>
                  </w:r>
                </w:p>
              </w:tc>
              <w:tc>
                <w:tcPr>
                  <w:tcW w:w="735" w:type="dxa"/>
                  <w:tcBorders>
                    <w:top w:val="single" w:color="000000" w:sz="4" w:space="0"/>
                    <w:left w:val="single" w:color="000000" w:sz="4" w:space="0"/>
                    <w:bottom w:val="single" w:color="000000" w:sz="4" w:space="0"/>
                    <w:right w:val="single" w:color="000000" w:sz="4" w:space="0"/>
                  </w:tcBorders>
                  <w:vAlign w:val="center"/>
                </w:tcPr>
                <w:p w14:paraId="7300FC1B">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HW49</w:t>
                  </w:r>
                </w:p>
              </w:tc>
              <w:tc>
                <w:tcPr>
                  <w:tcW w:w="1185" w:type="dxa"/>
                  <w:tcBorders>
                    <w:top w:val="single" w:color="000000" w:sz="4" w:space="0"/>
                    <w:left w:val="single" w:color="000000" w:sz="4" w:space="0"/>
                    <w:bottom w:val="single" w:color="000000" w:sz="4" w:space="0"/>
                    <w:right w:val="single" w:color="000000" w:sz="4" w:space="0"/>
                  </w:tcBorders>
                  <w:vAlign w:val="center"/>
                </w:tcPr>
                <w:p w14:paraId="39554746">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900-047-49</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4A3D250D">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5A4D3382">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4E392FB5">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0.1</w:t>
                  </w:r>
                </w:p>
              </w:tc>
              <w:tc>
                <w:tcPr>
                  <w:tcW w:w="2325" w:type="dxa"/>
                  <w:tcBorders>
                    <w:top w:val="single" w:color="000000" w:sz="4" w:space="0"/>
                    <w:left w:val="single" w:color="000000" w:sz="4" w:space="0"/>
                    <w:bottom w:val="single" w:color="000000" w:sz="4" w:space="0"/>
                    <w:right w:val="nil"/>
                  </w:tcBorders>
                  <w:vAlign w:val="center"/>
                </w:tcPr>
                <w:p w14:paraId="4A1036E7">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委托江苏永吉环保科技有限公司进行处置</w:t>
                  </w:r>
                </w:p>
              </w:tc>
            </w:tr>
            <w:tr w14:paraId="0E420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73" w:type="dxa"/>
                  <w:tcBorders>
                    <w:top w:val="single" w:color="000000" w:sz="4" w:space="0"/>
                    <w:left w:val="nil"/>
                    <w:bottom w:val="single" w:color="000000" w:sz="4" w:space="0"/>
                    <w:right w:val="single" w:color="000000" w:sz="4" w:space="0"/>
                  </w:tcBorders>
                  <w:vAlign w:val="center"/>
                </w:tcPr>
                <w:p w14:paraId="392BA48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5</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45FD06EF">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02B9961C">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废手套</w:t>
                  </w:r>
                </w:p>
              </w:tc>
              <w:tc>
                <w:tcPr>
                  <w:tcW w:w="735" w:type="dxa"/>
                  <w:tcBorders>
                    <w:top w:val="single" w:color="000000" w:sz="4" w:space="0"/>
                    <w:left w:val="single" w:color="000000" w:sz="4" w:space="0"/>
                    <w:bottom w:val="single" w:color="000000" w:sz="4" w:space="0"/>
                    <w:right w:val="single" w:color="000000" w:sz="4" w:space="0"/>
                  </w:tcBorders>
                  <w:vAlign w:val="center"/>
                </w:tcPr>
                <w:p w14:paraId="45BF2491">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HW49</w:t>
                  </w:r>
                </w:p>
              </w:tc>
              <w:tc>
                <w:tcPr>
                  <w:tcW w:w="1185" w:type="dxa"/>
                  <w:tcBorders>
                    <w:top w:val="single" w:color="000000" w:sz="4" w:space="0"/>
                    <w:left w:val="single" w:color="000000" w:sz="4" w:space="0"/>
                    <w:bottom w:val="single" w:color="000000" w:sz="4" w:space="0"/>
                    <w:right w:val="single" w:color="000000" w:sz="4" w:space="0"/>
                  </w:tcBorders>
                  <w:vAlign w:val="center"/>
                </w:tcPr>
                <w:p w14:paraId="48B99F3D">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900-041-49</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06007453">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35EAED78">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05CB72A9">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18</w:t>
                  </w:r>
                </w:p>
              </w:tc>
              <w:tc>
                <w:tcPr>
                  <w:tcW w:w="2325" w:type="dxa"/>
                  <w:tcBorders>
                    <w:top w:val="single" w:color="000000" w:sz="4" w:space="0"/>
                    <w:left w:val="single" w:color="000000" w:sz="4" w:space="0"/>
                    <w:bottom w:val="single" w:color="000000" w:sz="4" w:space="0"/>
                    <w:right w:val="nil"/>
                  </w:tcBorders>
                  <w:vAlign w:val="center"/>
                </w:tcPr>
                <w:p w14:paraId="39F2BA10">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委托江阴市锦绣江南环境发展有限公司进行处置</w:t>
                  </w:r>
                </w:p>
              </w:tc>
            </w:tr>
            <w:tr w14:paraId="2D116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73" w:type="dxa"/>
                  <w:tcBorders>
                    <w:top w:val="single" w:color="000000" w:sz="4" w:space="0"/>
                    <w:left w:val="nil"/>
                    <w:bottom w:val="single" w:color="000000" w:sz="4" w:space="0"/>
                    <w:right w:val="single" w:color="000000" w:sz="4" w:space="0"/>
                  </w:tcBorders>
                  <w:vAlign w:val="center"/>
                </w:tcPr>
                <w:p w14:paraId="0AC3D8BF">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6</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446F53AD">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503B460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喷淋塔废液</w:t>
                  </w:r>
                </w:p>
              </w:tc>
              <w:tc>
                <w:tcPr>
                  <w:tcW w:w="735" w:type="dxa"/>
                  <w:tcBorders>
                    <w:top w:val="single" w:color="000000" w:sz="4" w:space="0"/>
                    <w:left w:val="single" w:color="000000" w:sz="4" w:space="0"/>
                    <w:bottom w:val="single" w:color="000000" w:sz="4" w:space="0"/>
                    <w:right w:val="single" w:color="000000" w:sz="4" w:space="0"/>
                  </w:tcBorders>
                  <w:vAlign w:val="center"/>
                </w:tcPr>
                <w:p w14:paraId="4376677C">
                  <w:pPr>
                    <w:keepNext w:val="0"/>
                    <w:keepLines w:val="0"/>
                    <w:pageBreakBefore w:val="0"/>
                    <w:widowControl/>
                    <w:kinsoku/>
                    <w:wordWrap/>
                    <w:overflowPunct/>
                    <w:topLinePunct w:val="0"/>
                    <w:autoSpaceDE/>
                    <w:bidi w:val="0"/>
                    <w:ind w:left="-42" w:leftChars="-20" w:right="-42" w:rightChars="-20"/>
                    <w:jc w:val="center"/>
                    <w:textAlignment w:val="center"/>
                    <w:rPr>
                      <w:rFonts w:hint="default" w:ascii="Times New Roman" w:hAnsi="Times New Roman" w:eastAsia="宋体" w:cs="Times New Roman"/>
                      <w:b w:val="0"/>
                      <w:bCs/>
                      <w:color w:val="auto"/>
                      <w:sz w:val="20"/>
                      <w:szCs w:val="20"/>
                      <w:highlight w:val="none"/>
                      <w:lang w:val="en-US"/>
                    </w:rPr>
                  </w:pPr>
                  <w:r>
                    <w:rPr>
                      <w:rFonts w:hint="default" w:ascii="Times New Roman" w:hAnsi="Times New Roman" w:eastAsia="宋体" w:cs="Times New Roman"/>
                      <w:color w:val="auto"/>
                      <w:kern w:val="0"/>
                      <w:sz w:val="20"/>
                      <w:szCs w:val="20"/>
                      <w:highlight w:val="none"/>
                      <w:lang w:bidi="ar"/>
                    </w:rPr>
                    <w:t>HW</w:t>
                  </w:r>
                  <w:r>
                    <w:rPr>
                      <w:rFonts w:hint="eastAsia" w:ascii="Times New Roman" w:hAnsi="Times New Roman" w:eastAsia="宋体" w:cs="Times New Roman"/>
                      <w:color w:val="auto"/>
                      <w:kern w:val="0"/>
                      <w:sz w:val="20"/>
                      <w:szCs w:val="20"/>
                      <w:highlight w:val="none"/>
                      <w:lang w:val="en-US" w:eastAsia="zh-CN" w:bidi="ar"/>
                    </w:rPr>
                    <w:t>06</w:t>
                  </w:r>
                </w:p>
              </w:tc>
              <w:tc>
                <w:tcPr>
                  <w:tcW w:w="1185" w:type="dxa"/>
                  <w:tcBorders>
                    <w:top w:val="single" w:color="000000" w:sz="4" w:space="0"/>
                    <w:left w:val="single" w:color="000000" w:sz="4" w:space="0"/>
                    <w:bottom w:val="single" w:color="000000" w:sz="4" w:space="0"/>
                    <w:right w:val="single" w:color="000000" w:sz="4" w:space="0"/>
                  </w:tcBorders>
                  <w:vAlign w:val="center"/>
                </w:tcPr>
                <w:p w14:paraId="484A3DFD">
                  <w:pPr>
                    <w:keepNext w:val="0"/>
                    <w:keepLines w:val="0"/>
                    <w:pageBreakBefore w:val="0"/>
                    <w:widowControl/>
                    <w:kinsoku/>
                    <w:wordWrap/>
                    <w:overflowPunct/>
                    <w:topLinePunct w:val="0"/>
                    <w:autoSpaceDE/>
                    <w:bidi w:val="0"/>
                    <w:ind w:left="-42" w:leftChars="-20" w:right="-42" w:rightChars="-20"/>
                    <w:jc w:val="center"/>
                    <w:textAlignment w:val="center"/>
                    <w:rPr>
                      <w:rFonts w:hint="default" w:ascii="Times New Roman" w:hAnsi="Times New Roman" w:eastAsia="宋体" w:cs="Times New Roman"/>
                      <w:b w:val="0"/>
                      <w:bCs/>
                      <w:color w:val="auto"/>
                      <w:sz w:val="20"/>
                      <w:szCs w:val="20"/>
                      <w:highlight w:val="none"/>
                    </w:rPr>
                  </w:pPr>
                  <w:r>
                    <w:rPr>
                      <w:rFonts w:hint="eastAsia" w:ascii="Times New Roman" w:hAnsi="Times New Roman" w:eastAsia="宋体" w:cs="Times New Roman"/>
                      <w:color w:val="auto"/>
                      <w:kern w:val="0"/>
                      <w:sz w:val="20"/>
                      <w:szCs w:val="20"/>
                      <w:highlight w:val="none"/>
                      <w:lang w:val="en-US" w:eastAsia="zh-CN" w:bidi="ar"/>
                    </w:rPr>
                    <w:t>900-404-06</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39239C01">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325F2546">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031C5757">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lang w:val="en-US" w:eastAsia="zh-CN"/>
                    </w:rPr>
                    <w:t>126</w:t>
                  </w:r>
                </w:p>
              </w:tc>
              <w:tc>
                <w:tcPr>
                  <w:tcW w:w="2325" w:type="dxa"/>
                  <w:tcBorders>
                    <w:top w:val="single" w:color="000000" w:sz="4" w:space="0"/>
                    <w:left w:val="single" w:color="000000" w:sz="4" w:space="0"/>
                    <w:bottom w:val="single" w:color="000000" w:sz="4" w:space="0"/>
                    <w:right w:val="nil"/>
                  </w:tcBorders>
                  <w:vAlign w:val="center"/>
                </w:tcPr>
                <w:p w14:paraId="7FA236E7">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委托江苏永吉环保科技有限公司进行处置</w:t>
                  </w:r>
                </w:p>
              </w:tc>
            </w:tr>
            <w:tr w14:paraId="47E41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73" w:type="dxa"/>
                  <w:tcBorders>
                    <w:top w:val="single" w:color="000000" w:sz="4" w:space="0"/>
                    <w:left w:val="nil"/>
                    <w:bottom w:val="single" w:color="000000" w:sz="4" w:space="0"/>
                    <w:right w:val="single" w:color="000000" w:sz="4" w:space="0"/>
                  </w:tcBorders>
                  <w:vAlign w:val="center"/>
                </w:tcPr>
                <w:p w14:paraId="14DA296C">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7</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5AD026FE">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6BAA6621">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废活性炭</w:t>
                  </w:r>
                </w:p>
              </w:tc>
              <w:tc>
                <w:tcPr>
                  <w:tcW w:w="735" w:type="dxa"/>
                  <w:tcBorders>
                    <w:top w:val="single" w:color="000000" w:sz="4" w:space="0"/>
                    <w:left w:val="single" w:color="000000" w:sz="4" w:space="0"/>
                    <w:bottom w:val="single" w:color="000000" w:sz="4" w:space="0"/>
                    <w:right w:val="single" w:color="000000" w:sz="4" w:space="0"/>
                  </w:tcBorders>
                  <w:vAlign w:val="center"/>
                </w:tcPr>
                <w:p w14:paraId="6EDA2B0E">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HW49</w:t>
                  </w:r>
                </w:p>
              </w:tc>
              <w:tc>
                <w:tcPr>
                  <w:tcW w:w="1185" w:type="dxa"/>
                  <w:tcBorders>
                    <w:top w:val="single" w:color="000000" w:sz="4" w:space="0"/>
                    <w:left w:val="single" w:color="000000" w:sz="4" w:space="0"/>
                    <w:bottom w:val="single" w:color="000000" w:sz="4" w:space="0"/>
                    <w:right w:val="single" w:color="000000" w:sz="4" w:space="0"/>
                  </w:tcBorders>
                  <w:vAlign w:val="center"/>
                </w:tcPr>
                <w:p w14:paraId="6909DF6E">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900-039-49</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51DD1EBD">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73BB42F5">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2E916CD8">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lang w:val="en-US" w:eastAsia="zh-CN"/>
                    </w:rPr>
                    <w:t>75.3596</w:t>
                  </w:r>
                </w:p>
              </w:tc>
              <w:tc>
                <w:tcPr>
                  <w:tcW w:w="2325" w:type="dxa"/>
                  <w:tcBorders>
                    <w:top w:val="single" w:color="000000" w:sz="4" w:space="0"/>
                    <w:left w:val="single" w:color="000000" w:sz="4" w:space="0"/>
                    <w:bottom w:val="single" w:color="000000" w:sz="4" w:space="0"/>
                    <w:right w:val="nil"/>
                  </w:tcBorders>
                  <w:vAlign w:val="center"/>
                </w:tcPr>
                <w:p w14:paraId="5098E4F1">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委托江阴市锦绣江南环境发展有限公司进行处置</w:t>
                  </w:r>
                </w:p>
              </w:tc>
            </w:tr>
            <w:tr w14:paraId="2147E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73" w:type="dxa"/>
                  <w:tcBorders>
                    <w:top w:val="single" w:color="000000" w:sz="4" w:space="0"/>
                    <w:left w:val="nil"/>
                    <w:bottom w:val="single" w:color="000000" w:sz="4" w:space="0"/>
                    <w:right w:val="single" w:color="000000" w:sz="4" w:space="0"/>
                  </w:tcBorders>
                  <w:vAlign w:val="center"/>
                </w:tcPr>
                <w:p w14:paraId="1BECF24E">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8</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53C8253A">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36A91A9F">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废填料</w:t>
                  </w:r>
                </w:p>
              </w:tc>
              <w:tc>
                <w:tcPr>
                  <w:tcW w:w="735" w:type="dxa"/>
                  <w:tcBorders>
                    <w:top w:val="single" w:color="000000" w:sz="4" w:space="0"/>
                    <w:left w:val="single" w:color="000000" w:sz="4" w:space="0"/>
                    <w:bottom w:val="single" w:color="000000" w:sz="4" w:space="0"/>
                    <w:right w:val="single" w:color="000000" w:sz="4" w:space="0"/>
                  </w:tcBorders>
                  <w:vAlign w:val="center"/>
                </w:tcPr>
                <w:p w14:paraId="711FCC1D">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HW49</w:t>
                  </w:r>
                </w:p>
              </w:tc>
              <w:tc>
                <w:tcPr>
                  <w:tcW w:w="1185" w:type="dxa"/>
                  <w:tcBorders>
                    <w:top w:val="single" w:color="000000" w:sz="4" w:space="0"/>
                    <w:left w:val="single" w:color="000000" w:sz="4" w:space="0"/>
                    <w:bottom w:val="single" w:color="000000" w:sz="4" w:space="0"/>
                    <w:right w:val="single" w:color="000000" w:sz="4" w:space="0"/>
                  </w:tcBorders>
                  <w:vAlign w:val="center"/>
                </w:tcPr>
                <w:p w14:paraId="3F441A8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900-041-49</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2F21E0C0">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29FDD0FF">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6BF23D07">
                  <w:pPr>
                    <w:widowControl/>
                    <w:jc w:val="center"/>
                    <w:rPr>
                      <w:rFonts w:hint="default" w:ascii="Times New Roman" w:hAnsi="Times New Roman" w:eastAsia="宋体" w:cs="Times New Roman"/>
                      <w:b w:val="0"/>
                      <w:bCs/>
                      <w:color w:val="auto"/>
                      <w:sz w:val="20"/>
                      <w:szCs w:val="20"/>
                      <w:highlight w:val="none"/>
                      <w:lang w:val="en-US" w:eastAsia="zh-CN"/>
                    </w:rPr>
                  </w:pPr>
                  <w:r>
                    <w:rPr>
                      <w:rFonts w:hint="default" w:ascii="Times New Roman" w:hAnsi="Times New Roman" w:eastAsia="宋体" w:cs="Times New Roman"/>
                      <w:b w:val="0"/>
                      <w:bCs/>
                      <w:color w:val="auto"/>
                      <w:sz w:val="20"/>
                      <w:szCs w:val="20"/>
                      <w:highlight w:val="none"/>
                      <w:lang w:val="en-US" w:eastAsia="zh-CN"/>
                    </w:rPr>
                    <w:t>103.086</w:t>
                  </w:r>
                </w:p>
                <w:p w14:paraId="0E03FF05">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lang w:val="en-US" w:eastAsia="zh-CN"/>
                    </w:rPr>
                    <w:t>t/3a</w:t>
                  </w:r>
                </w:p>
              </w:tc>
              <w:tc>
                <w:tcPr>
                  <w:tcW w:w="2325" w:type="dxa"/>
                  <w:tcBorders>
                    <w:top w:val="single" w:color="000000" w:sz="4" w:space="0"/>
                    <w:left w:val="single" w:color="000000" w:sz="4" w:space="0"/>
                    <w:bottom w:val="single" w:color="000000" w:sz="4" w:space="0"/>
                    <w:right w:val="nil"/>
                  </w:tcBorders>
                  <w:vAlign w:val="center"/>
                </w:tcPr>
                <w:p w14:paraId="4A927CBA">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委托江阴市锦绣江南环境发展有限公司进行处置</w:t>
                  </w:r>
                </w:p>
              </w:tc>
            </w:tr>
            <w:tr w14:paraId="1EEBE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73" w:type="dxa"/>
                  <w:tcBorders>
                    <w:top w:val="single" w:color="000000" w:sz="4" w:space="0"/>
                    <w:left w:val="nil"/>
                    <w:bottom w:val="single" w:color="000000" w:sz="4" w:space="0"/>
                    <w:right w:val="single" w:color="000000" w:sz="4" w:space="0"/>
                  </w:tcBorders>
                  <w:vAlign w:val="center"/>
                </w:tcPr>
                <w:p w14:paraId="6DBA0A1D">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076F59CB">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14017977">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废滤芯</w:t>
                  </w:r>
                </w:p>
              </w:tc>
              <w:tc>
                <w:tcPr>
                  <w:tcW w:w="735" w:type="dxa"/>
                  <w:tcBorders>
                    <w:top w:val="single" w:color="000000" w:sz="4" w:space="0"/>
                    <w:left w:val="single" w:color="000000" w:sz="4" w:space="0"/>
                    <w:bottom w:val="single" w:color="000000" w:sz="4" w:space="0"/>
                    <w:right w:val="single" w:color="000000" w:sz="4" w:space="0"/>
                  </w:tcBorders>
                  <w:vAlign w:val="center"/>
                </w:tcPr>
                <w:p w14:paraId="3492D00D">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HW49</w:t>
                  </w:r>
                </w:p>
              </w:tc>
              <w:tc>
                <w:tcPr>
                  <w:tcW w:w="1185" w:type="dxa"/>
                  <w:tcBorders>
                    <w:top w:val="single" w:color="000000" w:sz="4" w:space="0"/>
                    <w:left w:val="single" w:color="000000" w:sz="4" w:space="0"/>
                    <w:bottom w:val="single" w:color="000000" w:sz="4" w:space="0"/>
                    <w:right w:val="single" w:color="000000" w:sz="4" w:space="0"/>
                  </w:tcBorders>
                  <w:vAlign w:val="center"/>
                </w:tcPr>
                <w:p w14:paraId="3C387D6A">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900-041-49</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02FB16D7">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572EAEAC">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271AD27D">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0.5</w:t>
                  </w:r>
                </w:p>
              </w:tc>
              <w:tc>
                <w:tcPr>
                  <w:tcW w:w="2325" w:type="dxa"/>
                  <w:tcBorders>
                    <w:top w:val="single" w:color="000000" w:sz="4" w:space="0"/>
                    <w:left w:val="single" w:color="000000" w:sz="4" w:space="0"/>
                    <w:bottom w:val="single" w:color="000000" w:sz="4" w:space="0"/>
                    <w:right w:val="nil"/>
                  </w:tcBorders>
                  <w:vAlign w:val="center"/>
                </w:tcPr>
                <w:p w14:paraId="53D0C066">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委托江阴市锦绣江南环境发展有限公司进行处置</w:t>
                  </w:r>
                </w:p>
              </w:tc>
            </w:tr>
            <w:tr w14:paraId="19426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73" w:type="dxa"/>
                  <w:tcBorders>
                    <w:top w:val="single" w:color="000000" w:sz="4" w:space="0"/>
                    <w:left w:val="nil"/>
                    <w:bottom w:val="single" w:color="000000" w:sz="4" w:space="0"/>
                    <w:right w:val="single" w:color="000000" w:sz="4" w:space="0"/>
                  </w:tcBorders>
                  <w:vAlign w:val="center"/>
                </w:tcPr>
                <w:p w14:paraId="60A85E62">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10</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453FD37E">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3E96459C">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研磨废液（渣）</w:t>
                  </w:r>
                </w:p>
              </w:tc>
              <w:tc>
                <w:tcPr>
                  <w:tcW w:w="735" w:type="dxa"/>
                  <w:tcBorders>
                    <w:top w:val="single" w:color="000000" w:sz="4" w:space="0"/>
                    <w:left w:val="single" w:color="000000" w:sz="4" w:space="0"/>
                    <w:bottom w:val="single" w:color="000000" w:sz="4" w:space="0"/>
                    <w:right w:val="single" w:color="000000" w:sz="4" w:space="0"/>
                  </w:tcBorders>
                  <w:vAlign w:val="center"/>
                </w:tcPr>
                <w:p w14:paraId="5707B936">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HW17</w:t>
                  </w:r>
                </w:p>
              </w:tc>
              <w:tc>
                <w:tcPr>
                  <w:tcW w:w="1185" w:type="dxa"/>
                  <w:tcBorders>
                    <w:top w:val="single" w:color="000000" w:sz="4" w:space="0"/>
                    <w:left w:val="single" w:color="000000" w:sz="4" w:space="0"/>
                    <w:bottom w:val="single" w:color="000000" w:sz="4" w:space="0"/>
                    <w:right w:val="single" w:color="000000" w:sz="4" w:space="0"/>
                  </w:tcBorders>
                  <w:vAlign w:val="center"/>
                </w:tcPr>
                <w:p w14:paraId="4587E56D">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336-064- 17</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64AA451B">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1078D0E1">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07FAAD6B">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1.05</w:t>
                  </w:r>
                </w:p>
              </w:tc>
              <w:tc>
                <w:tcPr>
                  <w:tcW w:w="2325" w:type="dxa"/>
                  <w:tcBorders>
                    <w:top w:val="single" w:color="000000" w:sz="4" w:space="0"/>
                    <w:left w:val="single" w:color="000000" w:sz="4" w:space="0"/>
                    <w:bottom w:val="single" w:color="000000" w:sz="4" w:space="0"/>
                    <w:right w:val="nil"/>
                  </w:tcBorders>
                  <w:vAlign w:val="center"/>
                </w:tcPr>
                <w:p w14:paraId="7633DA3B">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委托江阴市锦绣江南环境发展有限公司进行处置</w:t>
                  </w:r>
                </w:p>
              </w:tc>
            </w:tr>
            <w:tr w14:paraId="10D17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73" w:type="dxa"/>
                  <w:tcBorders>
                    <w:top w:val="single" w:color="000000" w:sz="4" w:space="0"/>
                    <w:left w:val="nil"/>
                    <w:bottom w:val="single" w:color="000000" w:sz="4" w:space="0"/>
                    <w:right w:val="single" w:color="000000" w:sz="4" w:space="0"/>
                  </w:tcBorders>
                  <w:vAlign w:val="center"/>
                </w:tcPr>
                <w:p w14:paraId="0A313458">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11</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1AF24609">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26BA6A39">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实验室废液</w:t>
                  </w:r>
                </w:p>
              </w:tc>
              <w:tc>
                <w:tcPr>
                  <w:tcW w:w="735" w:type="dxa"/>
                  <w:tcBorders>
                    <w:top w:val="single" w:color="000000" w:sz="4" w:space="0"/>
                    <w:left w:val="single" w:color="000000" w:sz="4" w:space="0"/>
                    <w:bottom w:val="single" w:color="000000" w:sz="4" w:space="0"/>
                    <w:right w:val="single" w:color="000000" w:sz="4" w:space="0"/>
                  </w:tcBorders>
                  <w:vAlign w:val="center"/>
                </w:tcPr>
                <w:p w14:paraId="59DEEE90">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HW49</w:t>
                  </w:r>
                </w:p>
              </w:tc>
              <w:tc>
                <w:tcPr>
                  <w:tcW w:w="1185" w:type="dxa"/>
                  <w:tcBorders>
                    <w:top w:val="single" w:color="000000" w:sz="4" w:space="0"/>
                    <w:left w:val="single" w:color="000000" w:sz="4" w:space="0"/>
                    <w:bottom w:val="single" w:color="000000" w:sz="4" w:space="0"/>
                    <w:right w:val="single" w:color="000000" w:sz="4" w:space="0"/>
                  </w:tcBorders>
                  <w:vAlign w:val="center"/>
                </w:tcPr>
                <w:p w14:paraId="7E03EB91">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900-047-49</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3BDE99F1">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43C824F4">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089CA703">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1.88</w:t>
                  </w:r>
                </w:p>
              </w:tc>
              <w:tc>
                <w:tcPr>
                  <w:tcW w:w="2325" w:type="dxa"/>
                  <w:tcBorders>
                    <w:top w:val="single" w:color="000000" w:sz="4" w:space="0"/>
                    <w:left w:val="single" w:color="000000" w:sz="4" w:space="0"/>
                    <w:bottom w:val="single" w:color="000000" w:sz="4" w:space="0"/>
                    <w:right w:val="nil"/>
                  </w:tcBorders>
                  <w:vAlign w:val="center"/>
                </w:tcPr>
                <w:p w14:paraId="6E495866">
                  <w:pPr>
                    <w:keepNext w:val="0"/>
                    <w:keepLines w:val="0"/>
                    <w:widowControl/>
                    <w:suppressLineNumbers w:val="0"/>
                    <w:jc w:val="center"/>
                    <w:textAlignment w:val="center"/>
                    <w:rPr>
                      <w:rFonts w:hint="default" w:ascii="Times New Roman" w:hAnsi="Times New Roman" w:eastAsia="宋体" w:cs="Times New Roman"/>
                      <w:b w:val="0"/>
                      <w:bCs/>
                      <w:color w:val="auto"/>
                      <w:sz w:val="18"/>
                      <w:szCs w:val="20"/>
                      <w:highlight w:val="none"/>
                    </w:rPr>
                  </w:pPr>
                  <w:r>
                    <w:rPr>
                      <w:rFonts w:hint="eastAsia" w:ascii="Times New Roman" w:hAnsi="Times New Roman" w:eastAsia="宋体" w:cs="宋体"/>
                      <w:i w:val="0"/>
                      <w:iCs w:val="0"/>
                      <w:color w:val="auto"/>
                      <w:kern w:val="0"/>
                      <w:sz w:val="18"/>
                      <w:szCs w:val="20"/>
                      <w:highlight w:val="none"/>
                      <w:u w:val="none"/>
                      <w:lang w:val="en-US" w:eastAsia="zh-CN" w:bidi="ar"/>
                    </w:rPr>
                    <w:t>委托江阴市锦绣江南环境发展有限公司进行处置</w:t>
                  </w:r>
                </w:p>
              </w:tc>
            </w:tr>
            <w:tr w14:paraId="47385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73" w:type="dxa"/>
                  <w:tcBorders>
                    <w:top w:val="single" w:color="000000" w:sz="4" w:space="0"/>
                    <w:left w:val="nil"/>
                    <w:bottom w:val="single" w:color="000000" w:sz="4" w:space="0"/>
                    <w:right w:val="single" w:color="000000" w:sz="4" w:space="0"/>
                  </w:tcBorders>
                  <w:vAlign w:val="center"/>
                </w:tcPr>
                <w:p w14:paraId="273868F5">
                  <w:pPr>
                    <w:widowControl/>
                    <w:jc w:val="center"/>
                    <w:rPr>
                      <w:rFonts w:hint="eastAsia" w:ascii="Times New Roman" w:hAnsi="Times New Roman" w:eastAsia="宋体" w:cs="Times New Roman"/>
                      <w:b w:val="0"/>
                      <w:bCs/>
                      <w:color w:val="auto"/>
                      <w:sz w:val="20"/>
                      <w:szCs w:val="20"/>
                      <w:highlight w:val="none"/>
                      <w:lang w:eastAsia="zh-CN"/>
                    </w:rPr>
                  </w:pPr>
                  <w:r>
                    <w:rPr>
                      <w:rFonts w:hint="default" w:ascii="Times New Roman" w:hAnsi="Times New Roman" w:eastAsia="宋体" w:cs="Times New Roman"/>
                      <w:b w:val="0"/>
                      <w:bCs/>
                      <w:color w:val="auto"/>
                      <w:sz w:val="20"/>
                      <w:szCs w:val="20"/>
                      <w:highlight w:val="none"/>
                    </w:rPr>
                    <w:t>1</w:t>
                  </w:r>
                  <w:r>
                    <w:rPr>
                      <w:rFonts w:hint="eastAsia" w:ascii="Times New Roman" w:hAnsi="Times New Roman" w:eastAsia="宋体" w:cs="Times New Roman"/>
                      <w:b w:val="0"/>
                      <w:bCs/>
                      <w:color w:val="auto"/>
                      <w:sz w:val="20"/>
                      <w:szCs w:val="20"/>
                      <w:highlight w:val="none"/>
                      <w:lang w:val="en-US" w:eastAsia="zh-CN"/>
                    </w:rPr>
                    <w:t>2</w:t>
                  </w:r>
                </w:p>
              </w:tc>
              <w:tc>
                <w:tcPr>
                  <w:tcW w:w="518" w:type="dxa"/>
                  <w:vMerge w:val="restart"/>
                  <w:tcBorders>
                    <w:top w:val="single" w:color="000000" w:sz="4" w:space="0"/>
                    <w:left w:val="single" w:color="000000" w:sz="4" w:space="0"/>
                    <w:bottom w:val="single" w:color="000000" w:sz="4" w:space="0"/>
                    <w:right w:val="single" w:color="000000" w:sz="4" w:space="0"/>
                  </w:tcBorders>
                  <w:vAlign w:val="center"/>
                </w:tcPr>
                <w:p w14:paraId="2D43AA29">
                  <w:pPr>
                    <w:widowControl/>
                    <w:jc w:val="center"/>
                    <w:rPr>
                      <w:rFonts w:hint="default" w:ascii="Times New Roman" w:hAnsi="Times New Roman" w:eastAsia="宋体" w:cs="Times New Roman"/>
                      <w:b w:val="0"/>
                      <w:bCs/>
                      <w:color w:val="auto"/>
                      <w:sz w:val="20"/>
                      <w:szCs w:val="20"/>
                      <w:highlight w:val="none"/>
                    </w:rPr>
                  </w:pPr>
                  <w:r>
                    <w:rPr>
                      <w:rFonts w:hint="eastAsia" w:cs="Times New Roman"/>
                      <w:b w:val="0"/>
                      <w:bCs/>
                      <w:color w:val="auto"/>
                      <w:sz w:val="20"/>
                      <w:szCs w:val="20"/>
                      <w:highlight w:val="none"/>
                      <w:lang w:eastAsia="zh-CN"/>
                    </w:rPr>
                    <w:t>一般固体废物</w:t>
                  </w:r>
                  <w:r>
                    <w:rPr>
                      <w:rFonts w:hint="default" w:ascii="Times New Roman" w:hAnsi="Times New Roman" w:eastAsia="宋体" w:cs="Times New Roman"/>
                      <w:b w:val="0"/>
                      <w:bCs/>
                      <w:color w:val="auto"/>
                      <w:sz w:val="20"/>
                      <w:szCs w:val="20"/>
                      <w:highlight w:val="none"/>
                    </w:rPr>
                    <w:t>暂存间</w:t>
                  </w:r>
                </w:p>
              </w:tc>
              <w:tc>
                <w:tcPr>
                  <w:tcW w:w="1168" w:type="dxa"/>
                  <w:tcBorders>
                    <w:top w:val="single" w:color="000000" w:sz="4" w:space="0"/>
                    <w:left w:val="single" w:color="000000" w:sz="4" w:space="0"/>
                    <w:bottom w:val="single" w:color="000000" w:sz="4" w:space="0"/>
                    <w:right w:val="single" w:color="000000" w:sz="4" w:space="0"/>
                  </w:tcBorders>
                  <w:vAlign w:val="center"/>
                </w:tcPr>
                <w:p w14:paraId="7DB7A4C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膜片边角料</w:t>
                  </w:r>
                </w:p>
              </w:tc>
              <w:tc>
                <w:tcPr>
                  <w:tcW w:w="735" w:type="dxa"/>
                  <w:tcBorders>
                    <w:top w:val="single" w:color="000000" w:sz="4" w:space="0"/>
                    <w:left w:val="single" w:color="000000" w:sz="4" w:space="0"/>
                    <w:bottom w:val="single" w:color="000000" w:sz="4" w:space="0"/>
                    <w:right w:val="single" w:color="000000" w:sz="4" w:space="0"/>
                  </w:tcBorders>
                  <w:vAlign w:val="center"/>
                </w:tcPr>
                <w:p w14:paraId="5C646C28">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SW17</w:t>
                  </w:r>
                </w:p>
              </w:tc>
              <w:tc>
                <w:tcPr>
                  <w:tcW w:w="1185" w:type="dxa"/>
                  <w:tcBorders>
                    <w:top w:val="single" w:color="000000" w:sz="4" w:space="0"/>
                    <w:left w:val="single" w:color="000000" w:sz="4" w:space="0"/>
                    <w:bottom w:val="single" w:color="000000" w:sz="4" w:space="0"/>
                    <w:right w:val="single" w:color="000000" w:sz="4" w:space="0"/>
                  </w:tcBorders>
                  <w:vAlign w:val="center"/>
                </w:tcPr>
                <w:p w14:paraId="5192130A">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900-003-S17</w:t>
                  </w:r>
                </w:p>
              </w:tc>
              <w:tc>
                <w:tcPr>
                  <w:tcW w:w="585" w:type="dxa"/>
                  <w:vMerge w:val="restart"/>
                  <w:tcBorders>
                    <w:top w:val="single" w:color="000000" w:sz="4" w:space="0"/>
                    <w:left w:val="single" w:color="000000" w:sz="4" w:space="0"/>
                    <w:bottom w:val="single" w:color="000000" w:sz="4" w:space="0"/>
                    <w:right w:val="single" w:color="000000" w:sz="4" w:space="0"/>
                  </w:tcBorders>
                  <w:vAlign w:val="center"/>
                </w:tcPr>
                <w:p w14:paraId="6B8EA146">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厂区东北侧</w:t>
                  </w:r>
                </w:p>
              </w:tc>
              <w:tc>
                <w:tcPr>
                  <w:tcW w:w="840" w:type="dxa"/>
                  <w:vMerge w:val="restart"/>
                  <w:tcBorders>
                    <w:top w:val="single" w:color="000000" w:sz="4" w:space="0"/>
                    <w:left w:val="single" w:color="000000" w:sz="4" w:space="0"/>
                    <w:bottom w:val="single" w:color="000000" w:sz="4" w:space="0"/>
                    <w:right w:val="single" w:color="000000" w:sz="4" w:space="0"/>
                  </w:tcBorders>
                  <w:vAlign w:val="center"/>
                </w:tcPr>
                <w:p w14:paraId="367B3A82">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50m</w:t>
                  </w:r>
                  <w:r>
                    <w:rPr>
                      <w:rFonts w:hint="default" w:ascii="Times New Roman" w:hAnsi="Times New Roman" w:eastAsia="宋体" w:cs="Times New Roman"/>
                      <w:b w:val="0"/>
                      <w:bCs/>
                      <w:color w:val="auto"/>
                      <w:sz w:val="20"/>
                      <w:szCs w:val="20"/>
                      <w:highlight w:val="none"/>
                      <w:vertAlign w:val="superscript"/>
                    </w:rPr>
                    <w:t>2</w:t>
                  </w:r>
                </w:p>
              </w:tc>
              <w:tc>
                <w:tcPr>
                  <w:tcW w:w="810" w:type="dxa"/>
                  <w:tcBorders>
                    <w:top w:val="single" w:color="000000" w:sz="4" w:space="0"/>
                    <w:left w:val="single" w:color="000000" w:sz="4" w:space="0"/>
                    <w:bottom w:val="single" w:color="000000" w:sz="4" w:space="0"/>
                    <w:right w:val="single" w:color="000000" w:sz="4" w:space="0"/>
                  </w:tcBorders>
                  <w:vAlign w:val="center"/>
                </w:tcPr>
                <w:p w14:paraId="563F0B3C">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500</w:t>
                  </w:r>
                </w:p>
              </w:tc>
              <w:tc>
                <w:tcPr>
                  <w:tcW w:w="2325" w:type="dxa"/>
                  <w:vMerge w:val="restart"/>
                  <w:tcBorders>
                    <w:top w:val="single" w:color="000000" w:sz="4" w:space="0"/>
                    <w:left w:val="single" w:color="000000" w:sz="4" w:space="0"/>
                    <w:bottom w:val="single" w:color="000000" w:sz="4" w:space="0"/>
                    <w:right w:val="nil"/>
                  </w:tcBorders>
                  <w:vAlign w:val="center"/>
                </w:tcPr>
                <w:p w14:paraId="6AC9D4B8">
                  <w:pPr>
                    <w:widowControl/>
                    <w:jc w:val="center"/>
                    <w:rPr>
                      <w:rFonts w:hint="default" w:ascii="Times New Roman" w:hAnsi="Times New Roman" w:eastAsia="宋体" w:cs="Times New Roman"/>
                      <w:b w:val="0"/>
                      <w:bCs/>
                      <w:color w:val="auto"/>
                      <w:sz w:val="18"/>
                      <w:szCs w:val="20"/>
                      <w:highlight w:val="none"/>
                    </w:rPr>
                  </w:pPr>
                  <w:r>
                    <w:rPr>
                      <w:rFonts w:hint="default" w:ascii="Times New Roman" w:hAnsi="Times New Roman" w:eastAsia="宋体" w:cs="Times New Roman"/>
                      <w:b w:val="0"/>
                      <w:bCs/>
                      <w:color w:val="auto"/>
                      <w:sz w:val="18"/>
                      <w:szCs w:val="20"/>
                      <w:highlight w:val="none"/>
                    </w:rPr>
                    <w:t>收集后外售</w:t>
                  </w:r>
                </w:p>
              </w:tc>
            </w:tr>
            <w:tr w14:paraId="6DC1F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73" w:type="dxa"/>
                  <w:tcBorders>
                    <w:top w:val="single" w:color="000000" w:sz="4" w:space="0"/>
                    <w:left w:val="nil"/>
                    <w:bottom w:val="single" w:color="000000" w:sz="4" w:space="0"/>
                    <w:right w:val="single" w:color="000000" w:sz="4" w:space="0"/>
                  </w:tcBorders>
                  <w:vAlign w:val="center"/>
                </w:tcPr>
                <w:p w14:paraId="2B0D54A2">
                  <w:pPr>
                    <w:widowControl/>
                    <w:jc w:val="center"/>
                    <w:rPr>
                      <w:rFonts w:hint="eastAsia" w:ascii="Times New Roman" w:hAnsi="Times New Roman" w:eastAsia="宋体" w:cs="Times New Roman"/>
                      <w:b w:val="0"/>
                      <w:bCs/>
                      <w:color w:val="auto"/>
                      <w:sz w:val="20"/>
                      <w:szCs w:val="20"/>
                      <w:highlight w:val="none"/>
                      <w:lang w:eastAsia="zh-CN"/>
                    </w:rPr>
                  </w:pPr>
                  <w:r>
                    <w:rPr>
                      <w:rFonts w:hint="default" w:ascii="Times New Roman" w:hAnsi="Times New Roman" w:eastAsia="宋体" w:cs="Times New Roman"/>
                      <w:b w:val="0"/>
                      <w:bCs/>
                      <w:color w:val="auto"/>
                      <w:sz w:val="20"/>
                      <w:szCs w:val="20"/>
                      <w:highlight w:val="none"/>
                    </w:rPr>
                    <w:t>1</w:t>
                  </w:r>
                  <w:r>
                    <w:rPr>
                      <w:rFonts w:hint="eastAsia" w:ascii="Times New Roman" w:hAnsi="Times New Roman" w:eastAsia="宋体" w:cs="Times New Roman"/>
                      <w:b w:val="0"/>
                      <w:bCs/>
                      <w:color w:val="auto"/>
                      <w:sz w:val="20"/>
                      <w:szCs w:val="20"/>
                      <w:highlight w:val="none"/>
                      <w:lang w:val="en-US" w:eastAsia="zh-CN"/>
                    </w:rPr>
                    <w:t>3</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6A39CC78">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4C90F209">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废模型</w:t>
                  </w:r>
                </w:p>
              </w:tc>
              <w:tc>
                <w:tcPr>
                  <w:tcW w:w="735" w:type="dxa"/>
                  <w:tcBorders>
                    <w:top w:val="single" w:color="000000" w:sz="4" w:space="0"/>
                    <w:left w:val="single" w:color="000000" w:sz="4" w:space="0"/>
                    <w:bottom w:val="single" w:color="000000" w:sz="4" w:space="0"/>
                    <w:right w:val="single" w:color="000000" w:sz="4" w:space="0"/>
                  </w:tcBorders>
                  <w:vAlign w:val="center"/>
                </w:tcPr>
                <w:p w14:paraId="396D9117">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SW17</w:t>
                  </w:r>
                </w:p>
              </w:tc>
              <w:tc>
                <w:tcPr>
                  <w:tcW w:w="1185" w:type="dxa"/>
                  <w:tcBorders>
                    <w:top w:val="single" w:color="000000" w:sz="4" w:space="0"/>
                    <w:left w:val="single" w:color="000000" w:sz="4" w:space="0"/>
                    <w:bottom w:val="single" w:color="000000" w:sz="4" w:space="0"/>
                    <w:right w:val="single" w:color="000000" w:sz="4" w:space="0"/>
                  </w:tcBorders>
                  <w:vAlign w:val="center"/>
                </w:tcPr>
                <w:p w14:paraId="034E95B1">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900-011-S17</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37A0DF8D">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64FC9490">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3E6A8D31">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1022.5184</w:t>
                  </w:r>
                </w:p>
              </w:tc>
              <w:tc>
                <w:tcPr>
                  <w:tcW w:w="2325" w:type="dxa"/>
                  <w:vMerge w:val="continue"/>
                  <w:tcBorders>
                    <w:top w:val="single" w:color="000000" w:sz="4" w:space="0"/>
                    <w:left w:val="single" w:color="000000" w:sz="4" w:space="0"/>
                    <w:bottom w:val="single" w:color="000000" w:sz="4" w:space="0"/>
                    <w:right w:val="nil"/>
                  </w:tcBorders>
                  <w:vAlign w:val="center"/>
                </w:tcPr>
                <w:p w14:paraId="6D619F02">
                  <w:pPr>
                    <w:widowControl/>
                    <w:jc w:val="center"/>
                    <w:rPr>
                      <w:rFonts w:hint="default" w:ascii="Times New Roman" w:hAnsi="Times New Roman" w:eastAsia="宋体" w:cs="Times New Roman"/>
                      <w:b w:val="0"/>
                      <w:bCs/>
                      <w:color w:val="auto"/>
                      <w:sz w:val="18"/>
                      <w:szCs w:val="20"/>
                      <w:highlight w:val="none"/>
                    </w:rPr>
                  </w:pPr>
                </w:p>
              </w:tc>
            </w:tr>
            <w:tr w14:paraId="3C0FB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73" w:type="dxa"/>
                  <w:tcBorders>
                    <w:top w:val="single" w:color="000000" w:sz="4" w:space="0"/>
                    <w:left w:val="nil"/>
                    <w:bottom w:val="single" w:color="000000" w:sz="4" w:space="0"/>
                    <w:right w:val="single" w:color="000000" w:sz="4" w:space="0"/>
                  </w:tcBorders>
                  <w:vAlign w:val="center"/>
                </w:tcPr>
                <w:p w14:paraId="3EA7D568">
                  <w:pPr>
                    <w:widowControl/>
                    <w:jc w:val="center"/>
                    <w:rPr>
                      <w:rFonts w:hint="eastAsia" w:ascii="Times New Roman" w:hAnsi="Times New Roman" w:eastAsia="宋体" w:cs="Times New Roman"/>
                      <w:b w:val="0"/>
                      <w:bCs/>
                      <w:color w:val="auto"/>
                      <w:sz w:val="20"/>
                      <w:szCs w:val="20"/>
                      <w:highlight w:val="none"/>
                      <w:lang w:eastAsia="zh-CN"/>
                    </w:rPr>
                  </w:pPr>
                  <w:r>
                    <w:rPr>
                      <w:rFonts w:hint="default" w:ascii="Times New Roman" w:hAnsi="Times New Roman" w:eastAsia="宋体" w:cs="Times New Roman"/>
                      <w:b w:val="0"/>
                      <w:bCs/>
                      <w:color w:val="auto"/>
                      <w:sz w:val="20"/>
                      <w:szCs w:val="20"/>
                      <w:highlight w:val="none"/>
                    </w:rPr>
                    <w:t>1</w:t>
                  </w:r>
                  <w:r>
                    <w:rPr>
                      <w:rFonts w:hint="eastAsia" w:ascii="Times New Roman" w:hAnsi="Times New Roman" w:eastAsia="宋体" w:cs="Times New Roman"/>
                      <w:b w:val="0"/>
                      <w:bCs/>
                      <w:color w:val="auto"/>
                      <w:sz w:val="20"/>
                      <w:szCs w:val="20"/>
                      <w:highlight w:val="none"/>
                      <w:lang w:val="en-US" w:eastAsia="zh-CN"/>
                    </w:rPr>
                    <w:t>4</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6D26C6D5">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46E9EDD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废包装袋</w:t>
                  </w:r>
                </w:p>
              </w:tc>
              <w:tc>
                <w:tcPr>
                  <w:tcW w:w="735" w:type="dxa"/>
                  <w:tcBorders>
                    <w:top w:val="single" w:color="000000" w:sz="4" w:space="0"/>
                    <w:left w:val="single" w:color="000000" w:sz="4" w:space="0"/>
                    <w:bottom w:val="single" w:color="000000" w:sz="4" w:space="0"/>
                    <w:right w:val="single" w:color="000000" w:sz="4" w:space="0"/>
                  </w:tcBorders>
                  <w:vAlign w:val="center"/>
                </w:tcPr>
                <w:p w14:paraId="24127AE3">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SW17</w:t>
                  </w:r>
                </w:p>
              </w:tc>
              <w:tc>
                <w:tcPr>
                  <w:tcW w:w="1185" w:type="dxa"/>
                  <w:tcBorders>
                    <w:top w:val="single" w:color="000000" w:sz="4" w:space="0"/>
                    <w:left w:val="single" w:color="000000" w:sz="4" w:space="0"/>
                    <w:bottom w:val="single" w:color="000000" w:sz="4" w:space="0"/>
                    <w:right w:val="single" w:color="000000" w:sz="4" w:space="0"/>
                  </w:tcBorders>
                  <w:vAlign w:val="center"/>
                </w:tcPr>
                <w:p w14:paraId="28B0DE9F">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900-003-S17</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68D47D8B">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2D9CC44E">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76B69B40">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4.12</w:t>
                  </w:r>
                </w:p>
              </w:tc>
              <w:tc>
                <w:tcPr>
                  <w:tcW w:w="2325" w:type="dxa"/>
                  <w:vMerge w:val="continue"/>
                  <w:tcBorders>
                    <w:top w:val="single" w:color="000000" w:sz="4" w:space="0"/>
                    <w:left w:val="single" w:color="000000" w:sz="4" w:space="0"/>
                    <w:bottom w:val="single" w:color="000000" w:sz="4" w:space="0"/>
                    <w:right w:val="nil"/>
                  </w:tcBorders>
                  <w:vAlign w:val="center"/>
                </w:tcPr>
                <w:p w14:paraId="3D83ED8A">
                  <w:pPr>
                    <w:widowControl/>
                    <w:jc w:val="center"/>
                    <w:rPr>
                      <w:rFonts w:hint="default" w:ascii="Times New Roman" w:hAnsi="Times New Roman" w:eastAsia="宋体" w:cs="Times New Roman"/>
                      <w:b w:val="0"/>
                      <w:bCs/>
                      <w:color w:val="auto"/>
                      <w:sz w:val="18"/>
                      <w:szCs w:val="20"/>
                      <w:highlight w:val="none"/>
                    </w:rPr>
                  </w:pPr>
                </w:p>
              </w:tc>
            </w:tr>
            <w:tr w14:paraId="3C381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73" w:type="dxa"/>
                  <w:tcBorders>
                    <w:top w:val="single" w:color="000000" w:sz="4" w:space="0"/>
                    <w:left w:val="nil"/>
                    <w:bottom w:val="single" w:color="000000" w:sz="4" w:space="0"/>
                    <w:right w:val="single" w:color="000000" w:sz="4" w:space="0"/>
                  </w:tcBorders>
                  <w:vAlign w:val="center"/>
                </w:tcPr>
                <w:p w14:paraId="072607C3">
                  <w:pPr>
                    <w:widowControl/>
                    <w:jc w:val="center"/>
                    <w:rPr>
                      <w:rFonts w:hint="default" w:ascii="Times New Roman" w:hAnsi="Times New Roman" w:eastAsia="宋体" w:cs="Times New Roman"/>
                      <w:b w:val="0"/>
                      <w:bCs/>
                      <w:color w:val="auto"/>
                      <w:sz w:val="20"/>
                      <w:szCs w:val="20"/>
                      <w:highlight w:val="none"/>
                      <w:lang w:val="en-US" w:eastAsia="zh-CN"/>
                    </w:rPr>
                  </w:pPr>
                  <w:r>
                    <w:rPr>
                      <w:rFonts w:hint="eastAsia" w:ascii="Times New Roman" w:hAnsi="Times New Roman" w:eastAsia="宋体" w:cs="Times New Roman"/>
                      <w:b w:val="0"/>
                      <w:bCs/>
                      <w:color w:val="auto"/>
                      <w:sz w:val="20"/>
                      <w:szCs w:val="20"/>
                      <w:highlight w:val="none"/>
                      <w:lang w:val="en-US" w:eastAsia="zh-CN"/>
                    </w:rPr>
                    <w:t>15</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167D35FF">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3C842EBE">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废样品</w:t>
                  </w:r>
                </w:p>
              </w:tc>
              <w:tc>
                <w:tcPr>
                  <w:tcW w:w="735" w:type="dxa"/>
                  <w:tcBorders>
                    <w:top w:val="single" w:color="000000" w:sz="4" w:space="0"/>
                    <w:left w:val="single" w:color="000000" w:sz="4" w:space="0"/>
                    <w:bottom w:val="single" w:color="000000" w:sz="4" w:space="0"/>
                    <w:right w:val="single" w:color="000000" w:sz="4" w:space="0"/>
                  </w:tcBorders>
                  <w:vAlign w:val="center"/>
                </w:tcPr>
                <w:p w14:paraId="44B43546">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SW17</w:t>
                  </w:r>
                </w:p>
              </w:tc>
              <w:tc>
                <w:tcPr>
                  <w:tcW w:w="1185" w:type="dxa"/>
                  <w:tcBorders>
                    <w:top w:val="single" w:color="000000" w:sz="4" w:space="0"/>
                    <w:left w:val="single" w:color="000000" w:sz="4" w:space="0"/>
                    <w:bottom w:val="single" w:color="000000" w:sz="4" w:space="0"/>
                    <w:right w:val="single" w:color="000000" w:sz="4" w:space="0"/>
                  </w:tcBorders>
                  <w:vAlign w:val="center"/>
                </w:tcPr>
                <w:p w14:paraId="6437202C">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900-003-S17</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15DD3545">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60FC605C">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4EA49745">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0.1</w:t>
                  </w:r>
                </w:p>
              </w:tc>
              <w:tc>
                <w:tcPr>
                  <w:tcW w:w="2325" w:type="dxa"/>
                  <w:vMerge w:val="continue"/>
                  <w:tcBorders>
                    <w:top w:val="single" w:color="000000" w:sz="4" w:space="0"/>
                    <w:left w:val="single" w:color="000000" w:sz="4" w:space="0"/>
                    <w:bottom w:val="single" w:color="000000" w:sz="4" w:space="0"/>
                    <w:right w:val="nil"/>
                  </w:tcBorders>
                  <w:vAlign w:val="center"/>
                </w:tcPr>
                <w:p w14:paraId="0575C530">
                  <w:pPr>
                    <w:widowControl/>
                    <w:jc w:val="center"/>
                    <w:rPr>
                      <w:rFonts w:hint="default" w:ascii="Times New Roman" w:hAnsi="Times New Roman" w:eastAsia="宋体" w:cs="Times New Roman"/>
                      <w:b w:val="0"/>
                      <w:bCs/>
                      <w:color w:val="auto"/>
                      <w:sz w:val="18"/>
                      <w:szCs w:val="20"/>
                      <w:highlight w:val="none"/>
                    </w:rPr>
                  </w:pPr>
                </w:p>
              </w:tc>
            </w:tr>
            <w:tr w14:paraId="1AC5F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73" w:type="dxa"/>
                  <w:tcBorders>
                    <w:top w:val="single" w:color="000000" w:sz="4" w:space="0"/>
                    <w:left w:val="nil"/>
                    <w:bottom w:val="single" w:color="000000" w:sz="4" w:space="0"/>
                    <w:right w:val="single" w:color="000000" w:sz="4" w:space="0"/>
                  </w:tcBorders>
                  <w:vAlign w:val="center"/>
                </w:tcPr>
                <w:p w14:paraId="3B302A82">
                  <w:pPr>
                    <w:widowControl/>
                    <w:jc w:val="center"/>
                    <w:rPr>
                      <w:rFonts w:hint="default" w:ascii="Times New Roman" w:hAnsi="Times New Roman" w:eastAsia="宋体" w:cs="Times New Roman"/>
                      <w:b w:val="0"/>
                      <w:bCs/>
                      <w:color w:val="auto"/>
                      <w:sz w:val="20"/>
                      <w:szCs w:val="20"/>
                      <w:highlight w:val="none"/>
                      <w:lang w:val="en-US" w:eastAsia="zh-CN"/>
                    </w:rPr>
                  </w:pPr>
                  <w:r>
                    <w:rPr>
                      <w:rFonts w:hint="eastAsia" w:ascii="Times New Roman" w:hAnsi="Times New Roman" w:eastAsia="宋体" w:cs="Times New Roman"/>
                      <w:b w:val="0"/>
                      <w:bCs/>
                      <w:color w:val="auto"/>
                      <w:sz w:val="20"/>
                      <w:szCs w:val="20"/>
                      <w:highlight w:val="none"/>
                      <w:lang w:val="en-US" w:eastAsia="zh-CN"/>
                    </w:rPr>
                    <w:t>16</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48976747">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6B43E734">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粉尘</w:t>
                  </w:r>
                </w:p>
              </w:tc>
              <w:tc>
                <w:tcPr>
                  <w:tcW w:w="735" w:type="dxa"/>
                  <w:tcBorders>
                    <w:top w:val="single" w:color="000000" w:sz="4" w:space="0"/>
                    <w:left w:val="single" w:color="000000" w:sz="4" w:space="0"/>
                    <w:bottom w:val="single" w:color="000000" w:sz="4" w:space="0"/>
                    <w:right w:val="single" w:color="000000" w:sz="4" w:space="0"/>
                  </w:tcBorders>
                  <w:vAlign w:val="center"/>
                </w:tcPr>
                <w:p w14:paraId="07B14031">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SW17</w:t>
                  </w:r>
                </w:p>
              </w:tc>
              <w:tc>
                <w:tcPr>
                  <w:tcW w:w="1185" w:type="dxa"/>
                  <w:tcBorders>
                    <w:top w:val="single" w:color="000000" w:sz="4" w:space="0"/>
                    <w:left w:val="single" w:color="000000" w:sz="4" w:space="0"/>
                    <w:bottom w:val="single" w:color="000000" w:sz="4" w:space="0"/>
                    <w:right w:val="single" w:color="000000" w:sz="4" w:space="0"/>
                  </w:tcBorders>
                  <w:vAlign w:val="center"/>
                </w:tcPr>
                <w:p w14:paraId="55AD43A9">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900-003-S17</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0B9EEF23">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48E101B7">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40F684CF">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6.125</w:t>
                  </w:r>
                </w:p>
              </w:tc>
              <w:tc>
                <w:tcPr>
                  <w:tcW w:w="2325" w:type="dxa"/>
                  <w:vMerge w:val="continue"/>
                  <w:tcBorders>
                    <w:top w:val="single" w:color="000000" w:sz="4" w:space="0"/>
                    <w:left w:val="single" w:color="000000" w:sz="4" w:space="0"/>
                    <w:bottom w:val="single" w:color="000000" w:sz="4" w:space="0"/>
                    <w:right w:val="nil"/>
                  </w:tcBorders>
                  <w:vAlign w:val="center"/>
                </w:tcPr>
                <w:p w14:paraId="2DC5E2E0">
                  <w:pPr>
                    <w:widowControl/>
                    <w:jc w:val="center"/>
                    <w:rPr>
                      <w:rFonts w:hint="default" w:ascii="Times New Roman" w:hAnsi="Times New Roman" w:eastAsia="宋体" w:cs="Times New Roman"/>
                      <w:b w:val="0"/>
                      <w:bCs/>
                      <w:color w:val="auto"/>
                      <w:sz w:val="18"/>
                      <w:szCs w:val="20"/>
                      <w:highlight w:val="none"/>
                    </w:rPr>
                  </w:pPr>
                </w:p>
              </w:tc>
            </w:tr>
            <w:tr w14:paraId="69CB6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73" w:type="dxa"/>
                  <w:tcBorders>
                    <w:top w:val="single" w:color="000000" w:sz="4" w:space="0"/>
                    <w:left w:val="nil"/>
                    <w:bottom w:val="single" w:color="000000" w:sz="4" w:space="0"/>
                    <w:right w:val="single" w:color="000000" w:sz="4" w:space="0"/>
                  </w:tcBorders>
                  <w:vAlign w:val="center"/>
                </w:tcPr>
                <w:p w14:paraId="60850BF6">
                  <w:pPr>
                    <w:widowControl/>
                    <w:jc w:val="center"/>
                    <w:rPr>
                      <w:rFonts w:hint="default" w:ascii="Times New Roman" w:hAnsi="Times New Roman" w:eastAsia="宋体" w:cs="Times New Roman"/>
                      <w:b w:val="0"/>
                      <w:bCs/>
                      <w:color w:val="auto"/>
                      <w:sz w:val="20"/>
                      <w:szCs w:val="20"/>
                      <w:highlight w:val="none"/>
                      <w:lang w:val="en-US" w:eastAsia="zh-CN"/>
                    </w:rPr>
                  </w:pPr>
                  <w:r>
                    <w:rPr>
                      <w:rFonts w:hint="eastAsia" w:ascii="Times New Roman" w:hAnsi="Times New Roman" w:eastAsia="宋体" w:cs="Times New Roman"/>
                      <w:b w:val="0"/>
                      <w:bCs/>
                      <w:color w:val="auto"/>
                      <w:sz w:val="20"/>
                      <w:szCs w:val="20"/>
                      <w:highlight w:val="none"/>
                      <w:lang w:val="en-US" w:eastAsia="zh-CN"/>
                    </w:rPr>
                    <w:t>17</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455ED95C">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308D143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废布袋</w:t>
                  </w:r>
                </w:p>
              </w:tc>
              <w:tc>
                <w:tcPr>
                  <w:tcW w:w="735" w:type="dxa"/>
                  <w:tcBorders>
                    <w:top w:val="single" w:color="000000" w:sz="4" w:space="0"/>
                    <w:left w:val="single" w:color="000000" w:sz="4" w:space="0"/>
                    <w:bottom w:val="single" w:color="000000" w:sz="4" w:space="0"/>
                    <w:right w:val="single" w:color="000000" w:sz="4" w:space="0"/>
                  </w:tcBorders>
                  <w:vAlign w:val="center"/>
                </w:tcPr>
                <w:p w14:paraId="59CB2A23">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SW17</w:t>
                  </w:r>
                </w:p>
              </w:tc>
              <w:tc>
                <w:tcPr>
                  <w:tcW w:w="1185" w:type="dxa"/>
                  <w:tcBorders>
                    <w:top w:val="single" w:color="000000" w:sz="4" w:space="0"/>
                    <w:left w:val="single" w:color="000000" w:sz="4" w:space="0"/>
                    <w:bottom w:val="single" w:color="000000" w:sz="4" w:space="0"/>
                    <w:right w:val="single" w:color="000000" w:sz="4" w:space="0"/>
                  </w:tcBorders>
                  <w:vAlign w:val="center"/>
                </w:tcPr>
                <w:p w14:paraId="6E24B34D">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900-011-S17</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11E4963E">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0A854E80">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73B7190F">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lang w:val="en-US" w:eastAsia="zh-CN"/>
                    </w:rPr>
                    <w:t>2</w:t>
                  </w:r>
                </w:p>
              </w:tc>
              <w:tc>
                <w:tcPr>
                  <w:tcW w:w="2325" w:type="dxa"/>
                  <w:vMerge w:val="continue"/>
                  <w:tcBorders>
                    <w:top w:val="single" w:color="000000" w:sz="4" w:space="0"/>
                    <w:left w:val="single" w:color="000000" w:sz="4" w:space="0"/>
                    <w:bottom w:val="single" w:color="000000" w:sz="4" w:space="0"/>
                    <w:right w:val="nil"/>
                  </w:tcBorders>
                  <w:vAlign w:val="center"/>
                </w:tcPr>
                <w:p w14:paraId="767BA47A">
                  <w:pPr>
                    <w:widowControl/>
                    <w:jc w:val="center"/>
                    <w:rPr>
                      <w:rFonts w:hint="default" w:ascii="Times New Roman" w:hAnsi="Times New Roman" w:eastAsia="宋体" w:cs="Times New Roman"/>
                      <w:b w:val="0"/>
                      <w:bCs/>
                      <w:color w:val="auto"/>
                      <w:sz w:val="18"/>
                      <w:szCs w:val="20"/>
                      <w:highlight w:val="none"/>
                    </w:rPr>
                  </w:pPr>
                </w:p>
              </w:tc>
            </w:tr>
            <w:tr w14:paraId="592BB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 w:hRule="atLeast"/>
              </w:trPr>
              <w:tc>
                <w:tcPr>
                  <w:tcW w:w="273" w:type="dxa"/>
                  <w:tcBorders>
                    <w:top w:val="single" w:color="000000" w:sz="4" w:space="0"/>
                    <w:left w:val="nil"/>
                    <w:bottom w:val="single" w:color="000000" w:sz="4" w:space="0"/>
                    <w:right w:val="single" w:color="000000" w:sz="4" w:space="0"/>
                  </w:tcBorders>
                  <w:vAlign w:val="center"/>
                </w:tcPr>
                <w:p w14:paraId="51015D3C">
                  <w:pPr>
                    <w:widowControl/>
                    <w:jc w:val="center"/>
                    <w:rPr>
                      <w:rFonts w:hint="default" w:ascii="Times New Roman" w:hAnsi="Times New Roman" w:eastAsia="宋体" w:cs="Times New Roman"/>
                      <w:b w:val="0"/>
                      <w:bCs/>
                      <w:color w:val="auto"/>
                      <w:sz w:val="20"/>
                      <w:szCs w:val="20"/>
                      <w:highlight w:val="none"/>
                      <w:lang w:val="en-US" w:eastAsia="zh-CN"/>
                    </w:rPr>
                  </w:pPr>
                  <w:r>
                    <w:rPr>
                      <w:rFonts w:hint="eastAsia" w:ascii="Times New Roman" w:hAnsi="Times New Roman" w:eastAsia="宋体" w:cs="Times New Roman"/>
                      <w:b w:val="0"/>
                      <w:bCs/>
                      <w:color w:val="auto"/>
                      <w:sz w:val="20"/>
                      <w:szCs w:val="20"/>
                      <w:highlight w:val="none"/>
                      <w:lang w:val="en-US" w:eastAsia="zh-CN"/>
                    </w:rPr>
                    <w:t>18</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78B3B303">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5AD57612">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天使扣边角</w:t>
                  </w:r>
                </w:p>
              </w:tc>
              <w:tc>
                <w:tcPr>
                  <w:tcW w:w="735" w:type="dxa"/>
                  <w:tcBorders>
                    <w:top w:val="single" w:color="000000" w:sz="4" w:space="0"/>
                    <w:left w:val="single" w:color="000000" w:sz="4" w:space="0"/>
                    <w:bottom w:val="single" w:color="000000" w:sz="4" w:space="0"/>
                    <w:right w:val="single" w:color="000000" w:sz="4" w:space="0"/>
                  </w:tcBorders>
                  <w:vAlign w:val="center"/>
                </w:tcPr>
                <w:p w14:paraId="0D47C77E">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SW17</w:t>
                  </w:r>
                </w:p>
              </w:tc>
              <w:tc>
                <w:tcPr>
                  <w:tcW w:w="1185" w:type="dxa"/>
                  <w:tcBorders>
                    <w:top w:val="single" w:color="000000" w:sz="4" w:space="0"/>
                    <w:left w:val="single" w:color="000000" w:sz="4" w:space="0"/>
                    <w:bottom w:val="single" w:color="000000" w:sz="4" w:space="0"/>
                    <w:right w:val="single" w:color="000000" w:sz="4" w:space="0"/>
                  </w:tcBorders>
                  <w:vAlign w:val="center"/>
                </w:tcPr>
                <w:p w14:paraId="54AD2B7D">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900-003-S17</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6260B4FE">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585AED03">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794201FB">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2</w:t>
                  </w:r>
                </w:p>
              </w:tc>
              <w:tc>
                <w:tcPr>
                  <w:tcW w:w="2325" w:type="dxa"/>
                  <w:vMerge w:val="continue"/>
                  <w:tcBorders>
                    <w:top w:val="single" w:color="000000" w:sz="4" w:space="0"/>
                    <w:left w:val="single" w:color="000000" w:sz="4" w:space="0"/>
                    <w:bottom w:val="single" w:color="000000" w:sz="4" w:space="0"/>
                    <w:right w:val="nil"/>
                  </w:tcBorders>
                  <w:vAlign w:val="center"/>
                </w:tcPr>
                <w:p w14:paraId="36FDF9B3">
                  <w:pPr>
                    <w:widowControl/>
                    <w:jc w:val="center"/>
                    <w:rPr>
                      <w:rFonts w:hint="default" w:ascii="Times New Roman" w:hAnsi="Times New Roman" w:eastAsia="宋体" w:cs="Times New Roman"/>
                      <w:b w:val="0"/>
                      <w:bCs/>
                      <w:color w:val="auto"/>
                      <w:sz w:val="18"/>
                      <w:szCs w:val="20"/>
                      <w:highlight w:val="none"/>
                    </w:rPr>
                  </w:pPr>
                </w:p>
              </w:tc>
            </w:tr>
            <w:tr w14:paraId="294C1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3" w:type="dxa"/>
                  <w:tcBorders>
                    <w:top w:val="single" w:color="000000" w:sz="4" w:space="0"/>
                    <w:left w:val="nil"/>
                    <w:bottom w:val="single" w:color="000000" w:sz="4" w:space="0"/>
                    <w:right w:val="single" w:color="000000" w:sz="4" w:space="0"/>
                  </w:tcBorders>
                  <w:vAlign w:val="center"/>
                </w:tcPr>
                <w:p w14:paraId="3565A587">
                  <w:pPr>
                    <w:widowControl/>
                    <w:jc w:val="center"/>
                    <w:rPr>
                      <w:rFonts w:hint="default" w:ascii="Times New Roman" w:hAnsi="Times New Roman" w:eastAsia="宋体" w:cs="Times New Roman"/>
                      <w:b w:val="0"/>
                      <w:bCs/>
                      <w:color w:val="auto"/>
                      <w:sz w:val="20"/>
                      <w:szCs w:val="20"/>
                      <w:highlight w:val="none"/>
                      <w:lang w:val="en-US" w:eastAsia="zh-CN"/>
                    </w:rPr>
                  </w:pPr>
                  <w:r>
                    <w:rPr>
                      <w:rFonts w:hint="eastAsia" w:ascii="Times New Roman" w:hAnsi="Times New Roman" w:eastAsia="宋体" w:cs="Times New Roman"/>
                      <w:b w:val="0"/>
                      <w:bCs/>
                      <w:color w:val="auto"/>
                      <w:sz w:val="20"/>
                      <w:szCs w:val="20"/>
                      <w:highlight w:val="none"/>
                      <w:lang w:val="en-US" w:eastAsia="zh-CN"/>
                    </w:rPr>
                    <w:t>19</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11028B89">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7143AC97">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废纸板</w:t>
                  </w:r>
                </w:p>
              </w:tc>
              <w:tc>
                <w:tcPr>
                  <w:tcW w:w="735" w:type="dxa"/>
                  <w:tcBorders>
                    <w:top w:val="single" w:color="000000" w:sz="4" w:space="0"/>
                    <w:left w:val="single" w:color="000000" w:sz="4" w:space="0"/>
                    <w:bottom w:val="single" w:color="000000" w:sz="4" w:space="0"/>
                    <w:right w:val="single" w:color="000000" w:sz="4" w:space="0"/>
                  </w:tcBorders>
                  <w:vAlign w:val="center"/>
                </w:tcPr>
                <w:p w14:paraId="610714BA">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SW17</w:t>
                  </w:r>
                </w:p>
              </w:tc>
              <w:tc>
                <w:tcPr>
                  <w:tcW w:w="1185" w:type="dxa"/>
                  <w:tcBorders>
                    <w:top w:val="single" w:color="000000" w:sz="4" w:space="0"/>
                    <w:left w:val="single" w:color="000000" w:sz="4" w:space="0"/>
                    <w:bottom w:val="single" w:color="000000" w:sz="4" w:space="0"/>
                    <w:right w:val="single" w:color="000000" w:sz="4" w:space="0"/>
                  </w:tcBorders>
                  <w:vAlign w:val="center"/>
                </w:tcPr>
                <w:p w14:paraId="4323C61D">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900-00</w:t>
                  </w:r>
                  <w:r>
                    <w:rPr>
                      <w:rFonts w:hint="eastAsia" w:ascii="Times New Roman" w:hAnsi="Times New Roman" w:eastAsia="宋体" w:cs="Times New Roman"/>
                      <w:b w:val="0"/>
                      <w:bCs/>
                      <w:color w:val="auto"/>
                      <w:sz w:val="20"/>
                      <w:szCs w:val="20"/>
                      <w:highlight w:val="none"/>
                      <w:lang w:val="en-US" w:eastAsia="zh-CN"/>
                    </w:rPr>
                    <w:t>5</w:t>
                  </w:r>
                  <w:r>
                    <w:rPr>
                      <w:rFonts w:hint="default" w:ascii="Times New Roman" w:hAnsi="Times New Roman" w:eastAsia="宋体" w:cs="Times New Roman"/>
                      <w:b w:val="0"/>
                      <w:bCs/>
                      <w:color w:val="auto"/>
                      <w:sz w:val="20"/>
                      <w:szCs w:val="20"/>
                      <w:highlight w:val="none"/>
                      <w:lang w:val="en-US" w:eastAsia="zh-CN"/>
                    </w:rPr>
                    <w:t>-S17</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6F77F36E">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2D174765">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44928C26">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50</w:t>
                  </w:r>
                </w:p>
              </w:tc>
              <w:tc>
                <w:tcPr>
                  <w:tcW w:w="2325" w:type="dxa"/>
                  <w:vMerge w:val="continue"/>
                  <w:tcBorders>
                    <w:top w:val="single" w:color="000000" w:sz="4" w:space="0"/>
                    <w:left w:val="single" w:color="000000" w:sz="4" w:space="0"/>
                    <w:bottom w:val="single" w:color="000000" w:sz="4" w:space="0"/>
                    <w:right w:val="nil"/>
                  </w:tcBorders>
                  <w:vAlign w:val="center"/>
                </w:tcPr>
                <w:p w14:paraId="64FC4C1D">
                  <w:pPr>
                    <w:widowControl/>
                    <w:jc w:val="center"/>
                    <w:rPr>
                      <w:rFonts w:hint="default" w:ascii="Times New Roman" w:hAnsi="Times New Roman" w:eastAsia="宋体" w:cs="Times New Roman"/>
                      <w:b w:val="0"/>
                      <w:bCs/>
                      <w:color w:val="auto"/>
                      <w:sz w:val="18"/>
                      <w:szCs w:val="20"/>
                      <w:highlight w:val="none"/>
                    </w:rPr>
                  </w:pPr>
                </w:p>
              </w:tc>
            </w:tr>
            <w:tr w14:paraId="06DA9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73" w:type="dxa"/>
                  <w:tcBorders>
                    <w:top w:val="single" w:color="000000" w:sz="4" w:space="0"/>
                    <w:left w:val="nil"/>
                    <w:bottom w:val="single" w:color="000000" w:sz="4" w:space="0"/>
                    <w:right w:val="single" w:color="000000" w:sz="4" w:space="0"/>
                  </w:tcBorders>
                  <w:vAlign w:val="center"/>
                </w:tcPr>
                <w:p w14:paraId="0C16F1D3">
                  <w:pPr>
                    <w:widowControl/>
                    <w:jc w:val="center"/>
                    <w:rPr>
                      <w:rFonts w:hint="default" w:ascii="Times New Roman" w:hAnsi="Times New Roman" w:eastAsia="宋体" w:cs="Times New Roman"/>
                      <w:b w:val="0"/>
                      <w:bCs/>
                      <w:color w:val="auto"/>
                      <w:sz w:val="20"/>
                      <w:szCs w:val="20"/>
                      <w:highlight w:val="none"/>
                      <w:lang w:val="en-US" w:eastAsia="zh-CN"/>
                    </w:rPr>
                  </w:pPr>
                  <w:r>
                    <w:rPr>
                      <w:rFonts w:hint="eastAsia" w:ascii="Times New Roman" w:hAnsi="Times New Roman" w:eastAsia="宋体" w:cs="Times New Roman"/>
                      <w:b w:val="0"/>
                      <w:bCs/>
                      <w:color w:val="auto"/>
                      <w:sz w:val="20"/>
                      <w:szCs w:val="20"/>
                      <w:highlight w:val="none"/>
                      <w:lang w:val="en-US" w:eastAsia="zh-CN"/>
                    </w:rPr>
                    <w:t>20</w:t>
                  </w:r>
                </w:p>
              </w:tc>
              <w:tc>
                <w:tcPr>
                  <w:tcW w:w="518" w:type="dxa"/>
                  <w:vMerge w:val="restart"/>
                  <w:tcBorders>
                    <w:top w:val="single" w:color="000000" w:sz="4" w:space="0"/>
                    <w:left w:val="single" w:color="000000" w:sz="4" w:space="0"/>
                    <w:bottom w:val="single" w:color="000000" w:sz="4" w:space="0"/>
                    <w:right w:val="single" w:color="000000" w:sz="4" w:space="0"/>
                  </w:tcBorders>
                  <w:vAlign w:val="center"/>
                </w:tcPr>
                <w:p w14:paraId="36FB7606">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生活垃圾收集措施</w:t>
                  </w:r>
                </w:p>
              </w:tc>
              <w:tc>
                <w:tcPr>
                  <w:tcW w:w="1168" w:type="dxa"/>
                  <w:tcBorders>
                    <w:top w:val="single" w:color="000000" w:sz="4" w:space="0"/>
                    <w:left w:val="single" w:color="000000" w:sz="4" w:space="0"/>
                    <w:bottom w:val="single" w:color="000000" w:sz="4" w:space="0"/>
                    <w:right w:val="single" w:color="000000" w:sz="4" w:space="0"/>
                  </w:tcBorders>
                  <w:vAlign w:val="center"/>
                </w:tcPr>
                <w:p w14:paraId="3C55E64B">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餐厨废弃物</w:t>
                  </w:r>
                </w:p>
              </w:tc>
              <w:tc>
                <w:tcPr>
                  <w:tcW w:w="735" w:type="dxa"/>
                  <w:tcBorders>
                    <w:top w:val="single" w:color="000000" w:sz="4" w:space="0"/>
                    <w:left w:val="single" w:color="000000" w:sz="4" w:space="0"/>
                    <w:bottom w:val="single" w:color="000000" w:sz="4" w:space="0"/>
                    <w:right w:val="single" w:color="000000" w:sz="4" w:space="0"/>
                  </w:tcBorders>
                  <w:vAlign w:val="center"/>
                </w:tcPr>
                <w:p w14:paraId="0C61F90F">
                  <w:pPr>
                    <w:widowControl/>
                    <w:jc w:val="center"/>
                    <w:rPr>
                      <w:rFonts w:hint="default" w:ascii="Times New Roman" w:hAnsi="Times New Roman" w:eastAsia="宋体" w:cs="Times New Roman"/>
                      <w:b w:val="0"/>
                      <w:bCs/>
                      <w:color w:val="auto"/>
                      <w:sz w:val="20"/>
                      <w:szCs w:val="20"/>
                      <w:highlight w:val="none"/>
                      <w:lang w:val="en-US"/>
                    </w:rPr>
                  </w:pPr>
                  <w:r>
                    <w:rPr>
                      <w:rFonts w:hint="default" w:ascii="Times New Roman" w:hAnsi="Times New Roman" w:eastAsia="宋体" w:cs="Times New Roman"/>
                      <w:b w:val="0"/>
                      <w:bCs/>
                      <w:color w:val="auto"/>
                      <w:sz w:val="20"/>
                      <w:szCs w:val="20"/>
                      <w:highlight w:val="none"/>
                      <w:lang w:val="en-US" w:eastAsia="zh-CN"/>
                    </w:rPr>
                    <w:t>SW</w:t>
                  </w:r>
                  <w:r>
                    <w:rPr>
                      <w:rFonts w:hint="eastAsia" w:ascii="Times New Roman" w:hAnsi="Times New Roman" w:eastAsia="宋体" w:cs="Times New Roman"/>
                      <w:b w:val="0"/>
                      <w:bCs/>
                      <w:color w:val="auto"/>
                      <w:sz w:val="20"/>
                      <w:szCs w:val="20"/>
                      <w:highlight w:val="none"/>
                      <w:lang w:val="en-US" w:eastAsia="zh-CN"/>
                    </w:rPr>
                    <w:t>61</w:t>
                  </w:r>
                </w:p>
              </w:tc>
              <w:tc>
                <w:tcPr>
                  <w:tcW w:w="1185" w:type="dxa"/>
                  <w:tcBorders>
                    <w:top w:val="single" w:color="000000" w:sz="4" w:space="0"/>
                    <w:left w:val="single" w:color="000000" w:sz="4" w:space="0"/>
                    <w:bottom w:val="single" w:color="000000" w:sz="4" w:space="0"/>
                    <w:right w:val="single" w:color="000000" w:sz="4" w:space="0"/>
                  </w:tcBorders>
                  <w:vAlign w:val="center"/>
                </w:tcPr>
                <w:p w14:paraId="170B295B">
                  <w:pPr>
                    <w:widowControl/>
                    <w:jc w:val="center"/>
                    <w:rPr>
                      <w:rFonts w:hint="default" w:ascii="Times New Roman" w:hAnsi="Times New Roman" w:eastAsia="宋体" w:cs="Times New Roman"/>
                      <w:b w:val="0"/>
                      <w:bCs/>
                      <w:color w:val="auto"/>
                      <w:sz w:val="20"/>
                      <w:szCs w:val="20"/>
                      <w:highlight w:val="none"/>
                      <w:lang w:val="en-US"/>
                    </w:rPr>
                  </w:pPr>
                  <w:r>
                    <w:rPr>
                      <w:rFonts w:hint="default" w:ascii="Times New Roman" w:hAnsi="Times New Roman" w:eastAsia="宋体" w:cs="Times New Roman"/>
                      <w:b w:val="0"/>
                      <w:bCs/>
                      <w:color w:val="auto"/>
                      <w:sz w:val="20"/>
                      <w:szCs w:val="20"/>
                      <w:highlight w:val="none"/>
                      <w:lang w:val="en-US" w:eastAsia="zh-CN"/>
                    </w:rPr>
                    <w:t>900-00</w:t>
                  </w:r>
                  <w:r>
                    <w:rPr>
                      <w:rFonts w:hint="eastAsia" w:ascii="Times New Roman" w:hAnsi="Times New Roman" w:eastAsia="宋体" w:cs="Times New Roman"/>
                      <w:b w:val="0"/>
                      <w:bCs/>
                      <w:color w:val="auto"/>
                      <w:sz w:val="20"/>
                      <w:szCs w:val="20"/>
                      <w:highlight w:val="none"/>
                      <w:lang w:val="en-US" w:eastAsia="zh-CN"/>
                    </w:rPr>
                    <w:t>2</w:t>
                  </w:r>
                  <w:r>
                    <w:rPr>
                      <w:rFonts w:hint="default" w:ascii="Times New Roman" w:hAnsi="Times New Roman" w:eastAsia="宋体" w:cs="Times New Roman"/>
                      <w:b w:val="0"/>
                      <w:bCs/>
                      <w:color w:val="auto"/>
                      <w:sz w:val="20"/>
                      <w:szCs w:val="20"/>
                      <w:highlight w:val="none"/>
                      <w:lang w:val="en-US" w:eastAsia="zh-CN"/>
                    </w:rPr>
                    <w:t>-S</w:t>
                  </w:r>
                  <w:r>
                    <w:rPr>
                      <w:rFonts w:hint="eastAsia" w:ascii="Times New Roman" w:hAnsi="Times New Roman" w:eastAsia="宋体" w:cs="Times New Roman"/>
                      <w:b w:val="0"/>
                      <w:bCs/>
                      <w:color w:val="auto"/>
                      <w:sz w:val="20"/>
                      <w:szCs w:val="20"/>
                      <w:highlight w:val="none"/>
                      <w:lang w:val="en-US" w:eastAsia="zh-CN"/>
                    </w:rPr>
                    <w:t>61</w:t>
                  </w:r>
                </w:p>
              </w:tc>
              <w:tc>
                <w:tcPr>
                  <w:tcW w:w="585" w:type="dxa"/>
                  <w:vMerge w:val="restart"/>
                  <w:tcBorders>
                    <w:top w:val="single" w:color="000000" w:sz="4" w:space="0"/>
                    <w:left w:val="single" w:color="000000" w:sz="4" w:space="0"/>
                    <w:bottom w:val="single" w:color="000000" w:sz="4" w:space="0"/>
                    <w:right w:val="single" w:color="000000" w:sz="4" w:space="0"/>
                  </w:tcBorders>
                  <w:vAlign w:val="center"/>
                </w:tcPr>
                <w:p w14:paraId="1C546D3C">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厂区</w:t>
                  </w:r>
                </w:p>
              </w:tc>
              <w:tc>
                <w:tcPr>
                  <w:tcW w:w="840" w:type="dxa"/>
                  <w:vMerge w:val="restart"/>
                  <w:tcBorders>
                    <w:top w:val="single" w:color="000000" w:sz="4" w:space="0"/>
                    <w:left w:val="single" w:color="000000" w:sz="4" w:space="0"/>
                    <w:bottom w:val="single" w:color="000000" w:sz="4" w:space="0"/>
                    <w:right w:val="single" w:color="000000" w:sz="4" w:space="0"/>
                  </w:tcBorders>
                  <w:vAlign w:val="center"/>
                </w:tcPr>
                <w:p w14:paraId="5884C0B0">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w:t>
                  </w:r>
                </w:p>
              </w:tc>
              <w:tc>
                <w:tcPr>
                  <w:tcW w:w="810" w:type="dxa"/>
                  <w:tcBorders>
                    <w:top w:val="single" w:color="000000" w:sz="4" w:space="0"/>
                    <w:left w:val="single" w:color="000000" w:sz="4" w:space="0"/>
                    <w:bottom w:val="single" w:color="000000" w:sz="4" w:space="0"/>
                    <w:right w:val="single" w:color="000000" w:sz="4" w:space="0"/>
                  </w:tcBorders>
                  <w:vAlign w:val="center"/>
                </w:tcPr>
                <w:p w14:paraId="5385E0DB">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48</w:t>
                  </w:r>
                </w:p>
              </w:tc>
              <w:tc>
                <w:tcPr>
                  <w:tcW w:w="2325" w:type="dxa"/>
                  <w:vMerge w:val="restart"/>
                  <w:tcBorders>
                    <w:top w:val="single" w:color="000000" w:sz="4" w:space="0"/>
                    <w:left w:val="single" w:color="000000" w:sz="4" w:space="0"/>
                    <w:bottom w:val="single" w:color="000000" w:sz="4" w:space="0"/>
                    <w:right w:val="nil"/>
                  </w:tcBorders>
                  <w:vAlign w:val="center"/>
                </w:tcPr>
                <w:p w14:paraId="4243E4D2">
                  <w:pPr>
                    <w:widowControl/>
                    <w:jc w:val="center"/>
                    <w:rPr>
                      <w:rFonts w:hint="default" w:ascii="Times New Roman" w:hAnsi="Times New Roman" w:eastAsia="宋体" w:cs="Times New Roman"/>
                      <w:b w:val="0"/>
                      <w:bCs/>
                      <w:color w:val="auto"/>
                      <w:sz w:val="18"/>
                      <w:szCs w:val="20"/>
                      <w:highlight w:val="none"/>
                      <w:lang w:val="en-US" w:eastAsia="zh-CN"/>
                    </w:rPr>
                  </w:pPr>
                  <w:r>
                    <w:rPr>
                      <w:rFonts w:hint="eastAsia" w:ascii="Times New Roman" w:hAnsi="Times New Roman" w:eastAsia="宋体"/>
                      <w:color w:val="auto"/>
                      <w:sz w:val="18"/>
                      <w:highlight w:val="none"/>
                      <w:lang w:val="en-US" w:eastAsia="zh-CN"/>
                    </w:rPr>
                    <w:t>交由专业单位处置</w:t>
                  </w:r>
                </w:p>
              </w:tc>
            </w:tr>
            <w:tr w14:paraId="1C626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73" w:type="dxa"/>
                  <w:tcBorders>
                    <w:top w:val="single" w:color="000000" w:sz="4" w:space="0"/>
                    <w:left w:val="nil"/>
                    <w:bottom w:val="single" w:color="000000" w:sz="4" w:space="0"/>
                    <w:right w:val="single" w:color="000000" w:sz="4" w:space="0"/>
                  </w:tcBorders>
                  <w:vAlign w:val="center"/>
                </w:tcPr>
                <w:p w14:paraId="5008D486">
                  <w:pPr>
                    <w:widowControl/>
                    <w:jc w:val="center"/>
                    <w:rPr>
                      <w:rFonts w:hint="default" w:ascii="Times New Roman" w:hAnsi="Times New Roman" w:eastAsia="宋体" w:cs="Times New Roman"/>
                      <w:b w:val="0"/>
                      <w:bCs/>
                      <w:color w:val="auto"/>
                      <w:sz w:val="20"/>
                      <w:szCs w:val="20"/>
                      <w:highlight w:val="none"/>
                      <w:lang w:val="en-US" w:eastAsia="zh-CN"/>
                    </w:rPr>
                  </w:pPr>
                  <w:r>
                    <w:rPr>
                      <w:rFonts w:hint="eastAsia" w:ascii="Times New Roman" w:hAnsi="Times New Roman" w:eastAsia="宋体" w:cs="Times New Roman"/>
                      <w:b w:val="0"/>
                      <w:bCs/>
                      <w:color w:val="auto"/>
                      <w:sz w:val="20"/>
                      <w:szCs w:val="20"/>
                      <w:highlight w:val="none"/>
                      <w:lang w:val="en-US" w:eastAsia="zh-CN"/>
                    </w:rPr>
                    <w:t>21</w:t>
                  </w:r>
                </w:p>
              </w:tc>
              <w:tc>
                <w:tcPr>
                  <w:tcW w:w="518" w:type="dxa"/>
                  <w:vMerge w:val="continue"/>
                  <w:tcBorders>
                    <w:top w:val="single" w:color="000000" w:sz="4" w:space="0"/>
                    <w:left w:val="single" w:color="000000" w:sz="4" w:space="0"/>
                    <w:bottom w:val="single" w:color="000000" w:sz="4" w:space="0"/>
                    <w:right w:val="single" w:color="000000" w:sz="4" w:space="0"/>
                  </w:tcBorders>
                  <w:vAlign w:val="center"/>
                </w:tcPr>
                <w:p w14:paraId="6EC798B6">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4" w:space="0"/>
                    <w:right w:val="single" w:color="000000" w:sz="4" w:space="0"/>
                  </w:tcBorders>
                  <w:vAlign w:val="center"/>
                </w:tcPr>
                <w:p w14:paraId="3A7CFBAD">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废动植物油</w:t>
                  </w:r>
                </w:p>
              </w:tc>
              <w:tc>
                <w:tcPr>
                  <w:tcW w:w="735" w:type="dxa"/>
                  <w:tcBorders>
                    <w:top w:val="single" w:color="000000" w:sz="4" w:space="0"/>
                    <w:left w:val="single" w:color="000000" w:sz="4" w:space="0"/>
                    <w:bottom w:val="single" w:color="000000" w:sz="4" w:space="0"/>
                    <w:right w:val="single" w:color="000000" w:sz="4" w:space="0"/>
                  </w:tcBorders>
                  <w:vAlign w:val="center"/>
                </w:tcPr>
                <w:p w14:paraId="3EF6D480">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SW</w:t>
                  </w:r>
                  <w:r>
                    <w:rPr>
                      <w:rFonts w:hint="eastAsia" w:ascii="Times New Roman" w:hAnsi="Times New Roman" w:eastAsia="宋体" w:cs="Times New Roman"/>
                      <w:b w:val="0"/>
                      <w:bCs/>
                      <w:color w:val="auto"/>
                      <w:sz w:val="20"/>
                      <w:szCs w:val="20"/>
                      <w:highlight w:val="none"/>
                      <w:lang w:val="en-US" w:eastAsia="zh-CN"/>
                    </w:rPr>
                    <w:t>61</w:t>
                  </w:r>
                </w:p>
              </w:tc>
              <w:tc>
                <w:tcPr>
                  <w:tcW w:w="1185" w:type="dxa"/>
                  <w:tcBorders>
                    <w:top w:val="single" w:color="000000" w:sz="4" w:space="0"/>
                    <w:left w:val="single" w:color="000000" w:sz="4" w:space="0"/>
                    <w:bottom w:val="single" w:color="000000" w:sz="4" w:space="0"/>
                    <w:right w:val="single" w:color="000000" w:sz="4" w:space="0"/>
                  </w:tcBorders>
                  <w:vAlign w:val="center"/>
                </w:tcPr>
                <w:p w14:paraId="3BC663CF">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lang w:val="en-US" w:eastAsia="zh-CN"/>
                    </w:rPr>
                    <w:t>900-00</w:t>
                  </w:r>
                  <w:r>
                    <w:rPr>
                      <w:rFonts w:hint="eastAsia" w:ascii="Times New Roman" w:hAnsi="Times New Roman" w:eastAsia="宋体" w:cs="Times New Roman"/>
                      <w:b w:val="0"/>
                      <w:bCs/>
                      <w:color w:val="auto"/>
                      <w:sz w:val="20"/>
                      <w:szCs w:val="20"/>
                      <w:highlight w:val="none"/>
                      <w:lang w:val="en-US" w:eastAsia="zh-CN"/>
                    </w:rPr>
                    <w:t>2</w:t>
                  </w:r>
                  <w:r>
                    <w:rPr>
                      <w:rFonts w:hint="default" w:ascii="Times New Roman" w:hAnsi="Times New Roman" w:eastAsia="宋体" w:cs="Times New Roman"/>
                      <w:b w:val="0"/>
                      <w:bCs/>
                      <w:color w:val="auto"/>
                      <w:sz w:val="20"/>
                      <w:szCs w:val="20"/>
                      <w:highlight w:val="none"/>
                      <w:lang w:val="en-US" w:eastAsia="zh-CN"/>
                    </w:rPr>
                    <w:t>-S</w:t>
                  </w:r>
                  <w:r>
                    <w:rPr>
                      <w:rFonts w:hint="eastAsia" w:ascii="Times New Roman" w:hAnsi="Times New Roman" w:eastAsia="宋体" w:cs="Times New Roman"/>
                      <w:b w:val="0"/>
                      <w:bCs/>
                      <w:color w:val="auto"/>
                      <w:sz w:val="20"/>
                      <w:szCs w:val="20"/>
                      <w:highlight w:val="none"/>
                      <w:lang w:val="en-US" w:eastAsia="zh-CN"/>
                    </w:rPr>
                    <w:t>61</w:t>
                  </w:r>
                </w:p>
              </w:tc>
              <w:tc>
                <w:tcPr>
                  <w:tcW w:w="585" w:type="dxa"/>
                  <w:vMerge w:val="continue"/>
                  <w:tcBorders>
                    <w:top w:val="single" w:color="000000" w:sz="4" w:space="0"/>
                    <w:left w:val="single" w:color="000000" w:sz="4" w:space="0"/>
                    <w:bottom w:val="single" w:color="000000" w:sz="4" w:space="0"/>
                    <w:right w:val="single" w:color="000000" w:sz="4" w:space="0"/>
                  </w:tcBorders>
                  <w:vAlign w:val="center"/>
                </w:tcPr>
                <w:p w14:paraId="0E424D60">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4" w:space="0"/>
                    <w:right w:val="single" w:color="000000" w:sz="4" w:space="0"/>
                  </w:tcBorders>
                  <w:vAlign w:val="center"/>
                </w:tcPr>
                <w:p w14:paraId="0C0D2C15">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6FDD547E">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1.548</w:t>
                  </w:r>
                </w:p>
              </w:tc>
              <w:tc>
                <w:tcPr>
                  <w:tcW w:w="2325" w:type="dxa"/>
                  <w:vMerge w:val="continue"/>
                  <w:tcBorders>
                    <w:top w:val="single" w:color="000000" w:sz="4" w:space="0"/>
                    <w:left w:val="single" w:color="000000" w:sz="4" w:space="0"/>
                    <w:bottom w:val="single" w:color="000000" w:sz="4" w:space="0"/>
                    <w:right w:val="nil"/>
                  </w:tcBorders>
                  <w:vAlign w:val="center"/>
                </w:tcPr>
                <w:p w14:paraId="1B5E2C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auto"/>
                      <w:sz w:val="18"/>
                      <w:szCs w:val="22"/>
                      <w:highlight w:val="none"/>
                    </w:rPr>
                  </w:pPr>
                </w:p>
              </w:tc>
            </w:tr>
            <w:tr w14:paraId="5E92E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273" w:type="dxa"/>
                  <w:tcBorders>
                    <w:top w:val="single" w:color="000000" w:sz="4" w:space="0"/>
                    <w:left w:val="nil"/>
                    <w:bottom w:val="single" w:color="000000" w:sz="12" w:space="0"/>
                    <w:right w:val="single" w:color="000000" w:sz="4" w:space="0"/>
                  </w:tcBorders>
                  <w:vAlign w:val="center"/>
                </w:tcPr>
                <w:p w14:paraId="39AF7C7E">
                  <w:pPr>
                    <w:widowControl/>
                    <w:jc w:val="center"/>
                    <w:rPr>
                      <w:rFonts w:hint="default" w:ascii="Times New Roman" w:hAnsi="Times New Roman" w:eastAsia="宋体" w:cs="Times New Roman"/>
                      <w:b w:val="0"/>
                      <w:bCs/>
                      <w:color w:val="auto"/>
                      <w:sz w:val="20"/>
                      <w:szCs w:val="20"/>
                      <w:highlight w:val="none"/>
                      <w:lang w:val="en-US" w:eastAsia="zh-CN"/>
                    </w:rPr>
                  </w:pPr>
                  <w:r>
                    <w:rPr>
                      <w:rFonts w:hint="eastAsia" w:ascii="Times New Roman" w:hAnsi="Times New Roman" w:eastAsia="宋体" w:cs="Times New Roman"/>
                      <w:b w:val="0"/>
                      <w:bCs/>
                      <w:color w:val="auto"/>
                      <w:sz w:val="20"/>
                      <w:szCs w:val="20"/>
                      <w:highlight w:val="none"/>
                      <w:lang w:val="en-US" w:eastAsia="zh-CN"/>
                    </w:rPr>
                    <w:t>22</w:t>
                  </w:r>
                </w:p>
              </w:tc>
              <w:tc>
                <w:tcPr>
                  <w:tcW w:w="518" w:type="dxa"/>
                  <w:vMerge w:val="continue"/>
                  <w:tcBorders>
                    <w:top w:val="single" w:color="000000" w:sz="4" w:space="0"/>
                    <w:left w:val="single" w:color="000000" w:sz="4" w:space="0"/>
                    <w:bottom w:val="single" w:color="000000" w:sz="12" w:space="0"/>
                    <w:right w:val="single" w:color="000000" w:sz="4" w:space="0"/>
                  </w:tcBorders>
                  <w:vAlign w:val="center"/>
                </w:tcPr>
                <w:p w14:paraId="11BC40F4">
                  <w:pPr>
                    <w:widowControl/>
                    <w:jc w:val="center"/>
                    <w:rPr>
                      <w:rFonts w:hint="default" w:ascii="Times New Roman" w:hAnsi="Times New Roman" w:eastAsia="宋体" w:cs="Times New Roman"/>
                      <w:b w:val="0"/>
                      <w:bCs/>
                      <w:color w:val="auto"/>
                      <w:sz w:val="20"/>
                      <w:szCs w:val="20"/>
                      <w:highlight w:val="none"/>
                    </w:rPr>
                  </w:pPr>
                </w:p>
              </w:tc>
              <w:tc>
                <w:tcPr>
                  <w:tcW w:w="1168" w:type="dxa"/>
                  <w:tcBorders>
                    <w:top w:val="single" w:color="000000" w:sz="4" w:space="0"/>
                    <w:left w:val="single" w:color="000000" w:sz="4" w:space="0"/>
                    <w:bottom w:val="single" w:color="000000" w:sz="12" w:space="0"/>
                    <w:right w:val="single" w:color="000000" w:sz="4" w:space="0"/>
                  </w:tcBorders>
                  <w:vAlign w:val="center"/>
                </w:tcPr>
                <w:p w14:paraId="68765195">
                  <w:pPr>
                    <w:widowControl/>
                    <w:jc w:val="center"/>
                    <w:rPr>
                      <w:rFonts w:hint="default" w:ascii="Times New Roman" w:hAnsi="Times New Roman" w:eastAsia="宋体" w:cs="Times New Roman"/>
                      <w:b w:val="0"/>
                      <w:bCs/>
                      <w:color w:val="auto"/>
                      <w:sz w:val="20"/>
                      <w:szCs w:val="20"/>
                      <w:highlight w:val="none"/>
                    </w:rPr>
                  </w:pPr>
                  <w:r>
                    <w:rPr>
                      <w:rFonts w:hint="default" w:ascii="Times New Roman" w:hAnsi="Times New Roman" w:eastAsia="宋体" w:cs="Times New Roman"/>
                      <w:b w:val="0"/>
                      <w:bCs/>
                      <w:color w:val="auto"/>
                      <w:sz w:val="20"/>
                      <w:szCs w:val="20"/>
                      <w:highlight w:val="none"/>
                    </w:rPr>
                    <w:t>生活垃圾</w:t>
                  </w:r>
                </w:p>
              </w:tc>
              <w:tc>
                <w:tcPr>
                  <w:tcW w:w="735" w:type="dxa"/>
                  <w:tcBorders>
                    <w:top w:val="single" w:color="000000" w:sz="4" w:space="0"/>
                    <w:left w:val="single" w:color="000000" w:sz="4" w:space="0"/>
                    <w:bottom w:val="single" w:color="000000" w:sz="12" w:space="0"/>
                    <w:right w:val="single" w:color="000000" w:sz="4" w:space="0"/>
                  </w:tcBorders>
                  <w:vAlign w:val="center"/>
                </w:tcPr>
                <w:p w14:paraId="240488D7">
                  <w:pPr>
                    <w:widowControl/>
                    <w:jc w:val="center"/>
                    <w:rPr>
                      <w:rFonts w:hint="default" w:ascii="Times New Roman" w:hAnsi="Times New Roman" w:eastAsia="宋体" w:cs="Times New Roman"/>
                      <w:b w:val="0"/>
                      <w:bCs/>
                      <w:color w:val="auto"/>
                      <w:sz w:val="20"/>
                      <w:szCs w:val="20"/>
                      <w:highlight w:val="none"/>
                      <w:lang w:val="en-US" w:eastAsia="zh-CN"/>
                    </w:rPr>
                  </w:pPr>
                  <w:r>
                    <w:rPr>
                      <w:rFonts w:hint="eastAsia" w:ascii="Times New Roman" w:hAnsi="Times New Roman" w:eastAsia="宋体" w:cs="Times New Roman"/>
                      <w:b w:val="0"/>
                      <w:bCs/>
                      <w:color w:val="auto"/>
                      <w:sz w:val="20"/>
                      <w:szCs w:val="20"/>
                      <w:highlight w:val="none"/>
                      <w:lang w:val="en-US" w:eastAsia="zh-CN"/>
                    </w:rPr>
                    <w:t>SW64</w:t>
                  </w:r>
                </w:p>
              </w:tc>
              <w:tc>
                <w:tcPr>
                  <w:tcW w:w="1185" w:type="dxa"/>
                  <w:tcBorders>
                    <w:top w:val="single" w:color="000000" w:sz="4" w:space="0"/>
                    <w:left w:val="single" w:color="000000" w:sz="4" w:space="0"/>
                    <w:bottom w:val="single" w:color="000000" w:sz="12" w:space="0"/>
                    <w:right w:val="single" w:color="000000" w:sz="4" w:space="0"/>
                  </w:tcBorders>
                  <w:vAlign w:val="center"/>
                </w:tcPr>
                <w:p w14:paraId="4759366D">
                  <w:pPr>
                    <w:widowControl/>
                    <w:jc w:val="center"/>
                    <w:rPr>
                      <w:rFonts w:hint="default" w:ascii="Times New Roman" w:hAnsi="Times New Roman" w:eastAsia="宋体" w:cs="Times New Roman"/>
                      <w:b w:val="0"/>
                      <w:bCs/>
                      <w:color w:val="auto"/>
                      <w:sz w:val="20"/>
                      <w:szCs w:val="20"/>
                      <w:highlight w:val="none"/>
                      <w:lang w:val="en-US" w:eastAsia="zh-CN"/>
                    </w:rPr>
                  </w:pPr>
                  <w:r>
                    <w:rPr>
                      <w:rFonts w:hint="default" w:ascii="Times New Roman" w:hAnsi="Times New Roman" w:eastAsia="宋体" w:cs="Times New Roman"/>
                      <w:b w:val="0"/>
                      <w:bCs/>
                      <w:color w:val="auto"/>
                      <w:sz w:val="20"/>
                      <w:szCs w:val="20"/>
                      <w:highlight w:val="none"/>
                      <w:lang w:val="en-US" w:eastAsia="zh-CN"/>
                    </w:rPr>
                    <w:t>900-</w:t>
                  </w:r>
                  <w:r>
                    <w:rPr>
                      <w:rFonts w:hint="eastAsia" w:ascii="Times New Roman" w:hAnsi="Times New Roman" w:eastAsia="宋体" w:cs="Times New Roman"/>
                      <w:b w:val="0"/>
                      <w:bCs/>
                      <w:color w:val="auto"/>
                      <w:sz w:val="20"/>
                      <w:szCs w:val="20"/>
                      <w:highlight w:val="none"/>
                      <w:lang w:val="en-US" w:eastAsia="zh-CN"/>
                    </w:rPr>
                    <w:t>099</w:t>
                  </w:r>
                  <w:r>
                    <w:rPr>
                      <w:rFonts w:hint="default" w:ascii="Times New Roman" w:hAnsi="Times New Roman" w:eastAsia="宋体" w:cs="Times New Roman"/>
                      <w:b w:val="0"/>
                      <w:bCs/>
                      <w:color w:val="auto"/>
                      <w:sz w:val="20"/>
                      <w:szCs w:val="20"/>
                      <w:highlight w:val="none"/>
                      <w:lang w:val="en-US" w:eastAsia="zh-CN"/>
                    </w:rPr>
                    <w:t>-</w:t>
                  </w:r>
                  <w:r>
                    <w:rPr>
                      <w:rFonts w:hint="eastAsia" w:ascii="Times New Roman" w:hAnsi="Times New Roman" w:eastAsia="宋体" w:cs="Times New Roman"/>
                      <w:b w:val="0"/>
                      <w:bCs/>
                      <w:color w:val="auto"/>
                      <w:sz w:val="20"/>
                      <w:szCs w:val="20"/>
                      <w:highlight w:val="none"/>
                      <w:lang w:val="en-US" w:eastAsia="zh-CN"/>
                    </w:rPr>
                    <w:t>S64</w:t>
                  </w:r>
                </w:p>
              </w:tc>
              <w:tc>
                <w:tcPr>
                  <w:tcW w:w="585" w:type="dxa"/>
                  <w:vMerge w:val="continue"/>
                  <w:tcBorders>
                    <w:top w:val="single" w:color="000000" w:sz="4" w:space="0"/>
                    <w:left w:val="single" w:color="000000" w:sz="4" w:space="0"/>
                    <w:bottom w:val="single" w:color="000000" w:sz="12" w:space="0"/>
                    <w:right w:val="single" w:color="000000" w:sz="4" w:space="0"/>
                  </w:tcBorders>
                  <w:vAlign w:val="center"/>
                </w:tcPr>
                <w:p w14:paraId="6EF55FAD">
                  <w:pPr>
                    <w:widowControl/>
                    <w:jc w:val="center"/>
                    <w:rPr>
                      <w:rFonts w:hint="default" w:ascii="Times New Roman" w:hAnsi="Times New Roman" w:eastAsia="宋体" w:cs="Times New Roman"/>
                      <w:b w:val="0"/>
                      <w:bCs/>
                      <w:color w:val="auto"/>
                      <w:sz w:val="20"/>
                      <w:szCs w:val="20"/>
                      <w:highlight w:val="none"/>
                    </w:rPr>
                  </w:pPr>
                </w:p>
              </w:tc>
              <w:tc>
                <w:tcPr>
                  <w:tcW w:w="840" w:type="dxa"/>
                  <w:vMerge w:val="continue"/>
                  <w:tcBorders>
                    <w:top w:val="single" w:color="000000" w:sz="4" w:space="0"/>
                    <w:left w:val="single" w:color="000000" w:sz="4" w:space="0"/>
                    <w:bottom w:val="single" w:color="000000" w:sz="12" w:space="0"/>
                    <w:right w:val="single" w:color="000000" w:sz="4" w:space="0"/>
                  </w:tcBorders>
                  <w:vAlign w:val="center"/>
                </w:tcPr>
                <w:p w14:paraId="7290D68E">
                  <w:pPr>
                    <w:widowControl/>
                    <w:jc w:val="center"/>
                    <w:rPr>
                      <w:rFonts w:hint="default" w:ascii="Times New Roman" w:hAnsi="Times New Roman" w:eastAsia="宋体" w:cs="Times New Roman"/>
                      <w:b w:val="0"/>
                      <w:bCs/>
                      <w:color w:val="auto"/>
                      <w:sz w:val="20"/>
                      <w:szCs w:val="20"/>
                      <w:highlight w:val="none"/>
                    </w:rPr>
                  </w:pPr>
                </w:p>
              </w:tc>
              <w:tc>
                <w:tcPr>
                  <w:tcW w:w="810" w:type="dxa"/>
                  <w:tcBorders>
                    <w:top w:val="single" w:color="000000" w:sz="4" w:space="0"/>
                    <w:left w:val="single" w:color="000000" w:sz="4" w:space="0"/>
                    <w:bottom w:val="single" w:color="000000" w:sz="12" w:space="0"/>
                    <w:right w:val="single" w:color="000000" w:sz="4" w:space="0"/>
                  </w:tcBorders>
                  <w:vAlign w:val="center"/>
                </w:tcPr>
                <w:p w14:paraId="207C7C82">
                  <w:pPr>
                    <w:widowControl/>
                    <w:jc w:val="center"/>
                    <w:rPr>
                      <w:rFonts w:hint="default" w:ascii="Times New Roman" w:hAnsi="Times New Roman" w:eastAsia="宋体" w:cs="Times New Roman"/>
                      <w:b w:val="0"/>
                      <w:bCs/>
                      <w:color w:val="auto"/>
                      <w:kern w:val="2"/>
                      <w:sz w:val="20"/>
                      <w:szCs w:val="20"/>
                      <w:highlight w:val="none"/>
                      <w:lang w:val="en-US" w:eastAsia="zh-CN" w:bidi="ar-SA"/>
                    </w:rPr>
                  </w:pPr>
                  <w:r>
                    <w:rPr>
                      <w:rFonts w:hint="default" w:ascii="Times New Roman" w:hAnsi="Times New Roman" w:eastAsia="宋体" w:cs="Times New Roman"/>
                      <w:b w:val="0"/>
                      <w:bCs/>
                      <w:color w:val="auto"/>
                      <w:sz w:val="20"/>
                      <w:szCs w:val="20"/>
                      <w:highlight w:val="none"/>
                    </w:rPr>
                    <w:t>12</w:t>
                  </w:r>
                </w:p>
              </w:tc>
              <w:tc>
                <w:tcPr>
                  <w:tcW w:w="2325" w:type="dxa"/>
                  <w:tcBorders>
                    <w:top w:val="single" w:color="000000" w:sz="4" w:space="0"/>
                    <w:left w:val="single" w:color="000000" w:sz="4" w:space="0"/>
                    <w:bottom w:val="single" w:color="000000" w:sz="12" w:space="0"/>
                    <w:right w:val="nil"/>
                  </w:tcBorders>
                  <w:vAlign w:val="center"/>
                </w:tcPr>
                <w:p w14:paraId="444A93C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auto"/>
                      <w:sz w:val="18"/>
                      <w:szCs w:val="22"/>
                      <w:highlight w:val="none"/>
                    </w:rPr>
                  </w:pPr>
                  <w:r>
                    <w:rPr>
                      <w:rFonts w:hint="eastAsia" w:ascii="Times New Roman" w:hAnsi="Times New Roman" w:eastAsia="宋体" w:cs="Times New Roman"/>
                      <w:b w:val="0"/>
                      <w:bCs/>
                      <w:color w:val="auto"/>
                      <w:sz w:val="18"/>
                      <w:szCs w:val="20"/>
                      <w:highlight w:val="none"/>
                      <w:lang w:val="en-US" w:eastAsia="zh-CN"/>
                    </w:rPr>
                    <w:t>由</w:t>
                  </w:r>
                  <w:r>
                    <w:rPr>
                      <w:rFonts w:hint="default" w:ascii="Times New Roman" w:hAnsi="Times New Roman" w:eastAsia="宋体" w:cs="Times New Roman"/>
                      <w:b w:val="0"/>
                      <w:bCs/>
                      <w:color w:val="auto"/>
                      <w:sz w:val="18"/>
                      <w:szCs w:val="20"/>
                      <w:highlight w:val="none"/>
                    </w:rPr>
                    <w:t>当地环卫部门负责清运</w:t>
                  </w:r>
                </w:p>
              </w:tc>
            </w:tr>
          </w:tbl>
          <w:p w14:paraId="444CB4FF">
            <w:pPr>
              <w:pStyle w:val="15"/>
              <w:keepNext w:val="0"/>
              <w:keepLines w:val="0"/>
              <w:widowControl/>
              <w:suppressLineNumbers w:val="0"/>
              <w:spacing w:before="0" w:beforeAutospacing="0" w:after="0" w:afterAutospacing="0" w:line="360" w:lineRule="auto"/>
              <w:ind w:left="0" w:leftChars="0" w:right="0" w:firstLine="422" w:firstLineChars="200"/>
              <w:rPr>
                <w:rStyle w:val="29"/>
                <w:rFonts w:hint="eastAsia" w:cs="Times New Roman"/>
                <w:b/>
                <w:bCs/>
                <w:color w:val="auto"/>
                <w:sz w:val="21"/>
                <w:szCs w:val="21"/>
                <w:highlight w:val="none"/>
                <w:lang w:val="en-US" w:eastAsia="zh-CN"/>
              </w:rPr>
            </w:pPr>
            <w:r>
              <w:rPr>
                <w:rStyle w:val="29"/>
                <w:rFonts w:hint="eastAsia" w:cs="Times New Roman"/>
                <w:b/>
                <w:bCs/>
                <w:color w:val="auto"/>
                <w:sz w:val="21"/>
                <w:szCs w:val="21"/>
                <w:highlight w:val="none"/>
                <w:lang w:val="en-US" w:eastAsia="zh-CN"/>
              </w:rPr>
              <w:t>注：本表中废填料为喷淋塔+除雾器中使用PP填料吸附，填料每三年更换一次。</w:t>
            </w:r>
          </w:p>
          <w:p w14:paraId="1E0C0B4F">
            <w:pPr>
              <w:pStyle w:val="15"/>
              <w:keepNext w:val="0"/>
              <w:keepLines w:val="0"/>
              <w:widowControl/>
              <w:suppressLineNumbers w:val="0"/>
              <w:spacing w:before="0" w:beforeAutospacing="0" w:after="0" w:afterAutospacing="0" w:line="360" w:lineRule="auto"/>
              <w:ind w:left="0" w:leftChars="0" w:right="0" w:firstLine="480" w:firstLineChars="200"/>
              <w:rPr>
                <w:rStyle w:val="29"/>
                <w:rFonts w:hint="eastAsia" w:ascii="Times New Roman" w:hAnsi="Times New Roman" w:eastAsia="宋体" w:cs="Times New Roman"/>
                <w:b w:val="0"/>
                <w:bCs w:val="0"/>
                <w:color w:val="auto"/>
                <w:sz w:val="24"/>
                <w:szCs w:val="24"/>
                <w:highlight w:val="none"/>
                <w:lang w:val="en-US" w:eastAsia="zh-CN"/>
              </w:rPr>
            </w:pPr>
            <w:r>
              <w:rPr>
                <w:rStyle w:val="29"/>
                <w:rFonts w:hint="eastAsia" w:ascii="Times New Roman" w:hAnsi="Times New Roman" w:eastAsia="宋体" w:cs="Times New Roman"/>
                <w:b w:val="0"/>
                <w:bCs w:val="0"/>
                <w:color w:val="auto"/>
                <w:sz w:val="24"/>
                <w:szCs w:val="24"/>
                <w:highlight w:val="none"/>
                <w:lang w:val="en-US" w:eastAsia="zh-CN"/>
              </w:rPr>
              <w:t>现有项目各类</w:t>
            </w:r>
            <w:r>
              <w:rPr>
                <w:rStyle w:val="29"/>
                <w:rFonts w:hint="eastAsia" w:cs="Times New Roman"/>
                <w:b w:val="0"/>
                <w:bCs w:val="0"/>
                <w:color w:val="auto"/>
                <w:sz w:val="24"/>
                <w:szCs w:val="24"/>
                <w:highlight w:val="none"/>
                <w:lang w:val="en-US" w:eastAsia="zh-CN"/>
              </w:rPr>
              <w:t>固体废物</w:t>
            </w:r>
            <w:r>
              <w:rPr>
                <w:rStyle w:val="29"/>
                <w:rFonts w:hint="eastAsia" w:ascii="Times New Roman" w:hAnsi="Times New Roman" w:eastAsia="宋体" w:cs="Times New Roman"/>
                <w:b w:val="0"/>
                <w:bCs w:val="0"/>
                <w:color w:val="auto"/>
                <w:sz w:val="24"/>
                <w:szCs w:val="24"/>
                <w:highlight w:val="none"/>
                <w:lang w:val="en-US" w:eastAsia="zh-CN"/>
              </w:rPr>
              <w:t>均得到安全处置，对周围环境影响较小。</w:t>
            </w:r>
          </w:p>
          <w:p w14:paraId="2825C348">
            <w:pPr>
              <w:pStyle w:val="15"/>
              <w:keepNext w:val="0"/>
              <w:keepLines w:val="0"/>
              <w:widowControl/>
              <w:suppressLineNumbers w:val="0"/>
              <w:spacing w:before="0" w:beforeAutospacing="0" w:after="0" w:afterAutospacing="0" w:line="360" w:lineRule="auto"/>
              <w:ind w:left="0" w:leftChars="0" w:right="0" w:firstLine="482" w:firstLineChars="200"/>
              <w:rPr>
                <w:rStyle w:val="29"/>
                <w:rFonts w:hint="eastAsia" w:ascii="Times New Roman" w:hAnsi="Times New Roman" w:eastAsia="宋体" w:cs="Times New Roman"/>
                <w:b/>
                <w:bCs/>
                <w:color w:val="auto"/>
                <w:sz w:val="24"/>
                <w:szCs w:val="24"/>
                <w:highlight w:val="none"/>
                <w:lang w:val="en-US" w:eastAsia="zh-CN"/>
              </w:rPr>
            </w:pPr>
            <w:r>
              <w:rPr>
                <w:rStyle w:val="29"/>
                <w:rFonts w:hint="eastAsia" w:ascii="Times New Roman" w:hAnsi="Times New Roman" w:eastAsia="宋体" w:cs="Times New Roman"/>
                <w:b/>
                <w:bCs/>
                <w:color w:val="auto"/>
                <w:sz w:val="24"/>
                <w:szCs w:val="24"/>
                <w:highlight w:val="none"/>
                <w:lang w:val="en-US" w:eastAsia="zh-CN"/>
              </w:rPr>
              <w:t>（5）现有项目总量控制指标</w:t>
            </w:r>
          </w:p>
          <w:p w14:paraId="7E672C1A">
            <w:pPr>
              <w:pStyle w:val="15"/>
              <w:keepNext w:val="0"/>
              <w:keepLines w:val="0"/>
              <w:widowControl/>
              <w:suppressLineNumbers w:val="0"/>
              <w:spacing w:before="0" w:beforeAutospacing="0" w:after="0" w:afterAutospacing="0" w:line="360" w:lineRule="auto"/>
              <w:ind w:left="0" w:leftChars="0" w:right="0" w:firstLine="480" w:firstLineChars="200"/>
              <w:rPr>
                <w:rStyle w:val="29"/>
                <w:rFonts w:hint="eastAsia" w:ascii="Times New Roman" w:hAnsi="Times New Roman" w:eastAsia="宋体" w:cs="Times New Roman"/>
                <w:b w:val="0"/>
                <w:bCs w:val="0"/>
                <w:color w:val="auto"/>
                <w:sz w:val="24"/>
                <w:szCs w:val="24"/>
                <w:highlight w:val="none"/>
                <w:lang w:val="en-US" w:eastAsia="zh-CN"/>
              </w:rPr>
            </w:pPr>
            <w:r>
              <w:rPr>
                <w:rStyle w:val="29"/>
                <w:rFonts w:hint="eastAsia" w:ascii="Times New Roman" w:hAnsi="Times New Roman" w:eastAsia="宋体" w:cs="Times New Roman"/>
                <w:b w:val="0"/>
                <w:bCs w:val="0"/>
                <w:color w:val="auto"/>
                <w:sz w:val="24"/>
                <w:szCs w:val="24"/>
                <w:highlight w:val="none"/>
                <w:lang w:val="en-US" w:eastAsia="zh-CN"/>
              </w:rPr>
              <w:t>根据公司原有环评及《时代天使创美基地项目二阶段、年产1亿个隐形矫治器技术改造项目一阶段、年产一亿个口腔隐形正畸产品的个性化定制与柔性制造协同创新模式应用项目一阶段》竣工环境保护验收报告，全厂污染物核批总量如下：</w:t>
            </w:r>
          </w:p>
          <w:p w14:paraId="7E96AC11">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eastAsia="宋体"/>
                <w:b/>
                <w:bCs/>
                <w:color w:val="FF0000"/>
                <w:sz w:val="24"/>
                <w:highlight w:val="none"/>
              </w:rPr>
            </w:pPr>
            <w:r>
              <w:rPr>
                <w:rFonts w:hint="default" w:ascii="Times New Roman" w:hAnsi="Times New Roman" w:eastAsia="宋体" w:cs="Times New Roman"/>
                <w:b/>
                <w:bCs/>
                <w:color w:val="FF0000"/>
                <w:kern w:val="2"/>
                <w:sz w:val="24"/>
                <w:szCs w:val="24"/>
                <w:highlight w:val="none"/>
                <w:lang w:val="en-US" w:eastAsia="zh-CN" w:bidi="ar-SA"/>
              </w:rPr>
              <w:t>表2-</w:t>
            </w:r>
            <w:r>
              <w:rPr>
                <w:rFonts w:hint="eastAsia" w:cs="Times New Roman"/>
                <w:b/>
                <w:bCs/>
                <w:color w:val="FF0000"/>
                <w:kern w:val="2"/>
                <w:sz w:val="24"/>
                <w:szCs w:val="24"/>
                <w:highlight w:val="none"/>
                <w:lang w:val="en-US" w:eastAsia="zh-CN" w:bidi="ar-SA"/>
              </w:rPr>
              <w:t>19</w:t>
            </w:r>
            <w:r>
              <w:rPr>
                <w:rFonts w:hint="eastAsia" w:ascii="Times New Roman" w:hAnsi="Times New Roman" w:eastAsia="宋体" w:cs="Times New Roman"/>
                <w:b/>
                <w:bCs/>
                <w:color w:val="FF0000"/>
                <w:kern w:val="2"/>
                <w:sz w:val="24"/>
                <w:szCs w:val="24"/>
                <w:highlight w:val="none"/>
                <w:lang w:val="en-US" w:eastAsia="zh-CN" w:bidi="ar-SA"/>
              </w:rPr>
              <w:t xml:space="preserve">  </w:t>
            </w:r>
            <w:r>
              <w:rPr>
                <w:rFonts w:hint="eastAsia" w:ascii="Times New Roman" w:hAnsi="Times New Roman" w:eastAsia="宋体"/>
                <w:b/>
                <w:bCs/>
                <w:color w:val="FF0000"/>
                <w:sz w:val="24"/>
                <w:highlight w:val="none"/>
                <w:lang w:val="en-US" w:eastAsia="zh-CN"/>
              </w:rPr>
              <w:t>现有项目</w:t>
            </w:r>
            <w:r>
              <w:rPr>
                <w:rFonts w:hint="eastAsia" w:ascii="Times New Roman" w:hAnsi="Times New Roman" w:eastAsia="宋体"/>
                <w:b/>
                <w:bCs/>
                <w:color w:val="FF0000"/>
                <w:sz w:val="24"/>
                <w:highlight w:val="none"/>
              </w:rPr>
              <w:t>全厂污染物排放总量  单位：t/a</w:t>
            </w:r>
          </w:p>
          <w:tbl>
            <w:tblPr>
              <w:tblStyle w:val="24"/>
              <w:tblW w:w="83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58"/>
              <w:gridCol w:w="414"/>
              <w:gridCol w:w="744"/>
              <w:gridCol w:w="1166"/>
              <w:gridCol w:w="1199"/>
              <w:gridCol w:w="1338"/>
              <w:gridCol w:w="1454"/>
              <w:gridCol w:w="834"/>
            </w:tblGrid>
            <w:tr w14:paraId="4A875E61">
              <w:tblPrEx>
                <w:tblCellMar>
                  <w:top w:w="0" w:type="dxa"/>
                  <w:left w:w="28" w:type="dxa"/>
                  <w:bottom w:w="0" w:type="dxa"/>
                  <w:right w:w="28" w:type="dxa"/>
                </w:tblCellMar>
              </w:tblPrEx>
              <w:trPr>
                <w:cantSplit/>
                <w:trHeight w:val="1016" w:hRule="atLeast"/>
                <w:jc w:val="center"/>
              </w:trPr>
              <w:tc>
                <w:tcPr>
                  <w:tcW w:w="697" w:type="pct"/>
                  <w:noWrap w:val="0"/>
                  <w:vAlign w:val="center"/>
                </w:tcPr>
                <w:p w14:paraId="3EE87B24">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b/>
                      <w:bCs/>
                      <w:color w:val="FF0000"/>
                      <w:sz w:val="21"/>
                      <w:szCs w:val="21"/>
                      <w:highlight w:val="none"/>
                    </w:rPr>
                  </w:pPr>
                  <w:r>
                    <w:rPr>
                      <w:rFonts w:hint="eastAsia"/>
                      <w:b/>
                      <w:bCs/>
                      <w:color w:val="FF0000"/>
                      <w:kern w:val="0"/>
                      <w:sz w:val="21"/>
                      <w:szCs w:val="21"/>
                      <w:highlight w:val="none"/>
                      <w:lang w:val="en-US" w:eastAsia="zh-CN" w:bidi="ar-SA"/>
                    </w:rPr>
                    <w:t>一阶段已验收产能</w:t>
                  </w:r>
                </w:p>
              </w:tc>
              <w:tc>
                <w:tcPr>
                  <w:tcW w:w="697" w:type="pct"/>
                  <w:gridSpan w:val="2"/>
                  <w:noWrap w:val="0"/>
                  <w:vAlign w:val="center"/>
                </w:tcPr>
                <w:p w14:paraId="7552B0A4">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b/>
                      <w:bCs/>
                      <w:color w:val="FF0000"/>
                      <w:sz w:val="21"/>
                      <w:szCs w:val="21"/>
                      <w:highlight w:val="none"/>
                    </w:rPr>
                  </w:pPr>
                  <w:r>
                    <w:rPr>
                      <w:rFonts w:hint="default" w:ascii="Times New Roman" w:hAnsi="Times New Roman" w:eastAsia="宋体"/>
                      <w:b/>
                      <w:bCs/>
                      <w:color w:val="FF0000"/>
                      <w:sz w:val="21"/>
                      <w:szCs w:val="21"/>
                      <w:highlight w:val="none"/>
                    </w:rPr>
                    <w:t>类别</w:t>
                  </w:r>
                </w:p>
              </w:tc>
              <w:tc>
                <w:tcPr>
                  <w:tcW w:w="701" w:type="pct"/>
                  <w:noWrap w:val="0"/>
                  <w:vAlign w:val="center"/>
                </w:tcPr>
                <w:p w14:paraId="012F941C">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b/>
                      <w:bCs/>
                      <w:color w:val="FF0000"/>
                      <w:sz w:val="21"/>
                      <w:szCs w:val="21"/>
                      <w:highlight w:val="none"/>
                    </w:rPr>
                  </w:pPr>
                  <w:r>
                    <w:rPr>
                      <w:rFonts w:hint="default" w:ascii="Times New Roman" w:hAnsi="Times New Roman" w:eastAsia="宋体"/>
                      <w:b/>
                      <w:bCs/>
                      <w:color w:val="FF0000"/>
                      <w:sz w:val="21"/>
                      <w:szCs w:val="21"/>
                      <w:highlight w:val="none"/>
                    </w:rPr>
                    <w:t>污染物名称</w:t>
                  </w:r>
                </w:p>
              </w:tc>
              <w:tc>
                <w:tcPr>
                  <w:tcW w:w="721" w:type="pct"/>
                  <w:noWrap w:val="0"/>
                  <w:vAlign w:val="center"/>
                </w:tcPr>
                <w:p w14:paraId="6C8688BD">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b/>
                      <w:bCs/>
                      <w:color w:val="FF0000"/>
                      <w:kern w:val="0"/>
                      <w:sz w:val="21"/>
                      <w:szCs w:val="21"/>
                      <w:highlight w:val="none"/>
                      <w:lang w:val="en-US" w:eastAsia="zh-CN" w:bidi="ar-SA"/>
                    </w:rPr>
                  </w:pPr>
                  <w:r>
                    <w:rPr>
                      <w:rFonts w:hint="eastAsia" w:ascii="Times New Roman" w:hAnsi="Times New Roman" w:eastAsia="宋体"/>
                      <w:b/>
                      <w:bCs/>
                      <w:color w:val="FF0000"/>
                      <w:kern w:val="0"/>
                      <w:sz w:val="21"/>
                      <w:szCs w:val="21"/>
                      <w:highlight w:val="none"/>
                      <w:lang w:val="en-US" w:eastAsia="zh-CN" w:bidi="ar-SA"/>
                    </w:rPr>
                    <w:t>实际年排放量（t/a）</w:t>
                  </w:r>
                </w:p>
              </w:tc>
              <w:tc>
                <w:tcPr>
                  <w:tcW w:w="805" w:type="pct"/>
                  <w:noWrap w:val="0"/>
                  <w:vAlign w:val="center"/>
                </w:tcPr>
                <w:p w14:paraId="198F330A">
                  <w:pPr>
                    <w:keepNext w:val="0"/>
                    <w:keepLines w:val="0"/>
                    <w:pageBreakBefore w:val="0"/>
                    <w:suppressLineNumbers w:val="0"/>
                    <w:kinsoku/>
                    <w:wordWrap/>
                    <w:overflowPunct/>
                    <w:topLinePunct w:val="0"/>
                    <w:bidi w:val="0"/>
                    <w:adjustRightInd w:val="0"/>
                    <w:snapToGrid w:val="0"/>
                    <w:spacing w:before="0" w:beforeAutospacing="0" w:after="0" w:afterAutospacing="0" w:line="240" w:lineRule="exact"/>
                    <w:ind w:left="0" w:right="0"/>
                    <w:jc w:val="center"/>
                    <w:rPr>
                      <w:rFonts w:hint="default" w:ascii="Times New Roman" w:hAnsi="Times New Roman" w:eastAsia="宋体"/>
                      <w:b/>
                      <w:bCs/>
                      <w:color w:val="FF0000"/>
                      <w:kern w:val="0"/>
                      <w:sz w:val="21"/>
                      <w:szCs w:val="21"/>
                      <w:highlight w:val="none"/>
                      <w:lang w:val="en-US" w:eastAsia="zh-CN" w:bidi="ar-SA"/>
                    </w:rPr>
                  </w:pPr>
                  <w:r>
                    <w:rPr>
                      <w:rFonts w:hint="eastAsia"/>
                      <w:b/>
                      <w:bCs/>
                      <w:color w:val="FF0000"/>
                      <w:kern w:val="0"/>
                      <w:sz w:val="21"/>
                      <w:szCs w:val="21"/>
                      <w:highlight w:val="none"/>
                      <w:lang w:val="en-US" w:eastAsia="zh-CN" w:bidi="ar-SA"/>
                    </w:rPr>
                    <w:t>已验收产能折算总量（t/a）</w:t>
                  </w:r>
                </w:p>
              </w:tc>
              <w:tc>
                <w:tcPr>
                  <w:tcW w:w="875" w:type="pct"/>
                  <w:noWrap w:val="0"/>
                  <w:vAlign w:val="center"/>
                </w:tcPr>
                <w:p w14:paraId="3847A10C">
                  <w:pPr>
                    <w:keepNext w:val="0"/>
                    <w:keepLines w:val="0"/>
                    <w:pageBreakBefore w:val="0"/>
                    <w:suppressLineNumbers w:val="0"/>
                    <w:kinsoku/>
                    <w:wordWrap/>
                    <w:overflowPunct/>
                    <w:topLinePunct w:val="0"/>
                    <w:bidi w:val="0"/>
                    <w:adjustRightInd w:val="0"/>
                    <w:snapToGrid w:val="0"/>
                    <w:spacing w:before="0" w:beforeAutospacing="0" w:after="0" w:afterAutospacing="0" w:line="240" w:lineRule="exact"/>
                    <w:ind w:left="0" w:right="0"/>
                    <w:jc w:val="center"/>
                    <w:rPr>
                      <w:rFonts w:hint="default" w:ascii="Times New Roman" w:hAnsi="Times New Roman" w:eastAsia="宋体"/>
                      <w:b/>
                      <w:bCs/>
                      <w:color w:val="FF0000"/>
                      <w:kern w:val="0"/>
                      <w:sz w:val="21"/>
                      <w:szCs w:val="21"/>
                      <w:highlight w:val="none"/>
                      <w:lang w:val="en-US" w:eastAsia="zh-CN" w:bidi="ar-SA"/>
                    </w:rPr>
                  </w:pPr>
                  <w:r>
                    <w:rPr>
                      <w:rFonts w:hint="eastAsia" w:ascii="Times New Roman" w:hAnsi="Times New Roman" w:eastAsia="宋体"/>
                      <w:b/>
                      <w:bCs/>
                      <w:color w:val="FF0000"/>
                      <w:kern w:val="0"/>
                      <w:sz w:val="21"/>
                      <w:szCs w:val="21"/>
                      <w:highlight w:val="none"/>
                      <w:lang w:val="en-US" w:eastAsia="zh-CN" w:bidi="ar-SA"/>
                    </w:rPr>
                    <w:t>环评及批复核定总量(t/a)</w:t>
                  </w:r>
                </w:p>
              </w:tc>
              <w:tc>
                <w:tcPr>
                  <w:tcW w:w="501" w:type="pct"/>
                  <w:noWrap w:val="0"/>
                  <w:vAlign w:val="center"/>
                </w:tcPr>
                <w:p w14:paraId="37A04172">
                  <w:pPr>
                    <w:keepNext w:val="0"/>
                    <w:keepLines w:val="0"/>
                    <w:suppressLineNumbers w:val="0"/>
                    <w:snapToGrid w:val="0"/>
                    <w:spacing w:before="0" w:beforeAutospacing="0" w:after="0" w:afterAutospacing="0"/>
                    <w:ind w:left="0" w:right="0"/>
                    <w:jc w:val="center"/>
                    <w:rPr>
                      <w:rFonts w:hint="eastAsia" w:ascii="Times New Roman" w:hAnsi="Times New Roman" w:eastAsia="宋体"/>
                      <w:b/>
                      <w:bCs/>
                      <w:color w:val="FF0000"/>
                      <w:sz w:val="21"/>
                      <w:szCs w:val="21"/>
                      <w:highlight w:val="none"/>
                    </w:rPr>
                  </w:pPr>
                  <w:r>
                    <w:rPr>
                      <w:rFonts w:hint="default" w:ascii="Times New Roman" w:hAnsi="Times New Roman" w:eastAsia="宋体"/>
                      <w:b/>
                      <w:bCs/>
                      <w:color w:val="FF0000"/>
                      <w:sz w:val="21"/>
                      <w:szCs w:val="21"/>
                      <w:highlight w:val="none"/>
                    </w:rPr>
                    <w:t>是否达到总量控制指标</w:t>
                  </w:r>
                </w:p>
              </w:tc>
            </w:tr>
            <w:tr w14:paraId="1C364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restart"/>
                  <w:noWrap w:val="0"/>
                  <w:vAlign w:val="center"/>
                </w:tcPr>
                <w:p w14:paraId="295A614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lang w:eastAsia="zh-CN"/>
                    </w:rPr>
                  </w:pPr>
                  <w:r>
                    <w:rPr>
                      <w:rFonts w:hint="default" w:ascii="Times New Roman" w:hAnsi="Times New Roman" w:eastAsia="宋体"/>
                      <w:color w:val="FF0000"/>
                      <w:sz w:val="21"/>
                      <w:szCs w:val="21"/>
                      <w:highlight w:val="none"/>
                    </w:rPr>
                    <w:t>年产隐形矫治器8000 万个/年、医用高分子材料510t/年、防龋齿功能涂层13000m</w:t>
                  </w:r>
                  <w:r>
                    <w:rPr>
                      <w:rFonts w:hint="default" w:ascii="Times New Roman" w:hAnsi="Times New Roman" w:eastAsia="宋体"/>
                      <w:color w:val="FF0000"/>
                      <w:sz w:val="21"/>
                      <w:szCs w:val="21"/>
                      <w:highlight w:val="none"/>
                      <w:vertAlign w:val="superscript"/>
                    </w:rPr>
                    <w:t>2</w:t>
                  </w:r>
                  <w:r>
                    <w:rPr>
                      <w:rFonts w:hint="default" w:ascii="Times New Roman" w:hAnsi="Times New Roman" w:eastAsia="宋体"/>
                      <w:color w:val="FF0000"/>
                      <w:sz w:val="21"/>
                      <w:szCs w:val="21"/>
                      <w:highlight w:val="none"/>
                    </w:rPr>
                    <w:t xml:space="preserve"> /年</w:t>
                  </w:r>
                </w:p>
              </w:tc>
              <w:tc>
                <w:tcPr>
                  <w:tcW w:w="249" w:type="pct"/>
                  <w:vMerge w:val="restart"/>
                  <w:noWrap w:val="0"/>
                  <w:vAlign w:val="center"/>
                </w:tcPr>
                <w:p w14:paraId="675B0667">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r>
                    <w:rPr>
                      <w:rFonts w:hint="default" w:ascii="Times New Roman" w:hAnsi="Times New Roman" w:eastAsia="宋体"/>
                      <w:color w:val="FF0000"/>
                      <w:sz w:val="21"/>
                      <w:szCs w:val="21"/>
                      <w:highlight w:val="none"/>
                    </w:rPr>
                    <w:t>废气</w:t>
                  </w:r>
                </w:p>
              </w:tc>
              <w:tc>
                <w:tcPr>
                  <w:tcW w:w="447" w:type="pct"/>
                  <w:vMerge w:val="restart"/>
                  <w:noWrap w:val="0"/>
                  <w:vAlign w:val="center"/>
                </w:tcPr>
                <w:p w14:paraId="7946BB98">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r>
                    <w:rPr>
                      <w:rFonts w:hint="default" w:ascii="Times New Roman" w:hAnsi="Times New Roman" w:eastAsia="宋体"/>
                      <w:color w:val="FF0000"/>
                      <w:sz w:val="21"/>
                      <w:szCs w:val="21"/>
                      <w:highlight w:val="none"/>
                    </w:rPr>
                    <w:t>有组织</w:t>
                  </w:r>
                </w:p>
              </w:tc>
              <w:tc>
                <w:tcPr>
                  <w:tcW w:w="701" w:type="pct"/>
                  <w:noWrap w:val="0"/>
                  <w:vAlign w:val="center"/>
                </w:tcPr>
                <w:p w14:paraId="03D4C15C">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olor w:val="FF0000"/>
                      <w:sz w:val="21"/>
                      <w:szCs w:val="21"/>
                      <w:highlight w:val="none"/>
                      <w:lang w:eastAsia="zh-CN"/>
                    </w:rPr>
                    <w:t>非甲烷总烃</w:t>
                  </w:r>
                </w:p>
              </w:tc>
              <w:tc>
                <w:tcPr>
                  <w:tcW w:w="721" w:type="pct"/>
                  <w:noWrap w:val="0"/>
                  <w:vAlign w:val="center"/>
                </w:tcPr>
                <w:p w14:paraId="4D88A181">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0.0981</w:t>
                  </w:r>
                </w:p>
              </w:tc>
              <w:tc>
                <w:tcPr>
                  <w:tcW w:w="805" w:type="pct"/>
                  <w:noWrap w:val="0"/>
                  <w:vAlign w:val="center"/>
                </w:tcPr>
                <w:p w14:paraId="006EEFDB">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0.2369</w:t>
                  </w:r>
                </w:p>
              </w:tc>
              <w:tc>
                <w:tcPr>
                  <w:tcW w:w="875" w:type="pct"/>
                  <w:noWrap w:val="0"/>
                  <w:vAlign w:val="center"/>
                </w:tcPr>
                <w:p w14:paraId="338A4CFD">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0.3949</w:t>
                  </w:r>
                </w:p>
              </w:tc>
              <w:tc>
                <w:tcPr>
                  <w:tcW w:w="501" w:type="pct"/>
                  <w:vMerge w:val="restart"/>
                  <w:noWrap w:val="0"/>
                  <w:vAlign w:val="center"/>
                </w:tcPr>
                <w:p w14:paraId="6EB8C9A6">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r>
                    <w:rPr>
                      <w:rFonts w:hint="default" w:ascii="Times New Roman" w:hAnsi="Times New Roman" w:eastAsia="宋体"/>
                      <w:color w:val="FF0000"/>
                      <w:sz w:val="21"/>
                      <w:szCs w:val="21"/>
                      <w:highlight w:val="none"/>
                    </w:rPr>
                    <w:t>符合总量控制要求</w:t>
                  </w:r>
                </w:p>
              </w:tc>
            </w:tr>
            <w:tr w14:paraId="71939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7D1CB9AB">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249" w:type="pct"/>
                  <w:vMerge w:val="continue"/>
                  <w:noWrap w:val="0"/>
                  <w:vAlign w:val="center"/>
                </w:tcPr>
                <w:p w14:paraId="6D40571D">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447" w:type="pct"/>
                  <w:vMerge w:val="continue"/>
                  <w:noWrap w:val="0"/>
                  <w:vAlign w:val="center"/>
                </w:tcPr>
                <w:p w14:paraId="55177D81">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7BA99CB4">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酚类化合物</w:t>
                  </w:r>
                </w:p>
              </w:tc>
              <w:tc>
                <w:tcPr>
                  <w:tcW w:w="721" w:type="pct"/>
                  <w:noWrap w:val="0"/>
                  <w:vAlign w:val="center"/>
                </w:tcPr>
                <w:p w14:paraId="089D03F9">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/（未检出）</w:t>
                  </w:r>
                </w:p>
              </w:tc>
              <w:tc>
                <w:tcPr>
                  <w:tcW w:w="805" w:type="pct"/>
                  <w:noWrap w:val="0"/>
                  <w:vAlign w:val="center"/>
                </w:tcPr>
                <w:p w14:paraId="10ADB1EF">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0.0019</w:t>
                  </w:r>
                </w:p>
              </w:tc>
              <w:tc>
                <w:tcPr>
                  <w:tcW w:w="875" w:type="pct"/>
                  <w:noWrap w:val="0"/>
                  <w:vAlign w:val="center"/>
                </w:tcPr>
                <w:p w14:paraId="7D7D8BAA">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0.0032</w:t>
                  </w:r>
                </w:p>
              </w:tc>
              <w:tc>
                <w:tcPr>
                  <w:tcW w:w="501" w:type="pct"/>
                  <w:vMerge w:val="continue"/>
                  <w:noWrap w:val="0"/>
                  <w:vAlign w:val="center"/>
                </w:tcPr>
                <w:p w14:paraId="6DFD83B7">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429DE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623CDE59">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249" w:type="pct"/>
                  <w:vMerge w:val="continue"/>
                  <w:noWrap w:val="0"/>
                  <w:vAlign w:val="center"/>
                </w:tcPr>
                <w:p w14:paraId="02D17321">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447" w:type="pct"/>
                  <w:vMerge w:val="continue"/>
                  <w:noWrap w:val="0"/>
                  <w:vAlign w:val="center"/>
                </w:tcPr>
                <w:p w14:paraId="408E91FD">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33D3AF77">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氟化物</w:t>
                  </w:r>
                </w:p>
              </w:tc>
              <w:tc>
                <w:tcPr>
                  <w:tcW w:w="721" w:type="pct"/>
                  <w:noWrap w:val="0"/>
                  <w:vAlign w:val="center"/>
                </w:tcPr>
                <w:p w14:paraId="2602C9DD">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eastAsia" w:ascii="Times New Roman" w:hAnsi="Times New Roman" w:eastAsia="宋体"/>
                      <w:color w:val="FF0000"/>
                      <w:kern w:val="2"/>
                      <w:sz w:val="21"/>
                      <w:szCs w:val="21"/>
                      <w:highlight w:val="none"/>
                      <w:lang w:val="en-US" w:eastAsia="zh-CN" w:bidi="ar-SA"/>
                    </w:rPr>
                    <w:t>0.0007</w:t>
                  </w:r>
                </w:p>
              </w:tc>
              <w:tc>
                <w:tcPr>
                  <w:tcW w:w="805" w:type="pct"/>
                  <w:noWrap w:val="0"/>
                  <w:vAlign w:val="center"/>
                </w:tcPr>
                <w:p w14:paraId="67892FF7">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0.0007</w:t>
                  </w:r>
                </w:p>
              </w:tc>
              <w:tc>
                <w:tcPr>
                  <w:tcW w:w="875" w:type="pct"/>
                  <w:noWrap w:val="0"/>
                  <w:vAlign w:val="center"/>
                </w:tcPr>
                <w:p w14:paraId="0A599D06">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0.0007</w:t>
                  </w:r>
                </w:p>
              </w:tc>
              <w:tc>
                <w:tcPr>
                  <w:tcW w:w="501" w:type="pct"/>
                  <w:vMerge w:val="continue"/>
                  <w:noWrap w:val="0"/>
                  <w:vAlign w:val="center"/>
                </w:tcPr>
                <w:p w14:paraId="4001FCBD">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294B5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11478D3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249" w:type="pct"/>
                  <w:vMerge w:val="continue"/>
                  <w:noWrap w:val="0"/>
                  <w:vAlign w:val="center"/>
                </w:tcPr>
                <w:p w14:paraId="3E55E8CF">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447" w:type="pct"/>
                  <w:vMerge w:val="continue"/>
                  <w:noWrap w:val="0"/>
                  <w:vAlign w:val="center"/>
                </w:tcPr>
                <w:p w14:paraId="13EA07FB">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584B0E4C">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eastAsia"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olor w:val="FF0000"/>
                      <w:sz w:val="21"/>
                      <w:szCs w:val="21"/>
                      <w:highlight w:val="none"/>
                    </w:rPr>
                    <w:t>颗粒物</w:t>
                  </w:r>
                </w:p>
              </w:tc>
              <w:tc>
                <w:tcPr>
                  <w:tcW w:w="721" w:type="pct"/>
                  <w:noWrap w:val="0"/>
                  <w:vAlign w:val="center"/>
                </w:tcPr>
                <w:p w14:paraId="748C8DD2">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0.1152</w:t>
                  </w:r>
                </w:p>
              </w:tc>
              <w:tc>
                <w:tcPr>
                  <w:tcW w:w="805" w:type="pct"/>
                  <w:noWrap w:val="0"/>
                  <w:vAlign w:val="center"/>
                </w:tcPr>
                <w:p w14:paraId="3FCD4C1E">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0.1188</w:t>
                  </w:r>
                </w:p>
              </w:tc>
              <w:tc>
                <w:tcPr>
                  <w:tcW w:w="875" w:type="pct"/>
                  <w:noWrap w:val="0"/>
                  <w:vAlign w:val="center"/>
                </w:tcPr>
                <w:p w14:paraId="1B8673B2">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0.125</w:t>
                  </w:r>
                </w:p>
              </w:tc>
              <w:tc>
                <w:tcPr>
                  <w:tcW w:w="501" w:type="pct"/>
                  <w:vMerge w:val="continue"/>
                  <w:noWrap w:val="0"/>
                  <w:vAlign w:val="center"/>
                </w:tcPr>
                <w:p w14:paraId="24C9B48F">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68A64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23F6409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249" w:type="pct"/>
                  <w:vMerge w:val="continue"/>
                  <w:noWrap w:val="0"/>
                  <w:vAlign w:val="center"/>
                </w:tcPr>
                <w:p w14:paraId="6BF01B18">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447" w:type="pct"/>
                  <w:vMerge w:val="continue"/>
                  <w:noWrap w:val="0"/>
                  <w:vAlign w:val="center"/>
                </w:tcPr>
                <w:p w14:paraId="7BBE876F">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697B7F69">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氮氧化物</w:t>
                  </w:r>
                </w:p>
              </w:tc>
              <w:tc>
                <w:tcPr>
                  <w:tcW w:w="721" w:type="pct"/>
                  <w:noWrap w:val="0"/>
                  <w:vAlign w:val="center"/>
                </w:tcPr>
                <w:p w14:paraId="04CB7157">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/（未检出）</w:t>
                  </w:r>
                </w:p>
              </w:tc>
              <w:tc>
                <w:tcPr>
                  <w:tcW w:w="805" w:type="pct"/>
                  <w:noWrap w:val="0"/>
                  <w:vAlign w:val="center"/>
                </w:tcPr>
                <w:p w14:paraId="74B3A7D2">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s="Times New Roman"/>
                      <w:color w:val="FF0000"/>
                      <w:kern w:val="0"/>
                      <w:highlight w:val="none"/>
                      <w:lang w:val="en-US" w:eastAsia="zh-CN" w:bidi="ar"/>
                    </w:rPr>
                  </w:pPr>
                  <w:r>
                    <w:rPr>
                      <w:rFonts w:hint="eastAsia" w:cs="Times New Roman"/>
                      <w:color w:val="FF0000"/>
                      <w:kern w:val="0"/>
                      <w:highlight w:val="none"/>
                      <w:lang w:val="en-US" w:eastAsia="zh-CN" w:bidi="ar"/>
                    </w:rPr>
                    <w:t>0.0129</w:t>
                  </w:r>
                </w:p>
              </w:tc>
              <w:tc>
                <w:tcPr>
                  <w:tcW w:w="875" w:type="pct"/>
                  <w:noWrap w:val="0"/>
                  <w:vAlign w:val="center"/>
                </w:tcPr>
                <w:p w14:paraId="604CEB3A">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0.0136</w:t>
                  </w:r>
                </w:p>
              </w:tc>
              <w:tc>
                <w:tcPr>
                  <w:tcW w:w="501" w:type="pct"/>
                  <w:vMerge w:val="continue"/>
                  <w:noWrap w:val="0"/>
                  <w:vAlign w:val="center"/>
                </w:tcPr>
                <w:p w14:paraId="5B116A71">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04079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7A6A44A5">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249" w:type="pct"/>
                  <w:vMerge w:val="continue"/>
                  <w:noWrap w:val="0"/>
                  <w:vAlign w:val="center"/>
                </w:tcPr>
                <w:p w14:paraId="74DC715B">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447" w:type="pct"/>
                  <w:vMerge w:val="continue"/>
                  <w:noWrap w:val="0"/>
                  <w:vAlign w:val="center"/>
                </w:tcPr>
                <w:p w14:paraId="317BF60C">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27FFD57E">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eastAsia" w:ascii="Times New Roman" w:hAnsi="Times New Roman" w:eastAsia="宋体"/>
                      <w:b w:val="0"/>
                      <w:bCs w:val="0"/>
                      <w:color w:val="FF0000"/>
                      <w:sz w:val="21"/>
                      <w:szCs w:val="21"/>
                      <w:highlight w:val="none"/>
                      <w:lang w:eastAsia="zh-CN"/>
                    </w:rPr>
                  </w:pPr>
                  <w:r>
                    <w:rPr>
                      <w:rFonts w:hint="eastAsia" w:ascii="Times New Roman" w:hAnsi="Times New Roman" w:eastAsia="宋体"/>
                      <w:b w:val="0"/>
                      <w:bCs w:val="0"/>
                      <w:color w:val="FF0000"/>
                      <w:sz w:val="21"/>
                      <w:szCs w:val="21"/>
                      <w:highlight w:val="none"/>
                      <w:lang w:eastAsia="zh-CN"/>
                    </w:rPr>
                    <w:t>油烟</w:t>
                  </w:r>
                </w:p>
              </w:tc>
              <w:tc>
                <w:tcPr>
                  <w:tcW w:w="721" w:type="pct"/>
                  <w:noWrap w:val="0"/>
                  <w:vAlign w:val="center"/>
                </w:tcPr>
                <w:p w14:paraId="74AEF2A5">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b w:val="0"/>
                      <w:bCs w:val="0"/>
                      <w:color w:val="FF0000"/>
                      <w:sz w:val="21"/>
                      <w:szCs w:val="21"/>
                      <w:highlight w:val="none"/>
                      <w:lang w:val="en-US" w:eastAsia="zh-CN"/>
                    </w:rPr>
                  </w:pPr>
                  <w:r>
                    <w:rPr>
                      <w:rFonts w:hint="eastAsia"/>
                      <w:b w:val="0"/>
                      <w:bCs w:val="0"/>
                      <w:color w:val="FF0000"/>
                      <w:sz w:val="21"/>
                      <w:szCs w:val="21"/>
                      <w:highlight w:val="none"/>
                      <w:lang w:val="en-US" w:eastAsia="zh-CN"/>
                    </w:rPr>
                    <w:t>/</w:t>
                  </w:r>
                  <w:r>
                    <w:rPr>
                      <w:rFonts w:hint="eastAsia"/>
                      <w:b/>
                      <w:bCs/>
                      <w:color w:val="FF0000"/>
                      <w:sz w:val="21"/>
                      <w:szCs w:val="21"/>
                      <w:highlight w:val="none"/>
                      <w:lang w:val="en-US" w:eastAsia="zh-CN"/>
                    </w:rPr>
                    <w:t>*</w:t>
                  </w:r>
                </w:p>
              </w:tc>
              <w:tc>
                <w:tcPr>
                  <w:tcW w:w="805" w:type="pct"/>
                  <w:noWrap w:val="0"/>
                  <w:vAlign w:val="center"/>
                </w:tcPr>
                <w:p w14:paraId="2284126F">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s="Times New Roman"/>
                      <w:b w:val="0"/>
                      <w:bCs w:val="0"/>
                      <w:color w:val="FF0000"/>
                      <w:kern w:val="0"/>
                      <w:highlight w:val="none"/>
                      <w:lang w:val="en-US" w:eastAsia="zh-CN" w:bidi="ar"/>
                    </w:rPr>
                  </w:pPr>
                  <w:r>
                    <w:rPr>
                      <w:rFonts w:hint="eastAsia" w:cs="Times New Roman"/>
                      <w:b w:val="0"/>
                      <w:bCs w:val="0"/>
                      <w:color w:val="FF0000"/>
                      <w:kern w:val="0"/>
                      <w:highlight w:val="none"/>
                      <w:lang w:val="en-US" w:eastAsia="zh-CN" w:bidi="ar"/>
                    </w:rPr>
                    <w:t>0.0360</w:t>
                  </w:r>
                </w:p>
              </w:tc>
              <w:tc>
                <w:tcPr>
                  <w:tcW w:w="875" w:type="pct"/>
                  <w:noWrap w:val="0"/>
                  <w:vAlign w:val="center"/>
                </w:tcPr>
                <w:p w14:paraId="1B5A09F5">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kern w:val="0"/>
                      <w:highlight w:val="none"/>
                      <w:lang w:bidi="ar"/>
                    </w:rPr>
                    <w:t>0.036</w:t>
                  </w:r>
                  <w:r>
                    <w:rPr>
                      <w:rFonts w:hint="eastAsia" w:ascii="Times New Roman" w:hAnsi="Times New Roman" w:eastAsia="宋体" w:cs="Times New Roman"/>
                      <w:b w:val="0"/>
                      <w:bCs w:val="0"/>
                      <w:color w:val="FF0000"/>
                      <w:kern w:val="0"/>
                      <w:highlight w:val="none"/>
                      <w:lang w:val="en-US" w:eastAsia="zh-CN" w:bidi="ar"/>
                    </w:rPr>
                    <w:t>0</w:t>
                  </w:r>
                </w:p>
              </w:tc>
              <w:tc>
                <w:tcPr>
                  <w:tcW w:w="501" w:type="pct"/>
                  <w:vMerge w:val="continue"/>
                  <w:noWrap w:val="0"/>
                  <w:vAlign w:val="center"/>
                </w:tcPr>
                <w:p w14:paraId="6DD64FAD">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7DADE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45ABD7B5">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249" w:type="pct"/>
                  <w:vMerge w:val="continue"/>
                  <w:noWrap w:val="0"/>
                  <w:vAlign w:val="center"/>
                </w:tcPr>
                <w:p w14:paraId="4B4DC8F0">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447" w:type="pct"/>
                  <w:vMerge w:val="restart"/>
                  <w:noWrap w:val="0"/>
                  <w:vAlign w:val="center"/>
                </w:tcPr>
                <w:p w14:paraId="219620E4">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r>
                    <w:rPr>
                      <w:rFonts w:hint="default" w:ascii="Times New Roman" w:hAnsi="Times New Roman" w:eastAsia="宋体"/>
                      <w:color w:val="FF0000"/>
                      <w:sz w:val="21"/>
                      <w:szCs w:val="21"/>
                      <w:highlight w:val="none"/>
                    </w:rPr>
                    <w:t>无组织</w:t>
                  </w:r>
                </w:p>
              </w:tc>
              <w:tc>
                <w:tcPr>
                  <w:tcW w:w="701" w:type="pct"/>
                  <w:noWrap w:val="0"/>
                  <w:vAlign w:val="center"/>
                </w:tcPr>
                <w:p w14:paraId="6928638A">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lang w:eastAsia="zh-CN"/>
                    </w:rPr>
                    <w:t>非甲烷总烃</w:t>
                  </w:r>
                </w:p>
              </w:tc>
              <w:tc>
                <w:tcPr>
                  <w:tcW w:w="721" w:type="pct"/>
                  <w:noWrap w:val="0"/>
                  <w:vAlign w:val="center"/>
                </w:tcPr>
                <w:p w14:paraId="778504A3">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w:t>
                  </w:r>
                </w:p>
              </w:tc>
              <w:tc>
                <w:tcPr>
                  <w:tcW w:w="805" w:type="pct"/>
                  <w:noWrap w:val="0"/>
                  <w:vAlign w:val="center"/>
                </w:tcPr>
                <w:p w14:paraId="4CD8251F">
                  <w:pPr>
                    <w:keepNext w:val="0"/>
                    <w:keepLines w:val="0"/>
                    <w:pageBreakBefore w:val="0"/>
                    <w:suppressLineNumbers w:val="0"/>
                    <w:kinsoku/>
                    <w:wordWrap/>
                    <w:overflowPunct/>
                    <w:topLinePunct w:val="0"/>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0.1663</w:t>
                  </w:r>
                </w:p>
              </w:tc>
              <w:tc>
                <w:tcPr>
                  <w:tcW w:w="875" w:type="pct"/>
                  <w:noWrap w:val="0"/>
                  <w:vAlign w:val="center"/>
                </w:tcPr>
                <w:p w14:paraId="4C91592F">
                  <w:pPr>
                    <w:keepNext w:val="0"/>
                    <w:keepLines w:val="0"/>
                    <w:pageBreakBefore w:val="0"/>
                    <w:suppressLineNumbers w:val="0"/>
                    <w:kinsoku/>
                    <w:wordWrap/>
                    <w:overflowPunct/>
                    <w:topLinePunct w:val="0"/>
                    <w:bidi w:val="0"/>
                    <w:adjustRightInd w:val="0"/>
                    <w:snapToGrid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0.2772</w:t>
                  </w:r>
                </w:p>
              </w:tc>
              <w:tc>
                <w:tcPr>
                  <w:tcW w:w="501" w:type="pct"/>
                  <w:vMerge w:val="continue"/>
                  <w:noWrap w:val="0"/>
                  <w:vAlign w:val="center"/>
                </w:tcPr>
                <w:p w14:paraId="0F38392B">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5D4E5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2A822EE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249" w:type="pct"/>
                  <w:vMerge w:val="continue"/>
                  <w:noWrap w:val="0"/>
                  <w:vAlign w:val="center"/>
                </w:tcPr>
                <w:p w14:paraId="7782DD4C">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447" w:type="pct"/>
                  <w:vMerge w:val="continue"/>
                  <w:noWrap w:val="0"/>
                  <w:vAlign w:val="center"/>
                </w:tcPr>
                <w:p w14:paraId="03326D85">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20EC2B29">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eastAsia="zh-CN"/>
                    </w:rPr>
                    <w:t>酚类</w:t>
                  </w:r>
                  <w:r>
                    <w:rPr>
                      <w:rFonts w:hint="eastAsia"/>
                      <w:color w:val="FF0000"/>
                      <w:sz w:val="21"/>
                      <w:szCs w:val="21"/>
                      <w:highlight w:val="none"/>
                      <w:lang w:val="en-US" w:eastAsia="zh-CN"/>
                    </w:rPr>
                    <w:t>化合物</w:t>
                  </w:r>
                </w:p>
              </w:tc>
              <w:tc>
                <w:tcPr>
                  <w:tcW w:w="721" w:type="pct"/>
                  <w:noWrap w:val="0"/>
                  <w:vAlign w:val="center"/>
                </w:tcPr>
                <w:p w14:paraId="0B44EC99">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rPr>
                    <w:t>—</w:t>
                  </w:r>
                </w:p>
              </w:tc>
              <w:tc>
                <w:tcPr>
                  <w:tcW w:w="805" w:type="pct"/>
                  <w:noWrap w:val="0"/>
                  <w:vAlign w:val="bottom"/>
                </w:tcPr>
                <w:p w14:paraId="39801DD9">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kern w:val="0"/>
                      <w:sz w:val="21"/>
                      <w:szCs w:val="21"/>
                      <w:highlight w:val="none"/>
                      <w:lang w:val="en-US" w:eastAsia="zh-CN" w:bidi="ar"/>
                    </w:rPr>
                  </w:pPr>
                  <w:r>
                    <w:rPr>
                      <w:rFonts w:hint="eastAsia"/>
                      <w:color w:val="FF0000"/>
                      <w:kern w:val="0"/>
                      <w:sz w:val="21"/>
                      <w:szCs w:val="21"/>
                      <w:highlight w:val="none"/>
                      <w:lang w:val="en-US" w:eastAsia="zh-CN" w:bidi="ar"/>
                    </w:rPr>
                    <w:t>0.0021</w:t>
                  </w:r>
                </w:p>
              </w:tc>
              <w:tc>
                <w:tcPr>
                  <w:tcW w:w="875" w:type="pct"/>
                  <w:noWrap w:val="0"/>
                  <w:vAlign w:val="bottom"/>
                </w:tcPr>
                <w:p w14:paraId="17F675AD">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kern w:val="0"/>
                      <w:sz w:val="21"/>
                      <w:szCs w:val="21"/>
                      <w:highlight w:val="none"/>
                      <w:lang w:val="en-US" w:eastAsia="zh-CN" w:bidi="ar"/>
                    </w:rPr>
                  </w:pPr>
                  <w:r>
                    <w:rPr>
                      <w:rFonts w:hint="default" w:ascii="Times New Roman" w:hAnsi="Times New Roman" w:eastAsia="宋体"/>
                      <w:color w:val="FF0000"/>
                      <w:kern w:val="0"/>
                      <w:sz w:val="21"/>
                      <w:szCs w:val="21"/>
                      <w:highlight w:val="none"/>
                      <w:lang w:val="en-US" w:eastAsia="zh-CN" w:bidi="ar"/>
                    </w:rPr>
                    <w:t>0.0035</w:t>
                  </w:r>
                </w:p>
              </w:tc>
              <w:tc>
                <w:tcPr>
                  <w:tcW w:w="501" w:type="pct"/>
                  <w:vMerge w:val="continue"/>
                  <w:noWrap w:val="0"/>
                  <w:vAlign w:val="center"/>
                </w:tcPr>
                <w:p w14:paraId="59B2A465">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75CAF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6B624FD9">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249" w:type="pct"/>
                  <w:vMerge w:val="continue"/>
                  <w:noWrap w:val="0"/>
                  <w:vAlign w:val="center"/>
                </w:tcPr>
                <w:p w14:paraId="75E9AB42">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447" w:type="pct"/>
                  <w:vMerge w:val="continue"/>
                  <w:noWrap w:val="0"/>
                  <w:vAlign w:val="center"/>
                </w:tcPr>
                <w:p w14:paraId="655DBB4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4FBEEF29">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lang w:eastAsia="zh-CN"/>
                    </w:rPr>
                    <w:t>氟化物</w:t>
                  </w:r>
                </w:p>
              </w:tc>
              <w:tc>
                <w:tcPr>
                  <w:tcW w:w="721" w:type="pct"/>
                  <w:noWrap w:val="0"/>
                  <w:vAlign w:val="center"/>
                </w:tcPr>
                <w:p w14:paraId="4AE2B087">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eastAsia" w:ascii="Times New Roman" w:hAnsi="Times New Roman" w:eastAsia="宋体"/>
                      <w:color w:val="FF0000"/>
                      <w:sz w:val="21"/>
                      <w:szCs w:val="21"/>
                      <w:highlight w:val="none"/>
                      <w:lang w:eastAsia="zh-CN"/>
                    </w:rPr>
                  </w:pPr>
                  <w:r>
                    <w:rPr>
                      <w:rFonts w:hint="eastAsia" w:ascii="Times New Roman" w:hAnsi="Times New Roman" w:eastAsia="宋体"/>
                      <w:color w:val="FF0000"/>
                      <w:sz w:val="21"/>
                      <w:szCs w:val="21"/>
                      <w:highlight w:val="none"/>
                    </w:rPr>
                    <w:t>—</w:t>
                  </w:r>
                </w:p>
              </w:tc>
              <w:tc>
                <w:tcPr>
                  <w:tcW w:w="805" w:type="pct"/>
                  <w:noWrap w:val="0"/>
                  <w:vAlign w:val="bottom"/>
                </w:tcPr>
                <w:p w14:paraId="25B4C897">
                  <w:pPr>
                    <w:keepNext w:val="0"/>
                    <w:keepLines w:val="0"/>
                    <w:pageBreakBefore w:val="0"/>
                    <w:widowControl/>
                    <w:suppressLineNumbers w:val="0"/>
                    <w:kinsoku/>
                    <w:wordWrap/>
                    <w:overflowPunct/>
                    <w:topLinePunct w:val="0"/>
                    <w:bidi w:val="0"/>
                    <w:spacing w:before="0" w:beforeAutospacing="0" w:after="0" w:afterAutospacing="0" w:line="240" w:lineRule="exact"/>
                    <w:ind w:left="0" w:leftChars="0" w:right="0" w:rightChars="0"/>
                    <w:jc w:val="center"/>
                    <w:textAlignment w:val="center"/>
                    <w:rPr>
                      <w:rFonts w:hint="default" w:ascii="Times New Roman" w:hAnsi="Times New Roman" w:eastAsia="宋体"/>
                      <w:color w:val="FF0000"/>
                      <w:kern w:val="0"/>
                      <w:sz w:val="21"/>
                      <w:szCs w:val="21"/>
                      <w:highlight w:val="none"/>
                      <w:lang w:val="en-US" w:eastAsia="zh-CN" w:bidi="ar"/>
                    </w:rPr>
                  </w:pPr>
                  <w:r>
                    <w:rPr>
                      <w:rFonts w:hint="default" w:ascii="Times New Roman" w:hAnsi="Times New Roman" w:eastAsia="宋体"/>
                      <w:color w:val="FF0000"/>
                      <w:kern w:val="0"/>
                      <w:sz w:val="21"/>
                      <w:szCs w:val="21"/>
                      <w:highlight w:val="none"/>
                      <w:lang w:val="en-US" w:eastAsia="zh-CN" w:bidi="ar"/>
                    </w:rPr>
                    <w:t>0.0008</w:t>
                  </w:r>
                </w:p>
              </w:tc>
              <w:tc>
                <w:tcPr>
                  <w:tcW w:w="875" w:type="pct"/>
                  <w:noWrap w:val="0"/>
                  <w:vAlign w:val="bottom"/>
                </w:tcPr>
                <w:p w14:paraId="439584BA">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kern w:val="0"/>
                      <w:sz w:val="21"/>
                      <w:szCs w:val="21"/>
                      <w:highlight w:val="none"/>
                      <w:lang w:val="en-US" w:eastAsia="zh-CN" w:bidi="ar"/>
                    </w:rPr>
                  </w:pPr>
                  <w:r>
                    <w:rPr>
                      <w:rFonts w:hint="default" w:ascii="Times New Roman" w:hAnsi="Times New Roman" w:eastAsia="宋体"/>
                      <w:color w:val="FF0000"/>
                      <w:kern w:val="0"/>
                      <w:sz w:val="21"/>
                      <w:szCs w:val="21"/>
                      <w:highlight w:val="none"/>
                      <w:lang w:val="en-US" w:eastAsia="zh-CN" w:bidi="ar"/>
                    </w:rPr>
                    <w:t>0.0008</w:t>
                  </w:r>
                </w:p>
              </w:tc>
              <w:tc>
                <w:tcPr>
                  <w:tcW w:w="501" w:type="pct"/>
                  <w:vMerge w:val="continue"/>
                  <w:noWrap w:val="0"/>
                  <w:vAlign w:val="center"/>
                </w:tcPr>
                <w:p w14:paraId="00FEC268">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19AFB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19EF4F8A">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249" w:type="pct"/>
                  <w:vMerge w:val="continue"/>
                  <w:noWrap w:val="0"/>
                  <w:vAlign w:val="center"/>
                </w:tcPr>
                <w:p w14:paraId="3E9A3A7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447" w:type="pct"/>
                  <w:vMerge w:val="continue"/>
                  <w:noWrap w:val="0"/>
                  <w:vAlign w:val="center"/>
                </w:tcPr>
                <w:p w14:paraId="5A1E0278">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23982D6F">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lang w:eastAsia="zh-CN"/>
                    </w:rPr>
                  </w:pPr>
                  <w:r>
                    <w:rPr>
                      <w:rFonts w:hint="default" w:ascii="Times New Roman" w:hAnsi="Times New Roman" w:eastAsia="宋体"/>
                      <w:color w:val="FF0000"/>
                      <w:sz w:val="21"/>
                      <w:szCs w:val="21"/>
                      <w:highlight w:val="none"/>
                    </w:rPr>
                    <w:t>颗粒物</w:t>
                  </w:r>
                </w:p>
              </w:tc>
              <w:tc>
                <w:tcPr>
                  <w:tcW w:w="721" w:type="pct"/>
                  <w:noWrap w:val="0"/>
                  <w:vAlign w:val="center"/>
                </w:tcPr>
                <w:p w14:paraId="4E1F83B2">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w:t>
                  </w:r>
                </w:p>
              </w:tc>
              <w:tc>
                <w:tcPr>
                  <w:tcW w:w="805" w:type="pct"/>
                  <w:noWrap w:val="0"/>
                  <w:vAlign w:val="bottom"/>
                </w:tcPr>
                <w:p w14:paraId="1D1BEF17">
                  <w:pPr>
                    <w:keepNext w:val="0"/>
                    <w:keepLines w:val="0"/>
                    <w:pageBreakBefore w:val="0"/>
                    <w:widowControl/>
                    <w:suppressLineNumbers w:val="0"/>
                    <w:kinsoku/>
                    <w:wordWrap/>
                    <w:overflowPunct/>
                    <w:topLinePunct w:val="0"/>
                    <w:bidi w:val="0"/>
                    <w:spacing w:before="0" w:beforeAutospacing="0" w:after="0" w:afterAutospacing="0" w:line="240" w:lineRule="exact"/>
                    <w:ind w:left="0" w:leftChars="0" w:right="0" w:rightChars="0"/>
                    <w:jc w:val="center"/>
                    <w:textAlignment w:val="center"/>
                    <w:rPr>
                      <w:rFonts w:hint="eastAsia" w:ascii="Times New Roman" w:hAnsi="Times New Roman" w:eastAsia="宋体"/>
                      <w:color w:val="FF0000"/>
                      <w:kern w:val="0"/>
                      <w:sz w:val="21"/>
                      <w:szCs w:val="21"/>
                      <w:highlight w:val="none"/>
                      <w:lang w:val="en-US" w:eastAsia="zh-CN" w:bidi="ar"/>
                    </w:rPr>
                  </w:pPr>
                  <w:r>
                    <w:rPr>
                      <w:rFonts w:hint="eastAsia" w:ascii="Times New Roman" w:hAnsi="Times New Roman" w:eastAsia="宋体"/>
                      <w:color w:val="FF0000"/>
                      <w:kern w:val="0"/>
                      <w:sz w:val="21"/>
                      <w:szCs w:val="21"/>
                      <w:highlight w:val="none"/>
                      <w:lang w:val="en-US" w:eastAsia="zh-CN" w:bidi="ar"/>
                    </w:rPr>
                    <w:t>0.3290</w:t>
                  </w:r>
                </w:p>
              </w:tc>
              <w:tc>
                <w:tcPr>
                  <w:tcW w:w="875" w:type="pct"/>
                  <w:noWrap w:val="0"/>
                  <w:vAlign w:val="bottom"/>
                </w:tcPr>
                <w:p w14:paraId="75B72C0C">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kern w:val="2"/>
                      <w:sz w:val="21"/>
                      <w:szCs w:val="21"/>
                      <w:highlight w:val="none"/>
                      <w:lang w:val="en-US" w:eastAsia="zh-CN" w:bidi="ar-SA"/>
                    </w:rPr>
                  </w:pPr>
                  <w:r>
                    <w:rPr>
                      <w:rFonts w:hint="eastAsia" w:ascii="Times New Roman" w:hAnsi="Times New Roman" w:eastAsia="宋体"/>
                      <w:color w:val="FF0000"/>
                      <w:kern w:val="0"/>
                      <w:sz w:val="21"/>
                      <w:szCs w:val="21"/>
                      <w:highlight w:val="none"/>
                      <w:lang w:val="en-US" w:eastAsia="zh-CN" w:bidi="ar"/>
                    </w:rPr>
                    <w:t>0.3290</w:t>
                  </w:r>
                </w:p>
              </w:tc>
              <w:tc>
                <w:tcPr>
                  <w:tcW w:w="501" w:type="pct"/>
                  <w:vMerge w:val="continue"/>
                  <w:noWrap w:val="0"/>
                  <w:vAlign w:val="center"/>
                </w:tcPr>
                <w:p w14:paraId="5458B1BB">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58895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7D74AA80">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bCs/>
                      <w:color w:val="FF0000"/>
                      <w:sz w:val="21"/>
                      <w:szCs w:val="21"/>
                      <w:highlight w:val="none"/>
                    </w:rPr>
                  </w:pPr>
                </w:p>
              </w:tc>
              <w:tc>
                <w:tcPr>
                  <w:tcW w:w="697" w:type="pct"/>
                  <w:gridSpan w:val="2"/>
                  <w:vMerge w:val="restart"/>
                  <w:noWrap w:val="0"/>
                  <w:vAlign w:val="center"/>
                </w:tcPr>
                <w:p w14:paraId="1C44A189">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bCs/>
                      <w:color w:val="FF0000"/>
                      <w:sz w:val="21"/>
                      <w:szCs w:val="21"/>
                      <w:highlight w:val="none"/>
                    </w:rPr>
                  </w:pPr>
                  <w:r>
                    <w:rPr>
                      <w:rFonts w:hint="default" w:ascii="Times New Roman" w:hAnsi="Times New Roman" w:eastAsia="宋体"/>
                      <w:bCs/>
                      <w:color w:val="FF0000"/>
                      <w:sz w:val="21"/>
                      <w:szCs w:val="21"/>
                      <w:highlight w:val="none"/>
                    </w:rPr>
                    <w:t>废水</w:t>
                  </w:r>
                </w:p>
              </w:tc>
              <w:tc>
                <w:tcPr>
                  <w:tcW w:w="701" w:type="pct"/>
                  <w:noWrap w:val="0"/>
                  <w:vAlign w:val="center"/>
                </w:tcPr>
                <w:p w14:paraId="0B1C8E05">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bCs/>
                      <w:color w:val="FF0000"/>
                      <w:sz w:val="21"/>
                      <w:szCs w:val="21"/>
                      <w:highlight w:val="none"/>
                    </w:rPr>
                  </w:pPr>
                  <w:r>
                    <w:rPr>
                      <w:rFonts w:hint="default" w:ascii="Times New Roman" w:hAnsi="Times New Roman" w:eastAsia="宋体"/>
                      <w:bCs/>
                      <w:color w:val="FF0000"/>
                      <w:sz w:val="21"/>
                      <w:szCs w:val="21"/>
                      <w:highlight w:val="none"/>
                    </w:rPr>
                    <w:t>水量</w:t>
                  </w:r>
                </w:p>
              </w:tc>
              <w:tc>
                <w:tcPr>
                  <w:tcW w:w="721" w:type="pct"/>
                  <w:noWrap w:val="0"/>
                  <w:vAlign w:val="center"/>
                </w:tcPr>
                <w:p w14:paraId="5FCAF8E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bCs/>
                      <w:color w:val="FF0000"/>
                      <w:kern w:val="2"/>
                      <w:sz w:val="21"/>
                      <w:szCs w:val="21"/>
                      <w:highlight w:val="none"/>
                      <w:lang w:val="en-US" w:eastAsia="zh-CN" w:bidi="ar-SA"/>
                    </w:rPr>
                  </w:pPr>
                  <w:r>
                    <w:rPr>
                      <w:rFonts w:hint="eastAsia" w:ascii="Times New Roman" w:hAnsi="Times New Roman" w:eastAsia="宋体"/>
                      <w:color w:val="FF0000"/>
                      <w:kern w:val="2"/>
                      <w:sz w:val="21"/>
                      <w:szCs w:val="21"/>
                      <w:highlight w:val="none"/>
                      <w:lang w:val="en-US" w:eastAsia="zh-CN" w:bidi="ar-SA"/>
                    </w:rPr>
                    <w:t>67384.406</w:t>
                  </w:r>
                </w:p>
              </w:tc>
              <w:tc>
                <w:tcPr>
                  <w:tcW w:w="805" w:type="pct"/>
                  <w:noWrap w:val="0"/>
                  <w:vAlign w:val="center"/>
                </w:tcPr>
                <w:p w14:paraId="46F89564">
                  <w:pPr>
                    <w:keepNext w:val="0"/>
                    <w:keepLines w:val="0"/>
                    <w:pageBreakBefore w:val="0"/>
                    <w:suppressLineNumbers w:val="0"/>
                    <w:kinsoku/>
                    <w:wordWrap/>
                    <w:overflowPunct/>
                    <w:topLinePunct w:val="0"/>
                    <w:bidi w:val="0"/>
                    <w:spacing w:before="0" w:beforeAutospacing="0" w:after="0" w:afterAutospacing="0" w:line="240" w:lineRule="exact"/>
                    <w:ind w:left="0" w:leftChars="0" w:right="0" w:rightChars="0"/>
                    <w:jc w:val="center"/>
                    <w:rPr>
                      <w:rFonts w:hint="default" w:ascii="Times New Roman" w:hAnsi="Times New Roman" w:eastAsia="宋体"/>
                      <w:color w:val="FF0000"/>
                      <w:szCs w:val="21"/>
                      <w:highlight w:val="none"/>
                      <w:lang w:val="en-US" w:eastAsia="zh-CN"/>
                    </w:rPr>
                  </w:pPr>
                  <w:r>
                    <w:rPr>
                      <w:rFonts w:hint="default" w:ascii="Times New Roman" w:hAnsi="Times New Roman" w:eastAsia="宋体"/>
                      <w:color w:val="FF0000"/>
                      <w:szCs w:val="21"/>
                      <w:highlight w:val="none"/>
                      <w:lang w:val="en-US" w:eastAsia="zh-CN"/>
                    </w:rPr>
                    <w:t>138605.946</w:t>
                  </w:r>
                </w:p>
              </w:tc>
              <w:tc>
                <w:tcPr>
                  <w:tcW w:w="875" w:type="pct"/>
                  <w:noWrap w:val="0"/>
                  <w:vAlign w:val="center"/>
                </w:tcPr>
                <w:p w14:paraId="3E7557C5">
                  <w:pPr>
                    <w:keepNext w:val="0"/>
                    <w:keepLines w:val="0"/>
                    <w:pageBreakBefore w:val="0"/>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default" w:ascii="Times New Roman" w:hAnsi="Times New Roman" w:eastAsia="宋体"/>
                      <w:color w:val="FF0000"/>
                      <w:szCs w:val="21"/>
                      <w:highlight w:val="none"/>
                      <w:lang w:val="en-US" w:eastAsia="zh-CN"/>
                    </w:rPr>
                    <w:t>138605.946</w:t>
                  </w:r>
                </w:p>
              </w:tc>
              <w:tc>
                <w:tcPr>
                  <w:tcW w:w="501" w:type="pct"/>
                  <w:vMerge w:val="continue"/>
                  <w:noWrap w:val="0"/>
                  <w:vAlign w:val="center"/>
                </w:tcPr>
                <w:p w14:paraId="5A156342">
                  <w:pPr>
                    <w:keepNext w:val="0"/>
                    <w:keepLines w:val="0"/>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2F0AD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7ECFE661">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697" w:type="pct"/>
                  <w:gridSpan w:val="2"/>
                  <w:vMerge w:val="continue"/>
                  <w:noWrap w:val="0"/>
                  <w:vAlign w:val="center"/>
                </w:tcPr>
                <w:p w14:paraId="5FFD0897">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1E860F3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jc w:val="center"/>
                    <w:rPr>
                      <w:rFonts w:hint="default" w:ascii="Times New Roman" w:hAnsi="Times New Roman" w:eastAsia="宋体"/>
                      <w:color w:val="FF0000"/>
                      <w:kern w:val="0"/>
                      <w:sz w:val="21"/>
                      <w:szCs w:val="21"/>
                      <w:highlight w:val="none"/>
                    </w:rPr>
                  </w:pPr>
                  <w:r>
                    <w:rPr>
                      <w:rFonts w:hint="default" w:ascii="Times New Roman" w:hAnsi="Times New Roman" w:eastAsia="宋体"/>
                      <w:color w:val="FF0000"/>
                      <w:kern w:val="0"/>
                      <w:sz w:val="21"/>
                      <w:szCs w:val="21"/>
                      <w:highlight w:val="none"/>
                    </w:rPr>
                    <w:t>COD</w:t>
                  </w:r>
                </w:p>
              </w:tc>
              <w:tc>
                <w:tcPr>
                  <w:tcW w:w="721" w:type="pct"/>
                  <w:noWrap w:val="0"/>
                  <w:vAlign w:val="center"/>
                </w:tcPr>
                <w:p w14:paraId="41E80918">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eastAsia" w:ascii="Times New Roman" w:hAnsi="Times New Roman" w:eastAsia="宋体"/>
                      <w:color w:val="FF0000"/>
                      <w:kern w:val="2"/>
                      <w:sz w:val="21"/>
                      <w:szCs w:val="21"/>
                      <w:highlight w:val="none"/>
                      <w:lang w:val="en-US" w:eastAsia="zh-CN" w:bidi="ar-SA"/>
                    </w:rPr>
                    <w:t>5.7951</w:t>
                  </w:r>
                </w:p>
              </w:tc>
              <w:tc>
                <w:tcPr>
                  <w:tcW w:w="805" w:type="pct"/>
                  <w:noWrap w:val="0"/>
                  <w:vAlign w:val="center"/>
                </w:tcPr>
                <w:p w14:paraId="55F0E8FC">
                  <w:pPr>
                    <w:keepNext w:val="0"/>
                    <w:keepLines w:val="0"/>
                    <w:pageBreakBefore w:val="0"/>
                    <w:widowControl/>
                    <w:suppressLineNumbers w:val="0"/>
                    <w:kinsoku/>
                    <w:wordWrap/>
                    <w:overflowPunct/>
                    <w:topLinePunct w:val="0"/>
                    <w:bidi w:val="0"/>
                    <w:spacing w:before="0" w:beforeAutospacing="0" w:after="0" w:afterAutospacing="0" w:line="240" w:lineRule="exact"/>
                    <w:ind w:left="0" w:leftChars="0" w:right="0" w:rightChars="0"/>
                    <w:jc w:val="center"/>
                    <w:textAlignment w:val="center"/>
                    <w:rPr>
                      <w:rFonts w:hint="default" w:ascii="Times New Roman" w:hAnsi="Times New Roman" w:eastAsia="宋体" w:cs="Times New Roman"/>
                      <w:i w:val="0"/>
                      <w:color w:val="FF0000"/>
                      <w:kern w:val="0"/>
                      <w:sz w:val="21"/>
                      <w:szCs w:val="21"/>
                      <w:highlight w:val="none"/>
                      <w:u w:val="none"/>
                      <w:lang w:val="en-US" w:eastAsia="zh-CN" w:bidi="ar"/>
                    </w:rPr>
                  </w:pPr>
                  <w:r>
                    <w:rPr>
                      <w:rFonts w:hint="default" w:ascii="Times New Roman" w:hAnsi="Times New Roman" w:eastAsia="宋体" w:cs="Times New Roman"/>
                      <w:i w:val="0"/>
                      <w:color w:val="FF0000"/>
                      <w:kern w:val="0"/>
                      <w:sz w:val="21"/>
                      <w:szCs w:val="21"/>
                      <w:highlight w:val="none"/>
                      <w:u w:val="none"/>
                      <w:lang w:val="en-US" w:eastAsia="zh-CN" w:bidi="ar"/>
                    </w:rPr>
                    <w:t xml:space="preserve">16.1701 </w:t>
                  </w:r>
                </w:p>
              </w:tc>
              <w:tc>
                <w:tcPr>
                  <w:tcW w:w="875" w:type="pct"/>
                  <w:noWrap w:val="0"/>
                  <w:vAlign w:val="center"/>
                </w:tcPr>
                <w:p w14:paraId="5727E4B2">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kern w:val="0"/>
                      <w:sz w:val="21"/>
                      <w:szCs w:val="21"/>
                      <w:highlight w:val="none"/>
                      <w:lang w:val="en-US" w:eastAsia="zh-CN" w:bidi="ar-SA"/>
                    </w:rPr>
                  </w:pPr>
                  <w:r>
                    <w:rPr>
                      <w:rFonts w:hint="default" w:ascii="Times New Roman" w:hAnsi="Times New Roman" w:eastAsia="宋体" w:cs="Times New Roman"/>
                      <w:i w:val="0"/>
                      <w:color w:val="FF0000"/>
                      <w:kern w:val="0"/>
                      <w:sz w:val="21"/>
                      <w:szCs w:val="21"/>
                      <w:highlight w:val="none"/>
                      <w:u w:val="none"/>
                      <w:lang w:val="en-US" w:eastAsia="zh-CN" w:bidi="ar"/>
                    </w:rPr>
                    <w:t xml:space="preserve">16.1701 </w:t>
                  </w:r>
                </w:p>
              </w:tc>
              <w:tc>
                <w:tcPr>
                  <w:tcW w:w="501" w:type="pct"/>
                  <w:vMerge w:val="continue"/>
                  <w:noWrap w:val="0"/>
                  <w:vAlign w:val="center"/>
                </w:tcPr>
                <w:p w14:paraId="2B6E343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FF0000"/>
                      <w:kern w:val="0"/>
                      <w:sz w:val="21"/>
                      <w:szCs w:val="21"/>
                      <w:highlight w:val="none"/>
                    </w:rPr>
                  </w:pPr>
                </w:p>
              </w:tc>
            </w:tr>
            <w:tr w14:paraId="5DC9A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38EC0A2B">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697" w:type="pct"/>
                  <w:gridSpan w:val="2"/>
                  <w:vMerge w:val="continue"/>
                  <w:noWrap w:val="0"/>
                  <w:vAlign w:val="center"/>
                </w:tcPr>
                <w:p w14:paraId="2E70E3D1">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2678D8C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jc w:val="center"/>
                    <w:rPr>
                      <w:rFonts w:hint="default" w:ascii="Times New Roman" w:hAnsi="Times New Roman" w:eastAsia="宋体"/>
                      <w:color w:val="FF0000"/>
                      <w:kern w:val="0"/>
                      <w:sz w:val="21"/>
                      <w:szCs w:val="21"/>
                      <w:highlight w:val="none"/>
                    </w:rPr>
                  </w:pPr>
                  <w:r>
                    <w:rPr>
                      <w:rFonts w:hint="default" w:ascii="Times New Roman" w:hAnsi="Times New Roman" w:eastAsia="宋体"/>
                      <w:color w:val="FF0000"/>
                      <w:kern w:val="0"/>
                      <w:sz w:val="21"/>
                      <w:szCs w:val="21"/>
                      <w:highlight w:val="none"/>
                    </w:rPr>
                    <w:t>SS</w:t>
                  </w:r>
                </w:p>
              </w:tc>
              <w:tc>
                <w:tcPr>
                  <w:tcW w:w="721" w:type="pct"/>
                  <w:noWrap w:val="0"/>
                  <w:vAlign w:val="center"/>
                </w:tcPr>
                <w:p w14:paraId="21E01041">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eastAsia" w:ascii="Times New Roman" w:hAnsi="Times New Roman" w:eastAsia="宋体"/>
                      <w:color w:val="FF0000"/>
                      <w:kern w:val="2"/>
                      <w:sz w:val="21"/>
                      <w:szCs w:val="21"/>
                      <w:highlight w:val="none"/>
                      <w:lang w:val="en-US" w:eastAsia="zh-CN" w:bidi="ar-SA"/>
                    </w:rPr>
                    <w:t>3.7735</w:t>
                  </w:r>
                </w:p>
              </w:tc>
              <w:tc>
                <w:tcPr>
                  <w:tcW w:w="805" w:type="pct"/>
                  <w:noWrap w:val="0"/>
                  <w:vAlign w:val="center"/>
                </w:tcPr>
                <w:p w14:paraId="6663F73F">
                  <w:pPr>
                    <w:keepNext w:val="0"/>
                    <w:keepLines w:val="0"/>
                    <w:pageBreakBefore w:val="0"/>
                    <w:widowControl/>
                    <w:suppressLineNumbers w:val="0"/>
                    <w:kinsoku/>
                    <w:wordWrap/>
                    <w:overflowPunct/>
                    <w:topLinePunct w:val="0"/>
                    <w:bidi w:val="0"/>
                    <w:spacing w:before="0" w:beforeAutospacing="0" w:after="0" w:afterAutospacing="0" w:line="240" w:lineRule="exact"/>
                    <w:ind w:left="0" w:leftChars="0" w:right="0" w:rightChars="0"/>
                    <w:jc w:val="center"/>
                    <w:textAlignment w:val="center"/>
                    <w:rPr>
                      <w:rFonts w:hint="eastAsia" w:ascii="Times New Roman" w:hAnsi="Times New Roman" w:eastAsia="宋体"/>
                      <w:color w:val="FF0000"/>
                      <w:kern w:val="0"/>
                      <w:sz w:val="21"/>
                      <w:szCs w:val="21"/>
                      <w:highlight w:val="none"/>
                      <w:lang w:val="en-US" w:eastAsia="zh-CN" w:bidi="ar-SA"/>
                    </w:rPr>
                  </w:pPr>
                  <w:r>
                    <w:rPr>
                      <w:rFonts w:hint="eastAsia" w:ascii="Times New Roman" w:hAnsi="Times New Roman" w:eastAsia="宋体"/>
                      <w:color w:val="FF0000"/>
                      <w:kern w:val="0"/>
                      <w:sz w:val="21"/>
                      <w:szCs w:val="21"/>
                      <w:highlight w:val="none"/>
                      <w:lang w:val="en-US" w:eastAsia="zh-CN" w:bidi="ar-SA"/>
                    </w:rPr>
                    <w:t>14.1961</w:t>
                  </w:r>
                </w:p>
              </w:tc>
              <w:tc>
                <w:tcPr>
                  <w:tcW w:w="875" w:type="pct"/>
                  <w:noWrap w:val="0"/>
                  <w:vAlign w:val="center"/>
                </w:tcPr>
                <w:p w14:paraId="07FDC3C4">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kern w:val="0"/>
                      <w:sz w:val="21"/>
                      <w:szCs w:val="21"/>
                      <w:highlight w:val="none"/>
                      <w:lang w:val="en-US" w:eastAsia="zh-CN" w:bidi="ar-SA"/>
                    </w:rPr>
                  </w:pPr>
                  <w:r>
                    <w:rPr>
                      <w:rFonts w:hint="eastAsia" w:ascii="Times New Roman" w:hAnsi="Times New Roman" w:eastAsia="宋体"/>
                      <w:color w:val="FF0000"/>
                      <w:kern w:val="0"/>
                      <w:sz w:val="21"/>
                      <w:szCs w:val="21"/>
                      <w:highlight w:val="none"/>
                      <w:lang w:val="en-US" w:eastAsia="zh-CN" w:bidi="ar-SA"/>
                    </w:rPr>
                    <w:t>14.1961</w:t>
                  </w:r>
                </w:p>
              </w:tc>
              <w:tc>
                <w:tcPr>
                  <w:tcW w:w="501" w:type="pct"/>
                  <w:vMerge w:val="continue"/>
                  <w:noWrap w:val="0"/>
                  <w:vAlign w:val="center"/>
                </w:tcPr>
                <w:p w14:paraId="60CCDDF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FF0000"/>
                      <w:kern w:val="0"/>
                      <w:sz w:val="21"/>
                      <w:szCs w:val="21"/>
                      <w:highlight w:val="none"/>
                    </w:rPr>
                  </w:pPr>
                </w:p>
              </w:tc>
            </w:tr>
            <w:tr w14:paraId="5AE0B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53EB6FBC">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697" w:type="pct"/>
                  <w:gridSpan w:val="2"/>
                  <w:vMerge w:val="continue"/>
                  <w:noWrap w:val="0"/>
                  <w:vAlign w:val="center"/>
                </w:tcPr>
                <w:p w14:paraId="1CAB045F">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4772705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jc w:val="center"/>
                    <w:rPr>
                      <w:rFonts w:hint="default" w:ascii="Times New Roman" w:hAnsi="Times New Roman" w:eastAsia="宋体"/>
                      <w:color w:val="FF0000"/>
                      <w:kern w:val="0"/>
                      <w:sz w:val="21"/>
                      <w:szCs w:val="21"/>
                      <w:highlight w:val="none"/>
                    </w:rPr>
                  </w:pPr>
                  <w:r>
                    <w:rPr>
                      <w:rFonts w:hint="default" w:ascii="Times New Roman" w:hAnsi="Times New Roman" w:eastAsia="宋体"/>
                      <w:color w:val="FF0000"/>
                      <w:kern w:val="0"/>
                      <w:sz w:val="21"/>
                      <w:szCs w:val="21"/>
                      <w:highlight w:val="none"/>
                    </w:rPr>
                    <w:t>NH</w:t>
                  </w:r>
                  <w:r>
                    <w:rPr>
                      <w:rFonts w:hint="default" w:ascii="Times New Roman" w:hAnsi="Times New Roman" w:eastAsia="宋体"/>
                      <w:color w:val="FF0000"/>
                      <w:kern w:val="0"/>
                      <w:sz w:val="21"/>
                      <w:szCs w:val="21"/>
                      <w:highlight w:val="none"/>
                      <w:vertAlign w:val="subscript"/>
                    </w:rPr>
                    <w:t>3</w:t>
                  </w:r>
                  <w:r>
                    <w:rPr>
                      <w:rFonts w:hint="default" w:ascii="Times New Roman" w:hAnsi="Times New Roman" w:eastAsia="宋体"/>
                      <w:color w:val="FF0000"/>
                      <w:kern w:val="0"/>
                      <w:sz w:val="21"/>
                      <w:szCs w:val="21"/>
                      <w:highlight w:val="none"/>
                    </w:rPr>
                    <w:t>-N</w:t>
                  </w:r>
                </w:p>
              </w:tc>
              <w:tc>
                <w:tcPr>
                  <w:tcW w:w="721" w:type="pct"/>
                  <w:noWrap w:val="0"/>
                  <w:vAlign w:val="center"/>
                </w:tcPr>
                <w:p w14:paraId="16485A5C">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eastAsia" w:ascii="Times New Roman" w:hAnsi="Times New Roman" w:eastAsia="宋体"/>
                      <w:color w:val="FF0000"/>
                      <w:kern w:val="2"/>
                      <w:sz w:val="21"/>
                      <w:szCs w:val="21"/>
                      <w:highlight w:val="none"/>
                      <w:lang w:val="en-US" w:eastAsia="zh-CN" w:bidi="ar-SA"/>
                    </w:rPr>
                    <w:t>0.6334</w:t>
                  </w:r>
                </w:p>
              </w:tc>
              <w:tc>
                <w:tcPr>
                  <w:tcW w:w="805" w:type="pct"/>
                  <w:noWrap w:val="0"/>
                  <w:vAlign w:val="center"/>
                </w:tcPr>
                <w:p w14:paraId="1124D369">
                  <w:pPr>
                    <w:keepNext w:val="0"/>
                    <w:keepLines w:val="0"/>
                    <w:pageBreakBefore w:val="0"/>
                    <w:widowControl/>
                    <w:suppressLineNumbers w:val="0"/>
                    <w:kinsoku/>
                    <w:wordWrap/>
                    <w:overflowPunct/>
                    <w:topLinePunct w:val="0"/>
                    <w:bidi w:val="0"/>
                    <w:spacing w:before="0" w:beforeAutospacing="0" w:after="0" w:afterAutospacing="0" w:line="240" w:lineRule="exact"/>
                    <w:ind w:left="0" w:leftChars="0" w:right="0" w:rightChars="0"/>
                    <w:jc w:val="center"/>
                    <w:textAlignment w:val="center"/>
                    <w:rPr>
                      <w:rFonts w:hint="default" w:ascii="Times New Roman" w:hAnsi="Times New Roman" w:eastAsia="宋体" w:cs="Times New Roman"/>
                      <w:i w:val="0"/>
                      <w:color w:val="FF0000"/>
                      <w:kern w:val="0"/>
                      <w:sz w:val="21"/>
                      <w:szCs w:val="21"/>
                      <w:highlight w:val="none"/>
                      <w:u w:val="none"/>
                      <w:lang w:val="en-US" w:eastAsia="zh-CN" w:bidi="ar"/>
                    </w:rPr>
                  </w:pPr>
                  <w:r>
                    <w:rPr>
                      <w:rFonts w:hint="default" w:ascii="Times New Roman" w:hAnsi="Times New Roman" w:eastAsia="宋体" w:cs="Times New Roman"/>
                      <w:i w:val="0"/>
                      <w:color w:val="FF0000"/>
                      <w:kern w:val="0"/>
                      <w:sz w:val="21"/>
                      <w:szCs w:val="21"/>
                      <w:highlight w:val="none"/>
                      <w:u w:val="none"/>
                      <w:lang w:val="en-US" w:eastAsia="zh-CN" w:bidi="ar"/>
                    </w:rPr>
                    <w:t xml:space="preserve">1.1760 </w:t>
                  </w:r>
                </w:p>
              </w:tc>
              <w:tc>
                <w:tcPr>
                  <w:tcW w:w="875" w:type="pct"/>
                  <w:noWrap w:val="0"/>
                  <w:vAlign w:val="center"/>
                </w:tcPr>
                <w:p w14:paraId="5D494BAD">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olor w:val="FF0000"/>
                      <w:kern w:val="0"/>
                      <w:sz w:val="21"/>
                      <w:szCs w:val="21"/>
                      <w:highlight w:val="none"/>
                      <w:lang w:val="en-US" w:eastAsia="zh-CN" w:bidi="ar-SA"/>
                    </w:rPr>
                  </w:pPr>
                  <w:r>
                    <w:rPr>
                      <w:rFonts w:hint="default" w:ascii="Times New Roman" w:hAnsi="Times New Roman" w:eastAsia="宋体" w:cs="Times New Roman"/>
                      <w:i w:val="0"/>
                      <w:color w:val="FF0000"/>
                      <w:kern w:val="0"/>
                      <w:sz w:val="21"/>
                      <w:szCs w:val="21"/>
                      <w:highlight w:val="none"/>
                      <w:u w:val="none"/>
                      <w:lang w:val="en-US" w:eastAsia="zh-CN" w:bidi="ar"/>
                    </w:rPr>
                    <w:t xml:space="preserve">1.1760 </w:t>
                  </w:r>
                </w:p>
              </w:tc>
              <w:tc>
                <w:tcPr>
                  <w:tcW w:w="501" w:type="pct"/>
                  <w:vMerge w:val="continue"/>
                  <w:noWrap w:val="0"/>
                  <w:vAlign w:val="center"/>
                </w:tcPr>
                <w:p w14:paraId="0483E9B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FF0000"/>
                      <w:kern w:val="0"/>
                      <w:sz w:val="21"/>
                      <w:szCs w:val="21"/>
                      <w:highlight w:val="none"/>
                    </w:rPr>
                  </w:pPr>
                </w:p>
              </w:tc>
            </w:tr>
            <w:tr w14:paraId="41639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2" w:hRule="atLeast"/>
                <w:jc w:val="center"/>
              </w:trPr>
              <w:tc>
                <w:tcPr>
                  <w:tcW w:w="697" w:type="pct"/>
                  <w:vMerge w:val="continue"/>
                  <w:noWrap w:val="0"/>
                  <w:vAlign w:val="center"/>
                </w:tcPr>
                <w:p w14:paraId="77D038B9">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697" w:type="pct"/>
                  <w:gridSpan w:val="2"/>
                  <w:vMerge w:val="continue"/>
                  <w:noWrap w:val="0"/>
                  <w:vAlign w:val="center"/>
                </w:tcPr>
                <w:p w14:paraId="1D326CCB">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1F05B8E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jc w:val="center"/>
                    <w:rPr>
                      <w:rFonts w:hint="default" w:ascii="Times New Roman" w:hAnsi="Times New Roman" w:eastAsia="宋体"/>
                      <w:color w:val="FF0000"/>
                      <w:kern w:val="0"/>
                      <w:sz w:val="21"/>
                      <w:szCs w:val="21"/>
                      <w:highlight w:val="none"/>
                    </w:rPr>
                  </w:pPr>
                  <w:r>
                    <w:rPr>
                      <w:rFonts w:hint="default" w:ascii="Times New Roman" w:hAnsi="Times New Roman" w:eastAsia="宋体"/>
                      <w:color w:val="FF0000"/>
                      <w:kern w:val="0"/>
                      <w:sz w:val="21"/>
                      <w:szCs w:val="21"/>
                      <w:highlight w:val="none"/>
                    </w:rPr>
                    <w:t>TN</w:t>
                  </w:r>
                </w:p>
              </w:tc>
              <w:tc>
                <w:tcPr>
                  <w:tcW w:w="721" w:type="pct"/>
                  <w:noWrap w:val="0"/>
                  <w:vAlign w:val="center"/>
                </w:tcPr>
                <w:p w14:paraId="6DED78F6">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eastAsia" w:ascii="Times New Roman" w:hAnsi="Times New Roman" w:eastAsia="宋体"/>
                      <w:color w:val="FF0000"/>
                      <w:kern w:val="2"/>
                      <w:sz w:val="21"/>
                      <w:szCs w:val="21"/>
                      <w:highlight w:val="none"/>
                      <w:lang w:val="en-US" w:eastAsia="zh-CN" w:bidi="ar-SA"/>
                    </w:rPr>
                    <w:t>0.9636</w:t>
                  </w:r>
                </w:p>
              </w:tc>
              <w:tc>
                <w:tcPr>
                  <w:tcW w:w="805" w:type="pct"/>
                  <w:noWrap w:val="0"/>
                  <w:vAlign w:val="center"/>
                </w:tcPr>
                <w:p w14:paraId="3022A1C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jc w:val="center"/>
                    <w:rPr>
                      <w:rFonts w:hint="default" w:ascii="Times New Roman" w:hAnsi="Times New Roman" w:eastAsia="宋体"/>
                      <w:color w:val="FF0000"/>
                      <w:kern w:val="0"/>
                      <w:szCs w:val="21"/>
                      <w:highlight w:val="none"/>
                      <w:lang w:val="en-US" w:eastAsia="zh-CN"/>
                    </w:rPr>
                  </w:pPr>
                  <w:r>
                    <w:rPr>
                      <w:rFonts w:hint="default" w:ascii="Times New Roman" w:hAnsi="Times New Roman" w:eastAsia="宋体"/>
                      <w:color w:val="FF0000"/>
                      <w:kern w:val="0"/>
                      <w:szCs w:val="21"/>
                      <w:highlight w:val="none"/>
                      <w:lang w:val="en-US" w:eastAsia="zh-CN"/>
                    </w:rPr>
                    <w:t xml:space="preserve">1.5120 </w:t>
                  </w:r>
                </w:p>
              </w:tc>
              <w:tc>
                <w:tcPr>
                  <w:tcW w:w="875" w:type="pct"/>
                  <w:noWrap w:val="0"/>
                  <w:vAlign w:val="center"/>
                </w:tcPr>
                <w:p w14:paraId="2715D85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jc w:val="center"/>
                    <w:rPr>
                      <w:rFonts w:hint="eastAsia" w:ascii="Times New Roman" w:hAnsi="Times New Roman" w:eastAsia="宋体"/>
                      <w:color w:val="FF0000"/>
                      <w:kern w:val="2"/>
                      <w:sz w:val="21"/>
                      <w:szCs w:val="21"/>
                      <w:highlight w:val="none"/>
                      <w:lang w:val="en-US" w:eastAsia="zh-CN" w:bidi="ar-SA"/>
                    </w:rPr>
                  </w:pPr>
                  <w:r>
                    <w:rPr>
                      <w:rFonts w:hint="default" w:ascii="Times New Roman" w:hAnsi="Times New Roman" w:eastAsia="宋体"/>
                      <w:color w:val="FF0000"/>
                      <w:kern w:val="0"/>
                      <w:szCs w:val="21"/>
                      <w:highlight w:val="none"/>
                      <w:lang w:val="en-US" w:eastAsia="zh-CN"/>
                    </w:rPr>
                    <w:t xml:space="preserve">1.5120 </w:t>
                  </w:r>
                </w:p>
              </w:tc>
              <w:tc>
                <w:tcPr>
                  <w:tcW w:w="501" w:type="pct"/>
                  <w:vMerge w:val="continue"/>
                  <w:noWrap w:val="0"/>
                  <w:vAlign w:val="center"/>
                </w:tcPr>
                <w:p w14:paraId="2A43931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FF0000"/>
                      <w:kern w:val="0"/>
                      <w:sz w:val="21"/>
                      <w:szCs w:val="21"/>
                      <w:highlight w:val="none"/>
                    </w:rPr>
                  </w:pPr>
                </w:p>
              </w:tc>
            </w:tr>
            <w:tr w14:paraId="7F440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2" w:hRule="atLeast"/>
                <w:jc w:val="center"/>
              </w:trPr>
              <w:tc>
                <w:tcPr>
                  <w:tcW w:w="697" w:type="pct"/>
                  <w:vMerge w:val="continue"/>
                  <w:noWrap w:val="0"/>
                  <w:vAlign w:val="center"/>
                </w:tcPr>
                <w:p w14:paraId="285A6238">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697" w:type="pct"/>
                  <w:gridSpan w:val="2"/>
                  <w:vMerge w:val="continue"/>
                  <w:noWrap w:val="0"/>
                  <w:vAlign w:val="center"/>
                </w:tcPr>
                <w:p w14:paraId="7BC0BD2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43EDA99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jc w:val="center"/>
                    <w:rPr>
                      <w:rFonts w:hint="default" w:ascii="Times New Roman" w:hAnsi="Times New Roman" w:eastAsia="宋体"/>
                      <w:color w:val="FF0000"/>
                      <w:kern w:val="0"/>
                      <w:sz w:val="21"/>
                      <w:szCs w:val="21"/>
                      <w:highlight w:val="none"/>
                    </w:rPr>
                  </w:pPr>
                  <w:r>
                    <w:rPr>
                      <w:rFonts w:hint="default" w:ascii="Times New Roman" w:hAnsi="Times New Roman" w:eastAsia="宋体"/>
                      <w:color w:val="FF0000"/>
                      <w:kern w:val="0"/>
                      <w:sz w:val="21"/>
                      <w:szCs w:val="21"/>
                      <w:highlight w:val="none"/>
                    </w:rPr>
                    <w:t>TP</w:t>
                  </w:r>
                </w:p>
              </w:tc>
              <w:tc>
                <w:tcPr>
                  <w:tcW w:w="721" w:type="pct"/>
                  <w:noWrap w:val="0"/>
                  <w:vAlign w:val="center"/>
                </w:tcPr>
                <w:p w14:paraId="61A9267F">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eastAsia" w:ascii="Times New Roman" w:hAnsi="Times New Roman" w:eastAsia="宋体"/>
                      <w:color w:val="FF0000"/>
                      <w:kern w:val="2"/>
                      <w:sz w:val="21"/>
                      <w:szCs w:val="21"/>
                      <w:highlight w:val="none"/>
                      <w:lang w:val="en-US" w:eastAsia="zh-CN" w:bidi="ar-SA"/>
                    </w:rPr>
                    <w:t>0.1058</w:t>
                  </w:r>
                </w:p>
              </w:tc>
              <w:tc>
                <w:tcPr>
                  <w:tcW w:w="805" w:type="pct"/>
                  <w:noWrap w:val="0"/>
                  <w:vAlign w:val="center"/>
                </w:tcPr>
                <w:p w14:paraId="1FB8847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leftChars="0" w:right="0" w:rightChars="0"/>
                    <w:jc w:val="center"/>
                    <w:rPr>
                      <w:rFonts w:hint="default" w:ascii="Times New Roman" w:hAnsi="Times New Roman" w:eastAsia="宋体"/>
                      <w:color w:val="FF0000"/>
                      <w:kern w:val="0"/>
                      <w:szCs w:val="21"/>
                      <w:highlight w:val="none"/>
                      <w:lang w:val="en-US" w:eastAsia="zh-CN"/>
                    </w:rPr>
                  </w:pPr>
                  <w:r>
                    <w:rPr>
                      <w:rFonts w:hint="default" w:ascii="Times New Roman" w:hAnsi="Times New Roman" w:eastAsia="宋体"/>
                      <w:color w:val="FF0000"/>
                      <w:kern w:val="0"/>
                      <w:szCs w:val="21"/>
                      <w:highlight w:val="none"/>
                      <w:lang w:val="en-US" w:eastAsia="zh-CN"/>
                    </w:rPr>
                    <w:t xml:space="preserve">0.1680 </w:t>
                  </w:r>
                </w:p>
              </w:tc>
              <w:tc>
                <w:tcPr>
                  <w:tcW w:w="875" w:type="pct"/>
                  <w:noWrap w:val="0"/>
                  <w:vAlign w:val="center"/>
                </w:tcPr>
                <w:p w14:paraId="3BC1983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default" w:ascii="Times New Roman" w:hAnsi="Times New Roman" w:eastAsia="宋体"/>
                      <w:color w:val="FF0000"/>
                      <w:kern w:val="0"/>
                      <w:szCs w:val="21"/>
                      <w:highlight w:val="none"/>
                      <w:lang w:val="en-US" w:eastAsia="zh-CN"/>
                    </w:rPr>
                    <w:t xml:space="preserve">0.1680 </w:t>
                  </w:r>
                </w:p>
              </w:tc>
              <w:tc>
                <w:tcPr>
                  <w:tcW w:w="501" w:type="pct"/>
                  <w:vMerge w:val="continue"/>
                  <w:noWrap w:val="0"/>
                  <w:vAlign w:val="center"/>
                </w:tcPr>
                <w:p w14:paraId="6886130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FF0000"/>
                      <w:kern w:val="0"/>
                      <w:sz w:val="21"/>
                      <w:szCs w:val="21"/>
                      <w:highlight w:val="none"/>
                    </w:rPr>
                  </w:pPr>
                </w:p>
              </w:tc>
            </w:tr>
            <w:tr w14:paraId="676A1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4" w:hRule="atLeast"/>
                <w:jc w:val="center"/>
              </w:trPr>
              <w:tc>
                <w:tcPr>
                  <w:tcW w:w="697" w:type="pct"/>
                  <w:vMerge w:val="continue"/>
                  <w:noWrap w:val="0"/>
                  <w:vAlign w:val="center"/>
                </w:tcPr>
                <w:p w14:paraId="5550C3F1">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697" w:type="pct"/>
                  <w:gridSpan w:val="2"/>
                  <w:vMerge w:val="continue"/>
                  <w:noWrap w:val="0"/>
                  <w:vAlign w:val="center"/>
                </w:tcPr>
                <w:p w14:paraId="6E4FE92A">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0144791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exact"/>
                    <w:ind w:left="0" w:right="0"/>
                    <w:jc w:val="center"/>
                    <w:rPr>
                      <w:rFonts w:hint="eastAsia" w:ascii="Times New Roman" w:hAnsi="Times New Roman" w:eastAsia="宋体"/>
                      <w:color w:val="FF0000"/>
                      <w:kern w:val="0"/>
                      <w:sz w:val="21"/>
                      <w:szCs w:val="21"/>
                      <w:highlight w:val="none"/>
                      <w:lang w:eastAsia="zh-CN"/>
                    </w:rPr>
                  </w:pPr>
                  <w:r>
                    <w:rPr>
                      <w:rFonts w:hint="eastAsia" w:ascii="Times New Roman" w:hAnsi="Times New Roman" w:eastAsia="宋体"/>
                      <w:color w:val="FF0000"/>
                      <w:kern w:val="0"/>
                      <w:sz w:val="21"/>
                      <w:szCs w:val="21"/>
                      <w:highlight w:val="none"/>
                      <w:lang w:eastAsia="zh-CN"/>
                    </w:rPr>
                    <w:t>动植物油</w:t>
                  </w:r>
                </w:p>
              </w:tc>
              <w:tc>
                <w:tcPr>
                  <w:tcW w:w="721" w:type="pct"/>
                  <w:noWrap w:val="0"/>
                  <w:vAlign w:val="center"/>
                </w:tcPr>
                <w:p w14:paraId="16EE5756">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kern w:val="2"/>
                      <w:sz w:val="21"/>
                      <w:szCs w:val="21"/>
                      <w:highlight w:val="none"/>
                      <w:lang w:val="en-US" w:eastAsia="zh-CN" w:bidi="ar-SA"/>
                    </w:rPr>
                  </w:pPr>
                  <w:r>
                    <w:rPr>
                      <w:rFonts w:hint="eastAsia" w:ascii="Times New Roman" w:hAnsi="Times New Roman" w:eastAsia="宋体"/>
                      <w:color w:val="FF0000"/>
                      <w:sz w:val="21"/>
                      <w:szCs w:val="21"/>
                      <w:highlight w:val="none"/>
                      <w:lang w:val="en-US" w:eastAsia="zh-CN"/>
                    </w:rPr>
                    <w:t>0.0108</w:t>
                  </w:r>
                </w:p>
              </w:tc>
              <w:tc>
                <w:tcPr>
                  <w:tcW w:w="805" w:type="pct"/>
                  <w:noWrap w:val="0"/>
                  <w:vAlign w:val="center"/>
                </w:tcPr>
                <w:p w14:paraId="0DACB698">
                  <w:pPr>
                    <w:keepNext w:val="0"/>
                    <w:keepLines w:val="0"/>
                    <w:pageBreakBefore w:val="0"/>
                    <w:widowControl/>
                    <w:suppressLineNumbers w:val="0"/>
                    <w:kinsoku/>
                    <w:wordWrap/>
                    <w:overflowPunct/>
                    <w:topLinePunct w:val="0"/>
                    <w:bidi w:val="0"/>
                    <w:spacing w:before="0" w:beforeAutospacing="0" w:after="0" w:afterAutospacing="0" w:line="240" w:lineRule="exact"/>
                    <w:ind w:left="0" w:leftChars="0" w:right="0" w:rightChars="0"/>
                    <w:jc w:val="center"/>
                    <w:textAlignment w:val="center"/>
                    <w:rPr>
                      <w:rFonts w:hint="eastAsia"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 xml:space="preserve">0.7680 </w:t>
                  </w:r>
                </w:p>
              </w:tc>
              <w:tc>
                <w:tcPr>
                  <w:tcW w:w="875" w:type="pct"/>
                  <w:noWrap w:val="0"/>
                  <w:vAlign w:val="center"/>
                </w:tcPr>
                <w:p w14:paraId="12D6E70F">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textAlignment w:val="center"/>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 xml:space="preserve">0.7680 </w:t>
                  </w:r>
                </w:p>
              </w:tc>
              <w:tc>
                <w:tcPr>
                  <w:tcW w:w="501" w:type="pct"/>
                  <w:vMerge w:val="continue"/>
                  <w:noWrap w:val="0"/>
                  <w:vAlign w:val="center"/>
                </w:tcPr>
                <w:p w14:paraId="174CB94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olor w:val="FF0000"/>
                      <w:kern w:val="0"/>
                      <w:sz w:val="21"/>
                      <w:szCs w:val="21"/>
                      <w:highlight w:val="none"/>
                    </w:rPr>
                  </w:pPr>
                </w:p>
              </w:tc>
            </w:tr>
            <w:tr w14:paraId="137C3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0" w:hRule="atLeast"/>
                <w:jc w:val="center"/>
              </w:trPr>
              <w:tc>
                <w:tcPr>
                  <w:tcW w:w="697" w:type="pct"/>
                  <w:vMerge w:val="continue"/>
                  <w:noWrap w:val="0"/>
                  <w:vAlign w:val="center"/>
                </w:tcPr>
                <w:p w14:paraId="09CD4030">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eastAsia"/>
                      <w:color w:val="FF0000"/>
                      <w:sz w:val="21"/>
                      <w:szCs w:val="21"/>
                      <w:highlight w:val="none"/>
                      <w:lang w:eastAsia="zh-CN"/>
                    </w:rPr>
                  </w:pPr>
                </w:p>
              </w:tc>
              <w:tc>
                <w:tcPr>
                  <w:tcW w:w="697" w:type="pct"/>
                  <w:gridSpan w:val="2"/>
                  <w:vMerge w:val="restart"/>
                  <w:noWrap w:val="0"/>
                  <w:vAlign w:val="center"/>
                </w:tcPr>
                <w:p w14:paraId="64A648CB">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lang w:eastAsia="zh-CN"/>
                    </w:rPr>
                  </w:pPr>
                  <w:r>
                    <w:rPr>
                      <w:rFonts w:hint="eastAsia"/>
                      <w:color w:val="FF0000"/>
                      <w:sz w:val="21"/>
                      <w:szCs w:val="21"/>
                      <w:highlight w:val="none"/>
                      <w:lang w:eastAsia="zh-CN"/>
                    </w:rPr>
                    <w:t>固体废物</w:t>
                  </w:r>
                </w:p>
              </w:tc>
              <w:tc>
                <w:tcPr>
                  <w:tcW w:w="701" w:type="pct"/>
                  <w:noWrap w:val="0"/>
                  <w:vAlign w:val="center"/>
                </w:tcPr>
                <w:p w14:paraId="1EDDB7F1">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lang w:eastAsia="zh-CN"/>
                    </w:rPr>
                  </w:pPr>
                  <w:r>
                    <w:rPr>
                      <w:rFonts w:hint="eastAsia"/>
                      <w:color w:val="FF0000"/>
                      <w:sz w:val="21"/>
                      <w:szCs w:val="21"/>
                      <w:highlight w:val="none"/>
                      <w:lang w:eastAsia="zh-CN"/>
                    </w:rPr>
                    <w:t>一般固体废物</w:t>
                  </w:r>
                </w:p>
              </w:tc>
              <w:tc>
                <w:tcPr>
                  <w:tcW w:w="721" w:type="pct"/>
                  <w:noWrap w:val="0"/>
                  <w:vAlign w:val="center"/>
                </w:tcPr>
                <w:p w14:paraId="6CBEE5B3">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0</w:t>
                  </w:r>
                </w:p>
              </w:tc>
              <w:tc>
                <w:tcPr>
                  <w:tcW w:w="805" w:type="pct"/>
                  <w:noWrap w:val="0"/>
                  <w:vAlign w:val="center"/>
                </w:tcPr>
                <w:p w14:paraId="04D229EF">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lang w:val="en-US" w:eastAsia="zh-CN"/>
                    </w:rPr>
                  </w:pPr>
                  <w:r>
                    <w:rPr>
                      <w:rFonts w:hint="eastAsia"/>
                      <w:color w:val="FF0000"/>
                      <w:sz w:val="21"/>
                      <w:szCs w:val="21"/>
                      <w:highlight w:val="none"/>
                      <w:lang w:val="en-US" w:eastAsia="zh-CN"/>
                    </w:rPr>
                    <w:t>0</w:t>
                  </w:r>
                </w:p>
              </w:tc>
              <w:tc>
                <w:tcPr>
                  <w:tcW w:w="875" w:type="pct"/>
                  <w:noWrap w:val="0"/>
                  <w:vAlign w:val="center"/>
                </w:tcPr>
                <w:p w14:paraId="73AA7ACA">
                  <w:pPr>
                    <w:keepNext w:val="0"/>
                    <w:keepLines w:val="0"/>
                    <w:pageBreakBefore w:val="0"/>
                    <w:widowControl/>
                    <w:suppressLineNumbers w:val="0"/>
                    <w:kinsoku/>
                    <w:wordWrap/>
                    <w:overflowPunct/>
                    <w:topLinePunct w:val="0"/>
                    <w:bidi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lang w:val="en-US" w:eastAsia="zh-CN"/>
                    </w:rPr>
                  </w:pPr>
                  <w:r>
                    <w:rPr>
                      <w:rFonts w:hint="eastAsia" w:ascii="Times New Roman" w:hAnsi="Times New Roman" w:eastAsia="宋体"/>
                      <w:color w:val="FF0000"/>
                      <w:sz w:val="21"/>
                      <w:szCs w:val="21"/>
                      <w:highlight w:val="none"/>
                      <w:lang w:val="en-US" w:eastAsia="zh-CN"/>
                    </w:rPr>
                    <w:t>0</w:t>
                  </w:r>
                </w:p>
              </w:tc>
              <w:tc>
                <w:tcPr>
                  <w:tcW w:w="501" w:type="pct"/>
                  <w:vMerge w:val="continue"/>
                  <w:noWrap w:val="0"/>
                  <w:vAlign w:val="center"/>
                </w:tcPr>
                <w:p w14:paraId="10B3EA91">
                  <w:pPr>
                    <w:keepNext w:val="0"/>
                    <w:keepLines w:val="0"/>
                    <w:widowControl/>
                    <w:suppressLineNumbers w:val="0"/>
                    <w:spacing w:before="0" w:beforeAutospacing="0" w:after="0" w:afterAutospacing="0"/>
                    <w:ind w:left="0" w:right="0"/>
                    <w:jc w:val="center"/>
                    <w:rPr>
                      <w:rFonts w:hint="default" w:ascii="Times New Roman" w:hAnsi="Times New Roman" w:eastAsia="宋体"/>
                      <w:color w:val="FF0000"/>
                      <w:sz w:val="21"/>
                      <w:szCs w:val="21"/>
                      <w:highlight w:val="none"/>
                    </w:rPr>
                  </w:pPr>
                </w:p>
              </w:tc>
            </w:tr>
            <w:tr w14:paraId="4D155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0" w:hRule="atLeast"/>
                <w:jc w:val="center"/>
              </w:trPr>
              <w:tc>
                <w:tcPr>
                  <w:tcW w:w="697" w:type="pct"/>
                  <w:vMerge w:val="continue"/>
                  <w:noWrap w:val="0"/>
                  <w:vAlign w:val="center"/>
                </w:tcPr>
                <w:p w14:paraId="4A279A5E">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697" w:type="pct"/>
                  <w:gridSpan w:val="2"/>
                  <w:vMerge w:val="continue"/>
                  <w:noWrap w:val="0"/>
                  <w:vAlign w:val="center"/>
                </w:tcPr>
                <w:p w14:paraId="37247CAA">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68138443">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lang w:eastAsia="zh-CN"/>
                    </w:rPr>
                  </w:pPr>
                  <w:r>
                    <w:rPr>
                      <w:rFonts w:hint="default" w:ascii="Times New Roman" w:hAnsi="Times New Roman" w:eastAsia="宋体"/>
                      <w:color w:val="FF0000"/>
                      <w:sz w:val="21"/>
                      <w:szCs w:val="21"/>
                      <w:highlight w:val="none"/>
                    </w:rPr>
                    <w:t>危险</w:t>
                  </w:r>
                  <w:r>
                    <w:rPr>
                      <w:rFonts w:hint="eastAsia"/>
                      <w:color w:val="FF0000"/>
                      <w:sz w:val="21"/>
                      <w:szCs w:val="21"/>
                      <w:highlight w:val="none"/>
                      <w:lang w:eastAsia="zh-CN"/>
                    </w:rPr>
                    <w:t>固体废物</w:t>
                  </w:r>
                </w:p>
              </w:tc>
              <w:tc>
                <w:tcPr>
                  <w:tcW w:w="721" w:type="pct"/>
                  <w:noWrap w:val="0"/>
                  <w:vAlign w:val="center"/>
                </w:tcPr>
                <w:p w14:paraId="687F6F4D">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0</w:t>
                  </w:r>
                </w:p>
              </w:tc>
              <w:tc>
                <w:tcPr>
                  <w:tcW w:w="805" w:type="pct"/>
                  <w:noWrap w:val="0"/>
                  <w:vAlign w:val="center"/>
                </w:tcPr>
                <w:p w14:paraId="09302FA7">
                  <w:pPr>
                    <w:keepNext w:val="0"/>
                    <w:keepLines w:val="0"/>
                    <w:pageBreakBefore w:val="0"/>
                    <w:widowControl/>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kern w:val="0"/>
                      <w:sz w:val="21"/>
                      <w:szCs w:val="21"/>
                      <w:highlight w:val="none"/>
                      <w:lang w:val="en-US" w:eastAsia="zh-CN"/>
                    </w:rPr>
                  </w:pPr>
                  <w:r>
                    <w:rPr>
                      <w:rFonts w:hint="eastAsia"/>
                      <w:color w:val="FF0000"/>
                      <w:kern w:val="0"/>
                      <w:sz w:val="21"/>
                      <w:szCs w:val="21"/>
                      <w:highlight w:val="none"/>
                      <w:lang w:val="en-US" w:eastAsia="zh-CN"/>
                    </w:rPr>
                    <w:t>0</w:t>
                  </w:r>
                </w:p>
              </w:tc>
              <w:tc>
                <w:tcPr>
                  <w:tcW w:w="875" w:type="pct"/>
                  <w:noWrap w:val="0"/>
                  <w:vAlign w:val="center"/>
                </w:tcPr>
                <w:p w14:paraId="7E596A50">
                  <w:pPr>
                    <w:keepNext w:val="0"/>
                    <w:keepLines w:val="0"/>
                    <w:pageBreakBefore w:val="0"/>
                    <w:widowControl/>
                    <w:suppressLineNumbers w:val="0"/>
                    <w:kinsoku/>
                    <w:wordWrap/>
                    <w:overflowPunct/>
                    <w:topLinePunct w:val="0"/>
                    <w:bidi w:val="0"/>
                    <w:snapToGrid w:val="0"/>
                    <w:spacing w:before="0" w:beforeAutospacing="0" w:after="0" w:afterAutospacing="0" w:line="240" w:lineRule="exact"/>
                    <w:ind w:left="0" w:right="0"/>
                    <w:jc w:val="center"/>
                    <w:rPr>
                      <w:rFonts w:hint="eastAsia" w:ascii="Times New Roman" w:hAnsi="Times New Roman" w:eastAsia="宋体"/>
                      <w:color w:val="FF0000"/>
                      <w:kern w:val="0"/>
                      <w:sz w:val="21"/>
                      <w:szCs w:val="21"/>
                      <w:highlight w:val="none"/>
                      <w:lang w:val="en-US" w:eastAsia="zh-CN"/>
                    </w:rPr>
                  </w:pPr>
                  <w:r>
                    <w:rPr>
                      <w:rFonts w:hint="eastAsia" w:ascii="Times New Roman" w:hAnsi="Times New Roman" w:eastAsia="宋体"/>
                      <w:color w:val="FF0000"/>
                      <w:kern w:val="0"/>
                      <w:sz w:val="21"/>
                      <w:szCs w:val="21"/>
                      <w:highlight w:val="none"/>
                      <w:lang w:val="en-US" w:eastAsia="zh-CN"/>
                    </w:rPr>
                    <w:t>0</w:t>
                  </w:r>
                </w:p>
              </w:tc>
              <w:tc>
                <w:tcPr>
                  <w:tcW w:w="501" w:type="pct"/>
                  <w:vMerge w:val="continue"/>
                  <w:noWrap w:val="0"/>
                  <w:vAlign w:val="center"/>
                </w:tcPr>
                <w:p w14:paraId="3511ECED">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olor w:val="FF0000"/>
                      <w:kern w:val="0"/>
                      <w:sz w:val="21"/>
                      <w:szCs w:val="21"/>
                      <w:highlight w:val="none"/>
                    </w:rPr>
                  </w:pPr>
                </w:p>
              </w:tc>
            </w:tr>
            <w:tr w14:paraId="625BA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73" w:hRule="atLeast"/>
                <w:jc w:val="center"/>
              </w:trPr>
              <w:tc>
                <w:tcPr>
                  <w:tcW w:w="697" w:type="pct"/>
                  <w:vMerge w:val="continue"/>
                  <w:noWrap w:val="0"/>
                  <w:vAlign w:val="center"/>
                </w:tcPr>
                <w:p w14:paraId="3D062002">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697" w:type="pct"/>
                  <w:gridSpan w:val="2"/>
                  <w:vMerge w:val="continue"/>
                  <w:noWrap w:val="0"/>
                  <w:vAlign w:val="center"/>
                </w:tcPr>
                <w:p w14:paraId="29902E5B">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p>
              </w:tc>
              <w:tc>
                <w:tcPr>
                  <w:tcW w:w="701" w:type="pct"/>
                  <w:noWrap w:val="0"/>
                  <w:vAlign w:val="center"/>
                </w:tcPr>
                <w:p w14:paraId="40639A50">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eastAsia"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生活垃圾</w:t>
                  </w:r>
                </w:p>
              </w:tc>
              <w:tc>
                <w:tcPr>
                  <w:tcW w:w="721" w:type="pct"/>
                  <w:noWrap w:val="0"/>
                  <w:vAlign w:val="center"/>
                </w:tcPr>
                <w:p w14:paraId="190A8403">
                  <w:pPr>
                    <w:keepNext w:val="0"/>
                    <w:keepLines w:val="0"/>
                    <w:pageBreakBefore w:val="0"/>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sz w:val="21"/>
                      <w:szCs w:val="21"/>
                      <w:highlight w:val="none"/>
                    </w:rPr>
                  </w:pPr>
                  <w:r>
                    <w:rPr>
                      <w:rFonts w:hint="eastAsia" w:ascii="Times New Roman" w:hAnsi="Times New Roman" w:eastAsia="宋体"/>
                      <w:color w:val="FF0000"/>
                      <w:sz w:val="21"/>
                      <w:szCs w:val="21"/>
                      <w:highlight w:val="none"/>
                    </w:rPr>
                    <w:t>0</w:t>
                  </w:r>
                </w:p>
              </w:tc>
              <w:tc>
                <w:tcPr>
                  <w:tcW w:w="805" w:type="pct"/>
                  <w:noWrap w:val="0"/>
                  <w:vAlign w:val="center"/>
                </w:tcPr>
                <w:p w14:paraId="0A0F7DA9">
                  <w:pPr>
                    <w:keepNext w:val="0"/>
                    <w:keepLines w:val="0"/>
                    <w:pageBreakBefore w:val="0"/>
                    <w:widowControl/>
                    <w:suppressLineNumbers w:val="0"/>
                    <w:kinsoku/>
                    <w:wordWrap/>
                    <w:overflowPunct/>
                    <w:topLinePunct w:val="0"/>
                    <w:bidi w:val="0"/>
                    <w:snapToGrid w:val="0"/>
                    <w:spacing w:before="0" w:beforeAutospacing="0" w:after="0" w:afterAutospacing="0" w:line="240" w:lineRule="exact"/>
                    <w:ind w:left="0" w:right="0"/>
                    <w:jc w:val="center"/>
                    <w:rPr>
                      <w:rFonts w:hint="default" w:ascii="Times New Roman" w:hAnsi="Times New Roman" w:eastAsia="宋体"/>
                      <w:color w:val="FF0000"/>
                      <w:kern w:val="0"/>
                      <w:sz w:val="21"/>
                      <w:szCs w:val="21"/>
                      <w:highlight w:val="none"/>
                      <w:lang w:val="en-US" w:eastAsia="zh-CN"/>
                    </w:rPr>
                  </w:pPr>
                  <w:r>
                    <w:rPr>
                      <w:rFonts w:hint="eastAsia"/>
                      <w:color w:val="FF0000"/>
                      <w:kern w:val="0"/>
                      <w:sz w:val="21"/>
                      <w:szCs w:val="21"/>
                      <w:highlight w:val="none"/>
                      <w:lang w:val="en-US" w:eastAsia="zh-CN"/>
                    </w:rPr>
                    <w:t>0</w:t>
                  </w:r>
                </w:p>
              </w:tc>
              <w:tc>
                <w:tcPr>
                  <w:tcW w:w="875" w:type="pct"/>
                  <w:noWrap w:val="0"/>
                  <w:vAlign w:val="center"/>
                </w:tcPr>
                <w:p w14:paraId="6B4390A4">
                  <w:pPr>
                    <w:keepNext w:val="0"/>
                    <w:keepLines w:val="0"/>
                    <w:pageBreakBefore w:val="0"/>
                    <w:widowControl/>
                    <w:suppressLineNumbers w:val="0"/>
                    <w:kinsoku/>
                    <w:wordWrap/>
                    <w:overflowPunct/>
                    <w:topLinePunct w:val="0"/>
                    <w:bidi w:val="0"/>
                    <w:snapToGrid w:val="0"/>
                    <w:spacing w:before="0" w:beforeAutospacing="0" w:after="0" w:afterAutospacing="0" w:line="240" w:lineRule="exact"/>
                    <w:ind w:left="0" w:right="0"/>
                    <w:jc w:val="center"/>
                    <w:rPr>
                      <w:rFonts w:hint="eastAsia" w:ascii="Times New Roman" w:hAnsi="Times New Roman" w:eastAsia="宋体"/>
                      <w:color w:val="FF0000"/>
                      <w:kern w:val="0"/>
                      <w:sz w:val="21"/>
                      <w:szCs w:val="21"/>
                      <w:highlight w:val="none"/>
                      <w:lang w:val="en-US" w:eastAsia="zh-CN"/>
                    </w:rPr>
                  </w:pPr>
                  <w:r>
                    <w:rPr>
                      <w:rFonts w:hint="eastAsia" w:ascii="Times New Roman" w:hAnsi="Times New Roman" w:eastAsia="宋体"/>
                      <w:color w:val="FF0000"/>
                      <w:kern w:val="0"/>
                      <w:sz w:val="21"/>
                      <w:szCs w:val="21"/>
                      <w:highlight w:val="none"/>
                      <w:lang w:val="en-US" w:eastAsia="zh-CN"/>
                    </w:rPr>
                    <w:t>0</w:t>
                  </w:r>
                </w:p>
              </w:tc>
              <w:tc>
                <w:tcPr>
                  <w:tcW w:w="501" w:type="pct"/>
                  <w:vMerge w:val="continue"/>
                  <w:noWrap w:val="0"/>
                  <w:vAlign w:val="center"/>
                </w:tcPr>
                <w:p w14:paraId="2943A283">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olor w:val="FF0000"/>
                      <w:kern w:val="0"/>
                      <w:sz w:val="21"/>
                      <w:szCs w:val="21"/>
                      <w:highlight w:val="none"/>
                    </w:rPr>
                  </w:pPr>
                </w:p>
              </w:tc>
            </w:tr>
            <w:tr w14:paraId="14A57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73" w:hRule="atLeast"/>
                <w:jc w:val="center"/>
              </w:trPr>
              <w:tc>
                <w:tcPr>
                  <w:tcW w:w="5000" w:type="pct"/>
                  <w:gridSpan w:val="8"/>
                  <w:noWrap w:val="0"/>
                  <w:vAlign w:val="center"/>
                </w:tcPr>
                <w:p w14:paraId="4C9DEA09">
                  <w:pPr>
                    <w:keepNext w:val="0"/>
                    <w:keepLines w:val="0"/>
                    <w:widowControl/>
                    <w:suppressLineNumbers w:val="0"/>
                    <w:snapToGrid w:val="0"/>
                    <w:spacing w:before="0" w:beforeAutospacing="0" w:after="0" w:afterAutospacing="0"/>
                    <w:ind w:left="0" w:right="0"/>
                    <w:jc w:val="both"/>
                    <w:rPr>
                      <w:rFonts w:hint="eastAsia"/>
                      <w:b w:val="0"/>
                      <w:bCs w:val="0"/>
                      <w:color w:val="FF0000"/>
                      <w:kern w:val="0"/>
                      <w:sz w:val="21"/>
                      <w:szCs w:val="21"/>
                      <w:highlight w:val="none"/>
                      <w:lang w:val="en-US" w:eastAsia="zh-CN"/>
                    </w:rPr>
                  </w:pPr>
                  <w:r>
                    <w:rPr>
                      <w:rFonts w:hint="eastAsia"/>
                      <w:b w:val="0"/>
                      <w:bCs w:val="0"/>
                      <w:color w:val="FF0000"/>
                      <w:kern w:val="0"/>
                      <w:sz w:val="21"/>
                      <w:szCs w:val="21"/>
                      <w:highlight w:val="none"/>
                      <w:lang w:val="en-US" w:eastAsia="zh-CN"/>
                    </w:rPr>
                    <w:t>*：企业目前未对食堂油烟开展监测。因该排气筒不涉及生产工艺，后续将按要求补充监测。</w:t>
                  </w:r>
                </w:p>
                <w:p w14:paraId="47CD5590">
                  <w:pPr>
                    <w:keepNext w:val="0"/>
                    <w:keepLines w:val="0"/>
                    <w:widowControl/>
                    <w:suppressLineNumbers w:val="0"/>
                    <w:snapToGrid w:val="0"/>
                    <w:spacing w:before="0" w:beforeAutospacing="0" w:after="0" w:afterAutospacing="0"/>
                    <w:ind w:left="0" w:right="0"/>
                    <w:jc w:val="both"/>
                    <w:rPr>
                      <w:rFonts w:hint="default"/>
                      <w:b/>
                      <w:bCs/>
                      <w:color w:val="FF0000"/>
                      <w:kern w:val="0"/>
                      <w:sz w:val="21"/>
                      <w:szCs w:val="21"/>
                      <w:highlight w:val="none"/>
                      <w:lang w:val="en-US" w:eastAsia="zh-CN"/>
                    </w:rPr>
                  </w:pPr>
                  <w:r>
                    <w:rPr>
                      <w:rFonts w:hint="eastAsia"/>
                      <w:b w:val="0"/>
                      <w:bCs w:val="0"/>
                      <w:color w:val="FF0000"/>
                      <w:kern w:val="0"/>
                      <w:sz w:val="21"/>
                      <w:szCs w:val="21"/>
                      <w:highlight w:val="none"/>
                      <w:lang w:val="en-US" w:eastAsia="zh-CN"/>
                    </w:rPr>
                    <w:t>根据本项目一阶段已验收产能与环评及批复中设计产能的对比，废气污染物中非甲烷总烃、酚类化合物的已验收产能折算系数为60%，颗粒物及氮氧化物的折算系数为95%，氟化物、颗粒物、油烟及废水污染物的折算系数均为100%。</w:t>
                  </w:r>
                </w:p>
              </w:tc>
            </w:tr>
          </w:tbl>
          <w:p w14:paraId="09803071">
            <w:pPr>
              <w:pStyle w:val="15"/>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0" w:firstLineChars="0"/>
              <w:textAlignment w:val="auto"/>
              <w:rPr>
                <w:rStyle w:val="29"/>
                <w:rFonts w:hint="default" w:ascii="Times New Roman" w:hAnsi="Times New Roman" w:eastAsia="宋体" w:cs="Times New Roman"/>
                <w:color w:val="auto"/>
                <w:highlight w:val="none"/>
              </w:rPr>
            </w:pPr>
            <w:r>
              <w:rPr>
                <w:rStyle w:val="29"/>
                <w:rFonts w:hint="eastAsia" w:ascii="Times New Roman" w:hAnsi="Times New Roman" w:eastAsia="宋体" w:cs="Times New Roman"/>
                <w:b/>
                <w:bCs/>
                <w:color w:val="auto"/>
                <w:sz w:val="24"/>
                <w:szCs w:val="24"/>
                <w:highlight w:val="none"/>
                <w:lang w:val="en-US" w:eastAsia="zh-CN"/>
              </w:rPr>
              <w:t>4、</w:t>
            </w:r>
            <w:r>
              <w:rPr>
                <w:rStyle w:val="29"/>
                <w:rFonts w:hint="default" w:ascii="Times New Roman" w:hAnsi="Times New Roman" w:eastAsia="宋体" w:cs="Times New Roman"/>
                <w:b/>
                <w:bCs/>
                <w:color w:val="auto"/>
                <w:sz w:val="24"/>
                <w:szCs w:val="24"/>
                <w:highlight w:val="none"/>
                <w:lang w:val="en-US" w:eastAsia="zh-CN"/>
              </w:rPr>
              <w:t>现有项目存在的主要环保问题</w:t>
            </w:r>
          </w:p>
          <w:p w14:paraId="4486C47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eastAsia="zh-CN"/>
              </w:rPr>
              <w:t>无。</w:t>
            </w:r>
          </w:p>
          <w:p w14:paraId="309EC283">
            <w:pPr>
              <w:pStyle w:val="12"/>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、“以新带老”措施</w:t>
            </w:r>
          </w:p>
          <w:p w14:paraId="419F9F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lang w:val="en-US" w:eastAsia="zh-CN"/>
              </w:rPr>
              <w:t>本次以新带老</w:t>
            </w:r>
            <w:r>
              <w:rPr>
                <w:rFonts w:hint="eastAsia" w:ascii="Times New Roman" w:hAnsi="Times New Roman" w:eastAsia="宋体" w:cs="Times New Roman"/>
                <w:b/>
                <w:bCs/>
                <w:color w:val="auto"/>
                <w:sz w:val="24"/>
                <w:szCs w:val="24"/>
                <w:highlight w:val="none"/>
                <w:lang w:val="en-US" w:eastAsia="zh-CN"/>
              </w:rPr>
              <w:t>具体情况</w:t>
            </w:r>
          </w:p>
          <w:p w14:paraId="34BC343E">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Calibri" w:hAnsi="Calibri" w:eastAsia="宋体" w:cs="Calibri"/>
                <w:b/>
                <w:bCs w:val="0"/>
                <w:color w:val="auto"/>
                <w:sz w:val="24"/>
                <w:highlight w:val="none"/>
                <w:lang w:val="en-US" w:eastAsia="zh-CN"/>
              </w:rPr>
            </w:pPr>
          </w:p>
        </w:tc>
      </w:tr>
    </w:tbl>
    <w:p w14:paraId="20D1B8A9">
      <w:pPr>
        <w:pStyle w:val="12"/>
        <w:rPr>
          <w:color w:val="auto"/>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13611"/>
      </w:tblGrid>
      <w:tr w14:paraId="4EAB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9" w:hRule="atLeast"/>
        </w:trPr>
        <w:tc>
          <w:tcPr>
            <w:tcW w:w="0" w:type="auto"/>
            <w:vAlign w:val="center"/>
          </w:tcPr>
          <w:p w14:paraId="37EFE389">
            <w:pPr>
              <w:keepNext w:val="0"/>
              <w:keepLines w:val="0"/>
              <w:suppressLineNumbers w:val="0"/>
              <w:bidi w:val="0"/>
              <w:spacing w:before="0" w:beforeAutospacing="0" w:after="0" w:afterAutospacing="0"/>
              <w:ind w:left="0" w:right="0"/>
              <w:jc w:val="center"/>
              <w:rPr>
                <w:rFonts w:hint="default"/>
                <w:color w:val="auto"/>
                <w:highlight w:val="none"/>
              </w:rPr>
            </w:pPr>
          </w:p>
          <w:p w14:paraId="72612E17">
            <w:pPr>
              <w:keepNext w:val="0"/>
              <w:keepLines w:val="0"/>
              <w:suppressLineNumbers w:val="0"/>
              <w:bidi w:val="0"/>
              <w:spacing w:before="0" w:beforeAutospacing="0" w:after="0" w:afterAutospacing="0"/>
              <w:ind w:left="0" w:right="0"/>
              <w:jc w:val="center"/>
              <w:rPr>
                <w:rFonts w:hint="default"/>
                <w:color w:val="auto"/>
                <w:highlight w:val="none"/>
              </w:rPr>
            </w:pPr>
            <w:r>
              <w:rPr>
                <w:rFonts w:hint="default" w:ascii="Times New Roman" w:hAnsi="Times New Roman" w:eastAsia="宋体" w:cs="Calibri"/>
                <w:bCs/>
                <w:color w:val="auto"/>
                <w:sz w:val="24"/>
                <w:highlight w:val="none"/>
              </w:rPr>
              <w:t>与项目有关的原有环境污染问题</w:t>
            </w:r>
          </w:p>
        </w:tc>
        <w:tc>
          <w:tcPr>
            <w:tcW w:w="0" w:type="auto"/>
          </w:tcPr>
          <w:p w14:paraId="5E897FF7">
            <w:pPr>
              <w:keepNext w:val="0"/>
              <w:keepLines w:val="0"/>
              <w:widowControl/>
              <w:numPr>
                <w:ilvl w:val="0"/>
                <w:numId w:val="0"/>
              </w:numPr>
              <w:suppressLineNumbers w:val="0"/>
              <w:adjustRightInd w:val="0"/>
              <w:snapToGrid w:val="0"/>
              <w:spacing w:before="0" w:beforeAutospacing="0" w:after="0" w:afterAutospacing="0"/>
              <w:ind w:left="0" w:leftChars="0" w:right="0"/>
              <w:jc w:val="center"/>
              <w:rPr>
                <w:rFonts w:hint="default" w:ascii="Times New Roman" w:hAnsi="Times New Roman" w:eastAsia="宋体" w:cs="Times New Roman"/>
                <w:b/>
                <w:color w:val="FF0000"/>
                <w:kern w:val="2"/>
                <w:sz w:val="24"/>
                <w:szCs w:val="24"/>
                <w:highlight w:val="none"/>
                <w:lang w:val="en-US" w:eastAsia="zh-CN"/>
              </w:rPr>
            </w:pPr>
            <w:r>
              <w:rPr>
                <w:rFonts w:hint="eastAsia" w:ascii="Times New Roman" w:hAnsi="Times New Roman" w:eastAsia="宋体" w:cs="Times New Roman"/>
                <w:b/>
                <w:color w:val="FF0000"/>
                <w:kern w:val="2"/>
                <w:sz w:val="24"/>
                <w:szCs w:val="24"/>
                <w:highlight w:val="none"/>
                <w:lang w:eastAsia="zh-CN"/>
              </w:rPr>
              <w:t>表</w:t>
            </w:r>
            <w:r>
              <w:rPr>
                <w:rFonts w:hint="eastAsia" w:ascii="Times New Roman" w:hAnsi="Times New Roman" w:eastAsia="宋体" w:cs="Times New Roman"/>
                <w:b/>
                <w:color w:val="FF0000"/>
                <w:kern w:val="2"/>
                <w:sz w:val="24"/>
                <w:szCs w:val="24"/>
                <w:highlight w:val="none"/>
                <w:lang w:val="en-US" w:eastAsia="zh-CN"/>
              </w:rPr>
              <w:t>2-</w:t>
            </w:r>
            <w:r>
              <w:rPr>
                <w:rFonts w:hint="eastAsia" w:cs="Times New Roman"/>
                <w:b/>
                <w:color w:val="FF0000"/>
                <w:kern w:val="2"/>
                <w:sz w:val="24"/>
                <w:szCs w:val="24"/>
                <w:highlight w:val="none"/>
                <w:lang w:val="en-US" w:eastAsia="zh-CN"/>
              </w:rPr>
              <w:t>19</w:t>
            </w:r>
            <w:r>
              <w:rPr>
                <w:rFonts w:hint="eastAsia" w:ascii="Times New Roman" w:hAnsi="Times New Roman" w:eastAsia="宋体" w:cs="Times New Roman"/>
                <w:b/>
                <w:color w:val="FF0000"/>
                <w:kern w:val="2"/>
                <w:sz w:val="24"/>
                <w:szCs w:val="24"/>
                <w:highlight w:val="none"/>
                <w:lang w:val="en-US" w:eastAsia="zh-CN"/>
              </w:rPr>
              <w:t xml:space="preserve">  </w:t>
            </w:r>
            <w:r>
              <w:rPr>
                <w:rFonts w:hint="eastAsia" w:cs="Times New Roman"/>
                <w:b/>
                <w:color w:val="FF0000"/>
                <w:kern w:val="2"/>
                <w:sz w:val="24"/>
                <w:szCs w:val="24"/>
                <w:highlight w:val="none"/>
                <w:lang w:val="en-US" w:eastAsia="zh-CN"/>
              </w:rPr>
              <w:t>本次“以新带老”具体情况一览表</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95"/>
              <w:gridCol w:w="3792"/>
              <w:gridCol w:w="3714"/>
              <w:gridCol w:w="3152"/>
              <w:gridCol w:w="1637"/>
            </w:tblGrid>
            <w:tr w14:paraId="269F0A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409" w:type="pct"/>
                  <w:tcBorders>
                    <w:tl2br w:val="nil"/>
                    <w:tr2bl w:val="nil"/>
                  </w:tcBorders>
                  <w:noWrap w:val="0"/>
                  <w:vAlign w:val="center"/>
                </w:tcPr>
                <w:p w14:paraId="7A04C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cs="Times New Roman"/>
                      <w:b/>
                      <w:bCs/>
                      <w:i w:val="0"/>
                      <w:iCs w:val="0"/>
                      <w:color w:val="FF0000"/>
                      <w:kern w:val="0"/>
                      <w:sz w:val="21"/>
                      <w:szCs w:val="21"/>
                      <w:highlight w:val="none"/>
                      <w:u w:val="none"/>
                      <w:lang w:val="en-US" w:eastAsia="zh-CN" w:bidi="ar"/>
                    </w:rPr>
                    <w:t>产污环节</w:t>
                  </w:r>
                </w:p>
              </w:tc>
              <w:tc>
                <w:tcPr>
                  <w:tcW w:w="1416" w:type="pct"/>
                  <w:tcBorders>
                    <w:tl2br w:val="nil"/>
                    <w:tr2bl w:val="nil"/>
                  </w:tcBorders>
                  <w:noWrap w:val="0"/>
                  <w:vAlign w:val="center"/>
                </w:tcPr>
                <w:p w14:paraId="186986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lang w:val="en-US" w:eastAsia="zh-CN"/>
                    </w:rPr>
                  </w:pPr>
                  <w:r>
                    <w:rPr>
                      <w:rFonts w:hint="eastAsia" w:cs="Times New Roman"/>
                      <w:b/>
                      <w:bCs/>
                      <w:i w:val="0"/>
                      <w:iCs w:val="0"/>
                      <w:color w:val="FF0000"/>
                      <w:sz w:val="21"/>
                      <w:szCs w:val="21"/>
                      <w:highlight w:val="none"/>
                      <w:u w:val="none"/>
                      <w:lang w:val="en-US" w:eastAsia="zh-CN"/>
                    </w:rPr>
                    <w:t>本次“以新带老”前</w:t>
                  </w:r>
                </w:p>
              </w:tc>
              <w:tc>
                <w:tcPr>
                  <w:tcW w:w="1387" w:type="pct"/>
                  <w:tcBorders>
                    <w:tl2br w:val="nil"/>
                    <w:tr2bl w:val="nil"/>
                  </w:tcBorders>
                  <w:noWrap w:val="0"/>
                  <w:vAlign w:val="center"/>
                </w:tcPr>
                <w:p w14:paraId="7BB330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cs="Times New Roman"/>
                      <w:b/>
                      <w:bCs/>
                      <w:i w:val="0"/>
                      <w:iCs w:val="0"/>
                      <w:color w:val="FF0000"/>
                      <w:kern w:val="0"/>
                      <w:sz w:val="21"/>
                      <w:szCs w:val="21"/>
                      <w:highlight w:val="none"/>
                      <w:u w:val="none"/>
                      <w:lang w:val="en-US" w:eastAsia="zh-CN" w:bidi="ar"/>
                    </w:rPr>
                    <w:t>本次“以新带老”措施内容</w:t>
                  </w:r>
                </w:p>
              </w:tc>
              <w:tc>
                <w:tcPr>
                  <w:tcW w:w="1177" w:type="pct"/>
                  <w:tcBorders>
                    <w:tl2br w:val="nil"/>
                    <w:tr2bl w:val="nil"/>
                  </w:tcBorders>
                  <w:noWrap w:val="0"/>
                  <w:vAlign w:val="center"/>
                </w:tcPr>
                <w:p w14:paraId="79B79D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cs="Times New Roman"/>
                      <w:b/>
                      <w:bCs/>
                      <w:i w:val="0"/>
                      <w:iCs w:val="0"/>
                      <w:color w:val="FF0000"/>
                      <w:kern w:val="0"/>
                      <w:sz w:val="21"/>
                      <w:szCs w:val="21"/>
                      <w:highlight w:val="none"/>
                      <w:u w:val="none"/>
                      <w:lang w:val="en-US" w:eastAsia="zh-CN" w:bidi="ar"/>
                    </w:rPr>
                    <w:t>本次“以新带老”后</w:t>
                  </w:r>
                </w:p>
              </w:tc>
              <w:tc>
                <w:tcPr>
                  <w:tcW w:w="609" w:type="pct"/>
                  <w:tcBorders>
                    <w:tl2br w:val="nil"/>
                    <w:tr2bl w:val="nil"/>
                  </w:tcBorders>
                  <w:noWrap w:val="0"/>
                  <w:vAlign w:val="center"/>
                </w:tcPr>
                <w:p w14:paraId="29A248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eastAsia" w:ascii="Times New Roman" w:hAnsi="Times New Roman" w:eastAsia="宋体" w:cs="Times New Roman"/>
                      <w:b/>
                      <w:bCs/>
                      <w:i w:val="0"/>
                      <w:iCs w:val="0"/>
                      <w:color w:val="FF0000"/>
                      <w:kern w:val="0"/>
                      <w:sz w:val="21"/>
                      <w:szCs w:val="21"/>
                      <w:highlight w:val="none"/>
                      <w:u w:val="none"/>
                      <w:lang w:val="en-US" w:eastAsia="zh-CN" w:bidi="ar"/>
                    </w:rPr>
                    <w:t>排放去向</w:t>
                  </w:r>
                </w:p>
              </w:tc>
            </w:tr>
            <w:tr w14:paraId="776B27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409" w:type="pct"/>
                  <w:tcBorders>
                    <w:tl2br w:val="nil"/>
                    <w:tr2bl w:val="nil"/>
                  </w:tcBorders>
                  <w:noWrap w:val="0"/>
                  <w:vAlign w:val="center"/>
                </w:tcPr>
                <w:p w14:paraId="061A74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Times New Roman"/>
                      <w:b/>
                      <w:bCs/>
                      <w:i w:val="0"/>
                      <w:iCs w:val="0"/>
                      <w:color w:val="FF0000"/>
                      <w:kern w:val="0"/>
                      <w:sz w:val="21"/>
                      <w:szCs w:val="21"/>
                      <w:highlight w:val="none"/>
                      <w:u w:val="none"/>
                      <w:lang w:val="en-US" w:eastAsia="zh-CN" w:bidi="ar"/>
                    </w:rPr>
                  </w:pPr>
                  <w:r>
                    <w:rPr>
                      <w:rFonts w:hint="eastAsia" w:cs="Times New Roman"/>
                      <w:b/>
                      <w:bCs/>
                      <w:i w:val="0"/>
                      <w:iCs w:val="0"/>
                      <w:color w:val="FF0000"/>
                      <w:kern w:val="0"/>
                      <w:sz w:val="21"/>
                      <w:szCs w:val="21"/>
                      <w:highlight w:val="none"/>
                      <w:u w:val="none"/>
                      <w:lang w:val="en-US" w:eastAsia="zh-CN" w:bidi="ar"/>
                    </w:rPr>
                    <w:t>废气</w:t>
                  </w:r>
                </w:p>
              </w:tc>
              <w:tc>
                <w:tcPr>
                  <w:tcW w:w="1416" w:type="pct"/>
                  <w:tcBorders>
                    <w:tl2br w:val="nil"/>
                    <w:tr2bl w:val="nil"/>
                  </w:tcBorders>
                  <w:noWrap w:val="0"/>
                  <w:vAlign w:val="center"/>
                </w:tcPr>
                <w:p w14:paraId="3DF0D6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现有项目中</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200t碳酸丙烯酯清洗过程产生非甲烷总烃0.26t/a，收集后经一级碱喷淋＋一级水喷淋+除雾器＋二级活性炭处理后分别通过28m高排气筒FQ01、FQ02、FQ03、FQ04、FQ05、FQ06排放。此部分废气有组织排放非甲烷总烃为 0.0234t/a</w:t>
                  </w:r>
                  <w:r>
                    <w:rPr>
                      <w:rFonts w:hint="eastAsia" w:cs="Times New Roman"/>
                      <w:b w:val="0"/>
                      <w:bCs w:val="0"/>
                      <w:i w:val="0"/>
                      <w:iCs w:val="0"/>
                      <w:color w:val="FF0000"/>
                      <w:kern w:val="0"/>
                      <w:sz w:val="21"/>
                      <w:szCs w:val="21"/>
                      <w:highlight w:val="none"/>
                      <w:u w:val="none"/>
                      <w:lang w:val="en-US" w:eastAsia="zh-CN" w:bidi="ar"/>
                    </w:rPr>
                    <w:t>。</w:t>
                  </w:r>
                </w:p>
              </w:tc>
              <w:tc>
                <w:tcPr>
                  <w:tcW w:w="1387" w:type="pct"/>
                  <w:tcBorders>
                    <w:tl2br w:val="nil"/>
                    <w:tr2bl w:val="nil"/>
                  </w:tcBorders>
                  <w:noWrap w:val="0"/>
                  <w:vAlign w:val="center"/>
                </w:tcPr>
                <w:p w14:paraId="37B2B5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取消隐形矫治器生产线中后处理工段中的清洗环节</w:t>
                  </w:r>
                  <w:r>
                    <w:rPr>
                      <w:rFonts w:hint="eastAsia" w:cs="Times New Roman"/>
                      <w:b w:val="0"/>
                      <w:bCs w:val="0"/>
                      <w:i w:val="0"/>
                      <w:iCs w:val="0"/>
                      <w:color w:val="FF0000"/>
                      <w:kern w:val="0"/>
                      <w:sz w:val="21"/>
                      <w:szCs w:val="21"/>
                      <w:highlight w:val="none"/>
                      <w:u w:val="none"/>
                      <w:lang w:val="en-US" w:eastAsia="zh-CN" w:bidi="ar"/>
                    </w:rPr>
                    <w:t>。</w:t>
                  </w:r>
                </w:p>
              </w:tc>
              <w:tc>
                <w:tcPr>
                  <w:tcW w:w="1177" w:type="pct"/>
                  <w:tcBorders>
                    <w:tl2br w:val="nil"/>
                    <w:tr2bl w:val="nil"/>
                  </w:tcBorders>
                  <w:noWrap w:val="0"/>
                  <w:vAlign w:val="center"/>
                </w:tcPr>
                <w:p w14:paraId="7FA46B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全厂</w:t>
                  </w:r>
                  <w:r>
                    <w:rPr>
                      <w:rFonts w:hint="eastAsia" w:eastAsia="宋体" w:cs="Times New Roman"/>
                      <w:b w:val="0"/>
                      <w:bCs w:val="0"/>
                      <w:i w:val="0"/>
                      <w:iCs w:val="0"/>
                      <w:color w:val="FF0000"/>
                      <w:kern w:val="0"/>
                      <w:sz w:val="21"/>
                      <w:szCs w:val="21"/>
                      <w:highlight w:val="none"/>
                      <w:u w:val="none"/>
                      <w:lang w:val="en-US" w:eastAsia="zh-CN" w:bidi="ar"/>
                    </w:rPr>
                    <w:t>非甲烷总烃有组织排放量削减0.0234t/a，无组织排放量削减0.026t/a</w:t>
                  </w:r>
                  <w:r>
                    <w:rPr>
                      <w:rFonts w:hint="eastAsia" w:cs="Times New Roman"/>
                      <w:b w:val="0"/>
                      <w:bCs w:val="0"/>
                      <w:i w:val="0"/>
                      <w:iCs w:val="0"/>
                      <w:color w:val="FF0000"/>
                      <w:kern w:val="0"/>
                      <w:sz w:val="21"/>
                      <w:szCs w:val="21"/>
                      <w:highlight w:val="none"/>
                      <w:u w:val="none"/>
                      <w:lang w:val="en-US" w:eastAsia="zh-CN" w:bidi="ar"/>
                    </w:rPr>
                    <w:t>。</w:t>
                  </w:r>
                </w:p>
              </w:tc>
              <w:tc>
                <w:tcPr>
                  <w:tcW w:w="609" w:type="pct"/>
                  <w:tcBorders>
                    <w:tl2br w:val="nil"/>
                    <w:tr2bl w:val="nil"/>
                  </w:tcBorders>
                  <w:noWrap w:val="0"/>
                  <w:vAlign w:val="center"/>
                </w:tcPr>
                <w:p w14:paraId="2566C9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分别通过28m高排气筒FQ01、FQ02、FQ03、FQ04、FQ05、FQ06排放</w:t>
                  </w:r>
                  <w:r>
                    <w:rPr>
                      <w:rFonts w:hint="eastAsia" w:cs="Times New Roman"/>
                      <w:b w:val="0"/>
                      <w:bCs w:val="0"/>
                      <w:i w:val="0"/>
                      <w:iCs w:val="0"/>
                      <w:color w:val="FF0000"/>
                      <w:kern w:val="0"/>
                      <w:sz w:val="21"/>
                      <w:szCs w:val="21"/>
                      <w:highlight w:val="none"/>
                      <w:u w:val="none"/>
                      <w:lang w:val="en-US" w:eastAsia="zh-CN" w:bidi="ar"/>
                    </w:rPr>
                    <w:t>。</w:t>
                  </w:r>
                  <w:r>
                    <w:rPr>
                      <w:rFonts w:hint="eastAsia" w:cs="Times New Roman"/>
                      <w:b/>
                      <w:bCs/>
                      <w:i w:val="0"/>
                      <w:iCs w:val="0"/>
                      <w:color w:val="FF0000"/>
                      <w:kern w:val="0"/>
                      <w:sz w:val="21"/>
                      <w:szCs w:val="21"/>
                      <w:highlight w:val="none"/>
                      <w:u w:val="none"/>
                      <w:lang w:val="en-US" w:eastAsia="zh-CN" w:bidi="ar"/>
                    </w:rPr>
                    <w:t>*</w:t>
                  </w:r>
                </w:p>
              </w:tc>
            </w:tr>
            <w:tr w14:paraId="61D86C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9" w:type="pct"/>
                  <w:vMerge w:val="restart"/>
                  <w:tcBorders>
                    <w:tl2br w:val="nil"/>
                    <w:tr2bl w:val="nil"/>
                  </w:tcBorders>
                  <w:noWrap w:val="0"/>
                  <w:vAlign w:val="center"/>
                </w:tcPr>
                <w:p w14:paraId="21537C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Times New Roman"/>
                      <w:b/>
                      <w:bCs/>
                      <w:color w:val="FF0000"/>
                      <w:szCs w:val="21"/>
                      <w:highlight w:val="none"/>
                      <w:lang w:val="en-US" w:eastAsia="zh-CN"/>
                    </w:rPr>
                  </w:pPr>
                  <w:r>
                    <w:rPr>
                      <w:rFonts w:hint="eastAsia" w:cs="Times New Roman"/>
                      <w:b/>
                      <w:bCs/>
                      <w:color w:val="FF0000"/>
                      <w:szCs w:val="21"/>
                      <w:highlight w:val="none"/>
                      <w:lang w:val="en-US" w:eastAsia="zh-CN"/>
                    </w:rPr>
                    <w:t>废水</w:t>
                  </w:r>
                </w:p>
              </w:tc>
              <w:tc>
                <w:tcPr>
                  <w:tcW w:w="1416" w:type="pct"/>
                  <w:tcBorders>
                    <w:tl2br w:val="nil"/>
                    <w:tr2bl w:val="nil"/>
                  </w:tcBorders>
                  <w:noWrap w:val="0"/>
                  <w:vAlign w:val="center"/>
                </w:tcPr>
                <w:p w14:paraId="2166F7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现有项目中</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碳酸丙烯酯漂洗用水</w:t>
                  </w:r>
                  <w:r>
                    <w:rPr>
                      <w:rFonts w:hint="eastAsia" w:cs="Times New Roman"/>
                      <w:b w:val="0"/>
                      <w:bCs w:val="0"/>
                      <w:i w:val="0"/>
                      <w:iCs w:val="0"/>
                      <w:color w:val="FF0000"/>
                      <w:kern w:val="0"/>
                      <w:sz w:val="21"/>
                      <w:szCs w:val="21"/>
                      <w:highlight w:val="none"/>
                      <w:u w:val="none"/>
                      <w:lang w:val="en-US" w:eastAsia="zh-CN" w:bidi="ar"/>
                    </w:rPr>
                    <w:t>量为</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100t/a</w:t>
                  </w:r>
                  <w:r>
                    <w:rPr>
                      <w:rFonts w:hint="eastAsia" w:cs="Times New Roman"/>
                      <w:b w:val="0"/>
                      <w:bCs w:val="0"/>
                      <w:i w:val="0"/>
                      <w:iCs w:val="0"/>
                      <w:color w:val="FF0000"/>
                      <w:kern w:val="0"/>
                      <w:sz w:val="21"/>
                      <w:szCs w:val="21"/>
                      <w:highlight w:val="none"/>
                      <w:u w:val="none"/>
                      <w:lang w:val="en-US" w:eastAsia="zh-CN" w:bidi="ar"/>
                    </w:rPr>
                    <w:t>，配置碳酸丙烯酯用水量为182t/a。</w:t>
                  </w:r>
                </w:p>
              </w:tc>
              <w:tc>
                <w:tcPr>
                  <w:tcW w:w="1387" w:type="pct"/>
                  <w:tcBorders>
                    <w:tl2br w:val="nil"/>
                    <w:tr2bl w:val="nil"/>
                  </w:tcBorders>
                  <w:noWrap w:val="0"/>
                  <w:vAlign w:val="center"/>
                </w:tcPr>
                <w:p w14:paraId="075089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取消隐形矫治器生产线后处理工段中的清洗环节</w:t>
                  </w:r>
                  <w:r>
                    <w:rPr>
                      <w:rFonts w:hint="eastAsia" w:cs="Times New Roman"/>
                      <w:b w:val="0"/>
                      <w:bCs w:val="0"/>
                      <w:i w:val="0"/>
                      <w:iCs w:val="0"/>
                      <w:color w:val="FF0000"/>
                      <w:kern w:val="0"/>
                      <w:sz w:val="21"/>
                      <w:szCs w:val="21"/>
                      <w:highlight w:val="none"/>
                      <w:u w:val="none"/>
                      <w:lang w:val="en-US" w:eastAsia="zh-CN" w:bidi="ar"/>
                    </w:rPr>
                    <w:t>。</w:t>
                  </w:r>
                </w:p>
              </w:tc>
              <w:tc>
                <w:tcPr>
                  <w:tcW w:w="1177" w:type="pct"/>
                  <w:tcBorders>
                    <w:tl2br w:val="nil"/>
                    <w:tr2bl w:val="nil"/>
                  </w:tcBorders>
                  <w:noWrap w:val="0"/>
                  <w:vAlign w:val="center"/>
                </w:tcPr>
                <w:p w14:paraId="39A723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全厂水平衡环节中碳酸丙烯酯漂洗用水</w:t>
                  </w:r>
                  <w:r>
                    <w:rPr>
                      <w:rFonts w:hint="eastAsia" w:cs="Times New Roman"/>
                      <w:b w:val="0"/>
                      <w:bCs w:val="0"/>
                      <w:i w:val="0"/>
                      <w:iCs w:val="0"/>
                      <w:color w:val="FF0000"/>
                      <w:kern w:val="0"/>
                      <w:sz w:val="21"/>
                      <w:szCs w:val="21"/>
                      <w:highlight w:val="none"/>
                      <w:u w:val="none"/>
                      <w:lang w:val="en-US" w:eastAsia="zh-CN" w:bidi="ar"/>
                    </w:rPr>
                    <w:t>量</w:t>
                  </w:r>
                  <w:r>
                    <w:rPr>
                      <w:rFonts w:hint="eastAsia" w:eastAsia="宋体" w:cs="Times New Roman"/>
                      <w:b w:val="0"/>
                      <w:bCs w:val="0"/>
                      <w:i w:val="0"/>
                      <w:iCs w:val="0"/>
                      <w:color w:val="FF0000"/>
                      <w:kern w:val="0"/>
                      <w:sz w:val="21"/>
                      <w:szCs w:val="21"/>
                      <w:highlight w:val="none"/>
                      <w:u w:val="none"/>
                      <w:lang w:val="en-US" w:eastAsia="zh-CN" w:bidi="ar"/>
                    </w:rPr>
                    <w:t>削减为0，配置碳酸丙烯酯用水</w:t>
                  </w:r>
                  <w:r>
                    <w:rPr>
                      <w:rFonts w:hint="eastAsia" w:cs="Times New Roman"/>
                      <w:b w:val="0"/>
                      <w:bCs w:val="0"/>
                      <w:i w:val="0"/>
                      <w:iCs w:val="0"/>
                      <w:color w:val="FF0000"/>
                      <w:kern w:val="0"/>
                      <w:sz w:val="21"/>
                      <w:szCs w:val="21"/>
                      <w:highlight w:val="none"/>
                      <w:u w:val="none"/>
                      <w:lang w:val="en-US" w:eastAsia="zh-CN" w:bidi="ar"/>
                    </w:rPr>
                    <w:t>量</w:t>
                  </w:r>
                  <w:r>
                    <w:rPr>
                      <w:rFonts w:hint="eastAsia" w:eastAsia="宋体" w:cs="Times New Roman"/>
                      <w:b w:val="0"/>
                      <w:bCs w:val="0"/>
                      <w:i w:val="0"/>
                      <w:iCs w:val="0"/>
                      <w:color w:val="FF0000"/>
                      <w:kern w:val="0"/>
                      <w:sz w:val="21"/>
                      <w:szCs w:val="21"/>
                      <w:highlight w:val="none"/>
                      <w:u w:val="none"/>
                      <w:lang w:val="en-US" w:eastAsia="zh-CN" w:bidi="ar"/>
                    </w:rPr>
                    <w:t>削减为0。</w:t>
                  </w:r>
                </w:p>
              </w:tc>
              <w:tc>
                <w:tcPr>
                  <w:tcW w:w="609" w:type="pct"/>
                  <w:tcBorders>
                    <w:tl2br w:val="nil"/>
                    <w:tr2bl w:val="nil"/>
                  </w:tcBorders>
                  <w:noWrap w:val="0"/>
                  <w:vAlign w:val="center"/>
                </w:tcPr>
                <w:p w14:paraId="6A7B00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不再产生。</w:t>
                  </w:r>
                </w:p>
              </w:tc>
            </w:tr>
            <w:tr w14:paraId="397F59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9" w:type="pct"/>
                  <w:vMerge w:val="continue"/>
                  <w:tcBorders>
                    <w:tl2br w:val="nil"/>
                    <w:tr2bl w:val="nil"/>
                  </w:tcBorders>
                  <w:noWrap w:val="0"/>
                  <w:vAlign w:val="center"/>
                </w:tcPr>
                <w:p w14:paraId="7FC612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b/>
                      <w:bCs/>
                      <w:color w:val="FF0000"/>
                      <w:szCs w:val="21"/>
                      <w:highlight w:val="none"/>
                      <w:lang w:val="en-US" w:eastAsia="zh-CN"/>
                    </w:rPr>
                  </w:pPr>
                </w:p>
              </w:tc>
              <w:tc>
                <w:tcPr>
                  <w:tcW w:w="1416" w:type="pct"/>
                  <w:tcBorders>
                    <w:tl2br w:val="nil"/>
                    <w:tr2bl w:val="nil"/>
                  </w:tcBorders>
                  <w:noWrap w:val="0"/>
                  <w:vAlign w:val="center"/>
                </w:tcPr>
                <w:p w14:paraId="582717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现有项目设有“一级碱喷淋+一级水喷淋+除雾器+二级活性炭吸附装置”对医用高分子材料生产线的压膜废气进行处理，</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1、2、4号楼配套喷淋塔用水量</w:t>
                  </w:r>
                  <w:r>
                    <w:rPr>
                      <w:rFonts w:hint="eastAsia" w:cs="Times New Roman"/>
                      <w:b w:val="0"/>
                      <w:bCs w:val="0"/>
                      <w:i w:val="0"/>
                      <w:iCs w:val="0"/>
                      <w:color w:val="FF0000"/>
                      <w:kern w:val="0"/>
                      <w:sz w:val="21"/>
                      <w:szCs w:val="21"/>
                      <w:highlight w:val="none"/>
                      <w:u w:val="none"/>
                      <w:lang w:val="en-US" w:eastAsia="zh-CN" w:bidi="ar"/>
                    </w:rPr>
                    <w:t>为</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2454t/a</w:t>
                  </w:r>
                  <w:r>
                    <w:rPr>
                      <w:rFonts w:hint="eastAsia" w:cs="Times New Roman"/>
                      <w:b w:val="0"/>
                      <w:bCs w:val="0"/>
                      <w:i w:val="0"/>
                      <w:iCs w:val="0"/>
                      <w:color w:val="FF0000"/>
                      <w:kern w:val="0"/>
                      <w:sz w:val="21"/>
                      <w:szCs w:val="21"/>
                      <w:highlight w:val="none"/>
                      <w:u w:val="none"/>
                      <w:lang w:val="en-US" w:eastAsia="zh-CN" w:bidi="ar"/>
                    </w:rPr>
                    <w:t>。</w:t>
                  </w:r>
                </w:p>
              </w:tc>
              <w:tc>
                <w:tcPr>
                  <w:tcW w:w="1387" w:type="pct"/>
                  <w:tcBorders>
                    <w:tl2br w:val="nil"/>
                    <w:tr2bl w:val="nil"/>
                  </w:tcBorders>
                  <w:noWrap w:val="0"/>
                  <w:vAlign w:val="center"/>
                </w:tcPr>
                <w:p w14:paraId="427273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本次新增的喷涂硅油-脱模剂废气并入现有的压膜废气处理设施处理</w:t>
                  </w:r>
                  <w:r>
                    <w:rPr>
                      <w:rFonts w:hint="eastAsia" w:cs="Times New Roman"/>
                      <w:b w:val="0"/>
                      <w:bCs w:val="0"/>
                      <w:i w:val="0"/>
                      <w:iCs w:val="0"/>
                      <w:color w:val="FF0000"/>
                      <w:kern w:val="0"/>
                      <w:sz w:val="21"/>
                      <w:szCs w:val="21"/>
                      <w:highlight w:val="none"/>
                      <w:u w:val="none"/>
                      <w:lang w:val="en-US" w:eastAsia="zh-CN" w:bidi="ar"/>
                    </w:rPr>
                    <w:t>。</w:t>
                  </w:r>
                </w:p>
              </w:tc>
              <w:tc>
                <w:tcPr>
                  <w:tcW w:w="1177" w:type="pct"/>
                  <w:tcBorders>
                    <w:tl2br w:val="nil"/>
                    <w:tr2bl w:val="nil"/>
                  </w:tcBorders>
                  <w:noWrap w:val="0"/>
                  <w:vAlign w:val="center"/>
                </w:tcPr>
                <w:p w14:paraId="7E840E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对废气处理设施相关产污进行重新核定</w:t>
                  </w:r>
                  <w:r>
                    <w:rPr>
                      <w:rFonts w:hint="eastAsia" w:cs="Times New Roman"/>
                      <w:b w:val="0"/>
                      <w:bCs w:val="0"/>
                      <w:i w:val="0"/>
                      <w:iCs w:val="0"/>
                      <w:color w:val="FF0000"/>
                      <w:kern w:val="0"/>
                      <w:sz w:val="21"/>
                      <w:szCs w:val="21"/>
                      <w:highlight w:val="none"/>
                      <w:u w:val="none"/>
                      <w:lang w:val="en-US" w:eastAsia="zh-CN" w:bidi="ar"/>
                    </w:rPr>
                    <w:t>，1、2、4号楼配套喷淋塔用水量削减为0。</w:t>
                  </w:r>
                </w:p>
              </w:tc>
              <w:tc>
                <w:tcPr>
                  <w:tcW w:w="609" w:type="pct"/>
                  <w:tcBorders>
                    <w:tl2br w:val="nil"/>
                    <w:tr2bl w:val="nil"/>
                  </w:tcBorders>
                  <w:noWrap w:val="0"/>
                  <w:vAlign w:val="center"/>
                </w:tcPr>
                <w:p w14:paraId="08205C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淋塔废液</w:t>
                  </w:r>
                  <w:r>
                    <w:rPr>
                      <w:rFonts w:hint="eastAsia" w:cs="Times New Roman"/>
                      <w:b w:val="0"/>
                      <w:bCs w:val="0"/>
                      <w:i w:val="0"/>
                      <w:iCs w:val="0"/>
                      <w:color w:val="FF0000"/>
                      <w:kern w:val="0"/>
                      <w:sz w:val="21"/>
                      <w:szCs w:val="21"/>
                      <w:highlight w:val="none"/>
                      <w:u w:val="none"/>
                      <w:lang w:val="en-US" w:eastAsia="zh-CN" w:bidi="ar"/>
                    </w:rPr>
                    <w:t>委托有资质单位进行处置。</w:t>
                  </w:r>
                </w:p>
              </w:tc>
            </w:tr>
            <w:tr w14:paraId="2D4D2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9" w:type="pct"/>
                  <w:vMerge w:val="restart"/>
                  <w:tcBorders>
                    <w:tl2br w:val="nil"/>
                    <w:tr2bl w:val="nil"/>
                  </w:tcBorders>
                  <w:noWrap w:val="0"/>
                  <w:vAlign w:val="center"/>
                </w:tcPr>
                <w:p w14:paraId="6B69B7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lang w:val="en-US" w:eastAsia="zh-CN"/>
                    </w:rPr>
                  </w:pPr>
                  <w:r>
                    <w:rPr>
                      <w:rFonts w:hint="eastAsia" w:cs="Times New Roman"/>
                      <w:b/>
                      <w:bCs/>
                      <w:color w:val="FF0000"/>
                      <w:szCs w:val="21"/>
                      <w:highlight w:val="none"/>
                      <w:lang w:val="en-US" w:eastAsia="zh-CN"/>
                    </w:rPr>
                    <w:t>固体废物</w:t>
                  </w:r>
                </w:p>
              </w:tc>
              <w:tc>
                <w:tcPr>
                  <w:tcW w:w="1416" w:type="pct"/>
                  <w:tcBorders>
                    <w:tl2br w:val="nil"/>
                    <w:tr2bl w:val="nil"/>
                  </w:tcBorders>
                  <w:noWrap w:val="0"/>
                  <w:vAlign w:val="center"/>
                </w:tcPr>
                <w:p w14:paraId="3F2151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现有项目组</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3D打印后处理工段中的清洗环节</w:t>
                  </w:r>
                  <w:r>
                    <w:rPr>
                      <w:rFonts w:hint="eastAsia" w:cs="Times New Roman"/>
                      <w:b w:val="0"/>
                      <w:bCs w:val="0"/>
                      <w:i w:val="0"/>
                      <w:iCs w:val="0"/>
                      <w:color w:val="FF0000"/>
                      <w:kern w:val="0"/>
                      <w:sz w:val="21"/>
                      <w:szCs w:val="21"/>
                      <w:highlight w:val="none"/>
                      <w:u w:val="none"/>
                      <w:lang w:val="en-US" w:eastAsia="zh-CN" w:bidi="ar"/>
                    </w:rPr>
                    <w:t>产生清洗废液470.4t/a。</w:t>
                  </w:r>
                </w:p>
              </w:tc>
              <w:tc>
                <w:tcPr>
                  <w:tcW w:w="1387" w:type="pct"/>
                  <w:tcBorders>
                    <w:tl2br w:val="nil"/>
                    <w:tr2bl w:val="nil"/>
                  </w:tcBorders>
                  <w:noWrap w:val="0"/>
                  <w:vAlign w:val="center"/>
                </w:tcPr>
                <w:p w14:paraId="1F1A33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取消隐形矫治器生产线中后处理工段中的清洗环节</w:t>
                  </w:r>
                  <w:r>
                    <w:rPr>
                      <w:rFonts w:hint="eastAsia" w:cs="Times New Roman"/>
                      <w:b w:val="0"/>
                      <w:bCs w:val="0"/>
                      <w:i w:val="0"/>
                      <w:iCs w:val="0"/>
                      <w:color w:val="FF0000"/>
                      <w:kern w:val="0"/>
                      <w:sz w:val="21"/>
                      <w:szCs w:val="21"/>
                      <w:highlight w:val="none"/>
                      <w:u w:val="none"/>
                      <w:lang w:val="en-US" w:eastAsia="zh-CN" w:bidi="ar"/>
                    </w:rPr>
                    <w:t>。</w:t>
                  </w:r>
                </w:p>
              </w:tc>
              <w:tc>
                <w:tcPr>
                  <w:tcW w:w="1177" w:type="pct"/>
                  <w:tcBorders>
                    <w:tl2br w:val="nil"/>
                    <w:tr2bl w:val="nil"/>
                  </w:tcBorders>
                  <w:noWrap w:val="0"/>
                  <w:vAlign w:val="center"/>
                </w:tcPr>
                <w:p w14:paraId="155878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清洗废液量削减为0。</w:t>
                  </w:r>
                </w:p>
              </w:tc>
              <w:tc>
                <w:tcPr>
                  <w:tcW w:w="609" w:type="pct"/>
                  <w:tcBorders>
                    <w:tl2br w:val="nil"/>
                    <w:tr2bl w:val="nil"/>
                  </w:tcBorders>
                  <w:noWrap w:val="0"/>
                  <w:vAlign w:val="center"/>
                </w:tcPr>
                <w:p w14:paraId="30204D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不再产生。</w:t>
                  </w:r>
                </w:p>
              </w:tc>
            </w:tr>
            <w:tr w14:paraId="3AD0C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9" w:type="pct"/>
                  <w:vMerge w:val="continue"/>
                  <w:tcBorders>
                    <w:tl2br w:val="nil"/>
                    <w:tr2bl w:val="nil"/>
                  </w:tcBorders>
                  <w:noWrap w:val="0"/>
                  <w:vAlign w:val="center"/>
                </w:tcPr>
                <w:p w14:paraId="42AB75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b/>
                      <w:bCs/>
                      <w:color w:val="FF0000"/>
                      <w:szCs w:val="21"/>
                      <w:highlight w:val="none"/>
                      <w:lang w:val="en-US" w:eastAsia="zh-CN"/>
                    </w:rPr>
                  </w:pPr>
                </w:p>
              </w:tc>
              <w:tc>
                <w:tcPr>
                  <w:tcW w:w="1416" w:type="pct"/>
                  <w:tcBorders>
                    <w:tl2br w:val="nil"/>
                    <w:tr2bl w:val="nil"/>
                  </w:tcBorders>
                  <w:noWrap w:val="0"/>
                  <w:vAlign w:val="center"/>
                </w:tcPr>
                <w:p w14:paraId="2A5B3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现有项目</w:t>
                  </w:r>
                  <w:r>
                    <w:rPr>
                      <w:rFonts w:hint="eastAsia" w:cs="Times New Roman"/>
                      <w:b w:val="0"/>
                      <w:bCs w:val="0"/>
                      <w:i w:val="0"/>
                      <w:iCs w:val="0"/>
                      <w:color w:val="FF0000"/>
                      <w:kern w:val="0"/>
                      <w:sz w:val="21"/>
                      <w:szCs w:val="21"/>
                      <w:highlight w:val="none"/>
                      <w:u w:val="none"/>
                      <w:lang w:val="en-US" w:eastAsia="zh-CN" w:bidi="ar"/>
                    </w:rPr>
                    <w:t>中</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碳酸丙烯酯清洗环节产生碳酸丙烯酯废包装桶18t/a</w:t>
                  </w:r>
                  <w:r>
                    <w:rPr>
                      <w:rFonts w:hint="eastAsia" w:cs="Times New Roman"/>
                      <w:b w:val="0"/>
                      <w:bCs w:val="0"/>
                      <w:i w:val="0"/>
                      <w:iCs w:val="0"/>
                      <w:color w:val="FF0000"/>
                      <w:kern w:val="0"/>
                      <w:sz w:val="21"/>
                      <w:szCs w:val="21"/>
                      <w:highlight w:val="none"/>
                      <w:u w:val="none"/>
                      <w:lang w:val="en-US" w:eastAsia="zh-CN" w:bidi="ar"/>
                    </w:rPr>
                    <w:t>。</w:t>
                  </w:r>
                </w:p>
              </w:tc>
              <w:tc>
                <w:tcPr>
                  <w:tcW w:w="1387" w:type="pct"/>
                  <w:tcBorders>
                    <w:tl2br w:val="nil"/>
                    <w:tr2bl w:val="nil"/>
                  </w:tcBorders>
                  <w:noWrap w:val="0"/>
                  <w:vAlign w:val="center"/>
                </w:tcPr>
                <w:p w14:paraId="1FC91C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取消隐形矫治器生产线中后处理工段中的清洗环节</w:t>
                  </w:r>
                  <w:r>
                    <w:rPr>
                      <w:rFonts w:hint="eastAsia" w:cs="Times New Roman"/>
                      <w:b w:val="0"/>
                      <w:bCs w:val="0"/>
                      <w:i w:val="0"/>
                      <w:iCs w:val="0"/>
                      <w:color w:val="FF0000"/>
                      <w:kern w:val="0"/>
                      <w:sz w:val="21"/>
                      <w:szCs w:val="21"/>
                      <w:highlight w:val="none"/>
                      <w:u w:val="none"/>
                      <w:lang w:val="en-US" w:eastAsia="zh-CN" w:bidi="ar"/>
                    </w:rPr>
                    <w:t>。</w:t>
                  </w:r>
                </w:p>
              </w:tc>
              <w:tc>
                <w:tcPr>
                  <w:tcW w:w="1177" w:type="pct"/>
                  <w:tcBorders>
                    <w:tl2br w:val="nil"/>
                    <w:tr2bl w:val="nil"/>
                  </w:tcBorders>
                  <w:noWrap w:val="0"/>
                  <w:vAlign w:val="center"/>
                </w:tcPr>
                <w:p w14:paraId="20697D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碳酸丙烯酯废包装桶</w:t>
                  </w:r>
                  <w:r>
                    <w:rPr>
                      <w:rFonts w:hint="eastAsia" w:cs="Times New Roman"/>
                      <w:b w:val="0"/>
                      <w:bCs w:val="0"/>
                      <w:i w:val="0"/>
                      <w:iCs w:val="0"/>
                      <w:color w:val="FF0000"/>
                      <w:kern w:val="0"/>
                      <w:sz w:val="21"/>
                      <w:szCs w:val="21"/>
                      <w:highlight w:val="none"/>
                      <w:u w:val="none"/>
                      <w:lang w:val="en-US" w:eastAsia="zh-CN" w:bidi="ar"/>
                    </w:rPr>
                    <w:t>产生量</w:t>
                  </w:r>
                  <w:r>
                    <w:rPr>
                      <w:rFonts w:hint="eastAsia" w:eastAsia="宋体" w:cs="Times New Roman"/>
                      <w:b w:val="0"/>
                      <w:bCs w:val="0"/>
                      <w:i w:val="0"/>
                      <w:iCs w:val="0"/>
                      <w:color w:val="FF0000"/>
                      <w:kern w:val="0"/>
                      <w:sz w:val="21"/>
                      <w:szCs w:val="21"/>
                      <w:highlight w:val="none"/>
                      <w:u w:val="none"/>
                      <w:lang w:val="en-US" w:eastAsia="zh-CN" w:bidi="ar"/>
                    </w:rPr>
                    <w:t>削减为0</w:t>
                  </w:r>
                </w:p>
              </w:tc>
              <w:tc>
                <w:tcPr>
                  <w:tcW w:w="609" w:type="pct"/>
                  <w:tcBorders>
                    <w:tl2br w:val="nil"/>
                    <w:tr2bl w:val="nil"/>
                  </w:tcBorders>
                  <w:noWrap w:val="0"/>
                  <w:vAlign w:val="center"/>
                </w:tcPr>
                <w:p w14:paraId="4046C7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不再产生。</w:t>
                  </w:r>
                </w:p>
              </w:tc>
            </w:tr>
            <w:tr w14:paraId="3276B4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9" w:type="pct"/>
                  <w:vMerge w:val="continue"/>
                  <w:tcBorders>
                    <w:tl2br w:val="nil"/>
                    <w:tr2bl w:val="nil"/>
                  </w:tcBorders>
                  <w:noWrap w:val="0"/>
                  <w:vAlign w:val="center"/>
                </w:tcPr>
                <w:p w14:paraId="4DCC6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b/>
                      <w:bCs/>
                      <w:color w:val="FF0000"/>
                      <w:szCs w:val="21"/>
                      <w:highlight w:val="none"/>
                      <w:lang w:val="en-US" w:eastAsia="zh-CN"/>
                    </w:rPr>
                  </w:pPr>
                </w:p>
              </w:tc>
              <w:tc>
                <w:tcPr>
                  <w:tcW w:w="1416" w:type="pct"/>
                  <w:tcBorders>
                    <w:tl2br w:val="nil"/>
                    <w:tr2bl w:val="nil"/>
                  </w:tcBorders>
                  <w:noWrap w:val="0"/>
                  <w:vAlign w:val="center"/>
                </w:tcPr>
                <w:p w14:paraId="5553B4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现有项目中处理压膜废气产生</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废活性炭14.8359t/a</w:t>
                  </w:r>
                  <w:r>
                    <w:rPr>
                      <w:rFonts w:hint="eastAsia" w:cs="Times New Roman"/>
                      <w:b w:val="0"/>
                      <w:bCs w:val="0"/>
                      <w:i w:val="0"/>
                      <w:iCs w:val="0"/>
                      <w:color w:val="FF0000"/>
                      <w:kern w:val="0"/>
                      <w:sz w:val="21"/>
                      <w:szCs w:val="21"/>
                      <w:highlight w:val="none"/>
                      <w:u w:val="none"/>
                      <w:lang w:val="en-US" w:eastAsia="zh-CN" w:bidi="ar"/>
                    </w:rPr>
                    <w:t>。</w:t>
                  </w:r>
                </w:p>
              </w:tc>
              <w:tc>
                <w:tcPr>
                  <w:tcW w:w="1387" w:type="pct"/>
                  <w:tcBorders>
                    <w:tl2br w:val="nil"/>
                    <w:tr2bl w:val="nil"/>
                  </w:tcBorders>
                  <w:noWrap w:val="0"/>
                  <w:vAlign w:val="center"/>
                </w:tcPr>
                <w:p w14:paraId="12A437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本次新增的喷涂硅油-脱模剂废气并入现有的压膜废气处理设施处理</w:t>
                  </w:r>
                  <w:r>
                    <w:rPr>
                      <w:rFonts w:hint="eastAsia" w:cs="Times New Roman"/>
                      <w:b w:val="0"/>
                      <w:bCs w:val="0"/>
                      <w:i w:val="0"/>
                      <w:iCs w:val="0"/>
                      <w:color w:val="FF0000"/>
                      <w:kern w:val="0"/>
                      <w:sz w:val="21"/>
                      <w:szCs w:val="21"/>
                      <w:highlight w:val="none"/>
                      <w:u w:val="none"/>
                      <w:lang w:val="en-US" w:eastAsia="zh-CN" w:bidi="ar"/>
                    </w:rPr>
                    <w:t>。</w:t>
                  </w:r>
                </w:p>
              </w:tc>
              <w:tc>
                <w:tcPr>
                  <w:tcW w:w="1177" w:type="pct"/>
                  <w:tcBorders>
                    <w:tl2br w:val="nil"/>
                    <w:tr2bl w:val="nil"/>
                  </w:tcBorders>
                  <w:noWrap w:val="0"/>
                  <w:vAlign w:val="center"/>
                </w:tcPr>
                <w:p w14:paraId="40580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对现有项目核定的相应排气筒产生的固体废物进行</w:t>
                  </w:r>
                  <w:r>
                    <w:rPr>
                      <w:rFonts w:hint="eastAsia" w:cs="Times New Roman"/>
                      <w:b w:val="0"/>
                      <w:bCs w:val="0"/>
                      <w:i w:val="0"/>
                      <w:iCs w:val="0"/>
                      <w:color w:val="FF0000"/>
                      <w:kern w:val="0"/>
                      <w:sz w:val="21"/>
                      <w:szCs w:val="21"/>
                      <w:highlight w:val="none"/>
                      <w:u w:val="none"/>
                      <w:lang w:val="en-US" w:eastAsia="zh-CN" w:bidi="ar"/>
                    </w:rPr>
                    <w:t>重新核定，</w:t>
                  </w:r>
                  <w:r>
                    <w:rPr>
                      <w:rFonts w:hint="eastAsia" w:eastAsia="宋体" w:cs="Times New Roman"/>
                      <w:b w:val="0"/>
                      <w:bCs w:val="0"/>
                      <w:i w:val="0"/>
                      <w:iCs w:val="0"/>
                      <w:color w:val="FF0000"/>
                      <w:kern w:val="0"/>
                      <w:sz w:val="21"/>
                      <w:szCs w:val="21"/>
                      <w:highlight w:val="none"/>
                      <w:u w:val="none"/>
                      <w:lang w:val="en-US" w:eastAsia="zh-CN" w:bidi="ar"/>
                    </w:rPr>
                    <w:t>废活性炭</w:t>
                  </w:r>
                  <w:r>
                    <w:rPr>
                      <w:rFonts w:hint="eastAsia" w:cs="Times New Roman"/>
                      <w:b w:val="0"/>
                      <w:bCs w:val="0"/>
                      <w:i w:val="0"/>
                      <w:iCs w:val="0"/>
                      <w:color w:val="FF0000"/>
                      <w:kern w:val="0"/>
                      <w:sz w:val="21"/>
                      <w:szCs w:val="21"/>
                      <w:highlight w:val="none"/>
                      <w:u w:val="none"/>
                      <w:lang w:val="en-US" w:eastAsia="zh-CN" w:bidi="ar"/>
                    </w:rPr>
                    <w:t>产生量</w:t>
                  </w:r>
                  <w:r>
                    <w:rPr>
                      <w:rFonts w:hint="eastAsia" w:eastAsia="宋体" w:cs="Times New Roman"/>
                      <w:b w:val="0"/>
                      <w:bCs w:val="0"/>
                      <w:i w:val="0"/>
                      <w:iCs w:val="0"/>
                      <w:color w:val="FF0000"/>
                      <w:kern w:val="0"/>
                      <w:sz w:val="21"/>
                      <w:szCs w:val="21"/>
                      <w:highlight w:val="none"/>
                      <w:u w:val="none"/>
                      <w:lang w:val="en-US" w:eastAsia="zh-CN" w:bidi="ar"/>
                    </w:rPr>
                    <w:t>削减为0。</w:t>
                  </w:r>
                </w:p>
              </w:tc>
              <w:tc>
                <w:tcPr>
                  <w:tcW w:w="609" w:type="pct"/>
                  <w:tcBorders>
                    <w:tl2br w:val="nil"/>
                    <w:tr2bl w:val="nil"/>
                  </w:tcBorders>
                  <w:noWrap w:val="0"/>
                  <w:vAlign w:val="center"/>
                </w:tcPr>
                <w:p w14:paraId="3590B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废活性炭委托资质单位进行处置</w:t>
                  </w:r>
                </w:p>
              </w:tc>
            </w:tr>
            <w:tr w14:paraId="773DA3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9" w:type="pct"/>
                  <w:vMerge w:val="continue"/>
                  <w:tcBorders>
                    <w:tl2br w:val="nil"/>
                    <w:tr2bl w:val="nil"/>
                  </w:tcBorders>
                  <w:noWrap w:val="0"/>
                  <w:vAlign w:val="center"/>
                </w:tcPr>
                <w:p w14:paraId="39484A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b/>
                      <w:bCs/>
                      <w:color w:val="FF0000"/>
                      <w:szCs w:val="21"/>
                      <w:highlight w:val="none"/>
                      <w:lang w:val="en-US" w:eastAsia="zh-CN"/>
                    </w:rPr>
                  </w:pPr>
                </w:p>
              </w:tc>
              <w:tc>
                <w:tcPr>
                  <w:tcW w:w="1416" w:type="pct"/>
                  <w:tcBorders>
                    <w:tl2br w:val="nil"/>
                    <w:tr2bl w:val="nil"/>
                  </w:tcBorders>
                  <w:noWrap w:val="0"/>
                  <w:vAlign w:val="center"/>
                </w:tcPr>
                <w:p w14:paraId="040AD4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现有项目中处理抛光废气产生</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废布袋2t/a</w:t>
                  </w:r>
                  <w:r>
                    <w:rPr>
                      <w:rFonts w:hint="eastAsia" w:cs="Times New Roman"/>
                      <w:b w:val="0"/>
                      <w:bCs w:val="0"/>
                      <w:i w:val="0"/>
                      <w:iCs w:val="0"/>
                      <w:color w:val="FF0000"/>
                      <w:kern w:val="0"/>
                      <w:sz w:val="21"/>
                      <w:szCs w:val="21"/>
                      <w:highlight w:val="none"/>
                      <w:u w:val="none"/>
                      <w:lang w:val="en-US" w:eastAsia="zh-CN" w:bidi="ar"/>
                    </w:rPr>
                    <w:t>。</w:t>
                  </w:r>
                </w:p>
              </w:tc>
              <w:tc>
                <w:tcPr>
                  <w:tcW w:w="1387" w:type="pct"/>
                  <w:tcBorders>
                    <w:tl2br w:val="nil"/>
                    <w:tr2bl w:val="nil"/>
                  </w:tcBorders>
                  <w:noWrap w:val="0"/>
                  <w:vAlign w:val="center"/>
                </w:tcPr>
                <w:p w14:paraId="378538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本次新增的喷涂硅油-脱模剂废气并入现有的压膜废气处理设施处理</w:t>
                  </w:r>
                  <w:r>
                    <w:rPr>
                      <w:rFonts w:hint="eastAsia" w:cs="Times New Roman"/>
                      <w:b w:val="0"/>
                      <w:bCs w:val="0"/>
                      <w:i w:val="0"/>
                      <w:iCs w:val="0"/>
                      <w:color w:val="FF0000"/>
                      <w:kern w:val="0"/>
                      <w:sz w:val="21"/>
                      <w:szCs w:val="21"/>
                      <w:highlight w:val="none"/>
                      <w:u w:val="none"/>
                      <w:lang w:val="en-US" w:eastAsia="zh-CN" w:bidi="ar"/>
                    </w:rPr>
                    <w:t>。</w:t>
                  </w:r>
                </w:p>
              </w:tc>
              <w:tc>
                <w:tcPr>
                  <w:tcW w:w="1177" w:type="pct"/>
                  <w:tcBorders>
                    <w:tl2br w:val="nil"/>
                    <w:tr2bl w:val="nil"/>
                  </w:tcBorders>
                  <w:noWrap w:val="0"/>
                  <w:vAlign w:val="center"/>
                </w:tcPr>
                <w:p w14:paraId="28A8F1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对现有项目核定的相应排气筒产生的固体废物进行</w:t>
                  </w:r>
                  <w:r>
                    <w:rPr>
                      <w:rFonts w:hint="eastAsia" w:cs="Times New Roman"/>
                      <w:b w:val="0"/>
                      <w:bCs w:val="0"/>
                      <w:i w:val="0"/>
                      <w:iCs w:val="0"/>
                      <w:color w:val="FF0000"/>
                      <w:kern w:val="0"/>
                      <w:sz w:val="21"/>
                      <w:szCs w:val="21"/>
                      <w:highlight w:val="none"/>
                      <w:u w:val="none"/>
                      <w:lang w:val="en-US" w:eastAsia="zh-CN" w:bidi="ar"/>
                    </w:rPr>
                    <w:t>重新核定，废布袋产生量</w:t>
                  </w:r>
                  <w:r>
                    <w:rPr>
                      <w:rFonts w:hint="eastAsia" w:eastAsia="宋体" w:cs="Times New Roman"/>
                      <w:b w:val="0"/>
                      <w:bCs w:val="0"/>
                      <w:i w:val="0"/>
                      <w:iCs w:val="0"/>
                      <w:color w:val="FF0000"/>
                      <w:kern w:val="0"/>
                      <w:sz w:val="21"/>
                      <w:szCs w:val="21"/>
                      <w:highlight w:val="none"/>
                      <w:u w:val="none"/>
                      <w:lang w:val="en-US" w:eastAsia="zh-CN" w:bidi="ar"/>
                    </w:rPr>
                    <w:t>削减为0。</w:t>
                  </w:r>
                </w:p>
              </w:tc>
              <w:tc>
                <w:tcPr>
                  <w:tcW w:w="609" w:type="pct"/>
                  <w:tcBorders>
                    <w:tl2br w:val="nil"/>
                    <w:tr2bl w:val="nil"/>
                  </w:tcBorders>
                  <w:noWrap w:val="0"/>
                  <w:vAlign w:val="center"/>
                </w:tcPr>
                <w:p w14:paraId="71106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废布袋收集后外售。</w:t>
                  </w:r>
                </w:p>
              </w:tc>
            </w:tr>
            <w:tr w14:paraId="21628A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9" w:type="pct"/>
                  <w:vMerge w:val="continue"/>
                  <w:tcBorders>
                    <w:tl2br w:val="nil"/>
                    <w:tr2bl w:val="nil"/>
                  </w:tcBorders>
                  <w:noWrap w:val="0"/>
                  <w:vAlign w:val="center"/>
                </w:tcPr>
                <w:p w14:paraId="6A0E49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b/>
                      <w:bCs/>
                      <w:color w:val="FF0000"/>
                      <w:szCs w:val="21"/>
                      <w:highlight w:val="none"/>
                      <w:lang w:val="en-US" w:eastAsia="zh-CN"/>
                    </w:rPr>
                  </w:pPr>
                </w:p>
              </w:tc>
              <w:tc>
                <w:tcPr>
                  <w:tcW w:w="1416" w:type="pct"/>
                  <w:tcBorders>
                    <w:tl2br w:val="nil"/>
                    <w:tr2bl w:val="nil"/>
                  </w:tcBorders>
                  <w:noWrap w:val="0"/>
                  <w:vAlign w:val="center"/>
                </w:tcPr>
                <w:p w14:paraId="0F612D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现有项目中处理抛光废气产生</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粉尘6.125t/a</w:t>
                  </w:r>
                  <w:r>
                    <w:rPr>
                      <w:rFonts w:hint="eastAsia" w:cs="Times New Roman"/>
                      <w:b w:val="0"/>
                      <w:bCs w:val="0"/>
                      <w:i w:val="0"/>
                      <w:iCs w:val="0"/>
                      <w:color w:val="FF0000"/>
                      <w:kern w:val="0"/>
                      <w:sz w:val="21"/>
                      <w:szCs w:val="21"/>
                      <w:highlight w:val="none"/>
                      <w:u w:val="none"/>
                      <w:lang w:val="en-US" w:eastAsia="zh-CN" w:bidi="ar"/>
                    </w:rPr>
                    <w:t>。</w:t>
                  </w:r>
                </w:p>
              </w:tc>
              <w:tc>
                <w:tcPr>
                  <w:tcW w:w="1387" w:type="pct"/>
                  <w:tcBorders>
                    <w:tl2br w:val="nil"/>
                    <w:tr2bl w:val="nil"/>
                  </w:tcBorders>
                  <w:noWrap w:val="0"/>
                  <w:vAlign w:val="center"/>
                </w:tcPr>
                <w:p w14:paraId="172D5E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本次新增的喷涂硅油-脱模剂废气并入现有的压膜废气处理设施处理</w:t>
                  </w:r>
                  <w:r>
                    <w:rPr>
                      <w:rFonts w:hint="eastAsia" w:cs="Times New Roman"/>
                      <w:b w:val="0"/>
                      <w:bCs w:val="0"/>
                      <w:i w:val="0"/>
                      <w:iCs w:val="0"/>
                      <w:color w:val="FF0000"/>
                      <w:kern w:val="0"/>
                      <w:sz w:val="21"/>
                      <w:szCs w:val="21"/>
                      <w:highlight w:val="none"/>
                      <w:u w:val="none"/>
                      <w:lang w:val="en-US" w:eastAsia="zh-CN" w:bidi="ar"/>
                    </w:rPr>
                    <w:t>。</w:t>
                  </w:r>
                </w:p>
              </w:tc>
              <w:tc>
                <w:tcPr>
                  <w:tcW w:w="1177" w:type="pct"/>
                  <w:tcBorders>
                    <w:tl2br w:val="nil"/>
                    <w:tr2bl w:val="nil"/>
                  </w:tcBorders>
                  <w:noWrap w:val="0"/>
                  <w:vAlign w:val="center"/>
                </w:tcPr>
                <w:p w14:paraId="49CCE3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对现有项目核定的相应排气筒产生的固体废物进行</w:t>
                  </w:r>
                  <w:r>
                    <w:rPr>
                      <w:rFonts w:hint="eastAsia" w:cs="Times New Roman"/>
                      <w:b w:val="0"/>
                      <w:bCs w:val="0"/>
                      <w:i w:val="0"/>
                      <w:iCs w:val="0"/>
                      <w:color w:val="FF0000"/>
                      <w:kern w:val="0"/>
                      <w:sz w:val="21"/>
                      <w:szCs w:val="21"/>
                      <w:highlight w:val="none"/>
                      <w:u w:val="none"/>
                      <w:lang w:val="en-US" w:eastAsia="zh-CN" w:bidi="ar"/>
                    </w:rPr>
                    <w:t>重新核定，粉尘产生量</w:t>
                  </w:r>
                  <w:r>
                    <w:rPr>
                      <w:rFonts w:hint="eastAsia" w:eastAsia="宋体" w:cs="Times New Roman"/>
                      <w:b w:val="0"/>
                      <w:bCs w:val="0"/>
                      <w:i w:val="0"/>
                      <w:iCs w:val="0"/>
                      <w:color w:val="FF0000"/>
                      <w:kern w:val="0"/>
                      <w:sz w:val="21"/>
                      <w:szCs w:val="21"/>
                      <w:highlight w:val="none"/>
                      <w:u w:val="none"/>
                      <w:lang w:val="en-US" w:eastAsia="zh-CN" w:bidi="ar"/>
                    </w:rPr>
                    <w:t>削减为0。</w:t>
                  </w:r>
                </w:p>
              </w:tc>
              <w:tc>
                <w:tcPr>
                  <w:tcW w:w="609" w:type="pct"/>
                  <w:tcBorders>
                    <w:tl2br w:val="nil"/>
                    <w:tr2bl w:val="nil"/>
                  </w:tcBorders>
                  <w:noWrap w:val="0"/>
                  <w:vAlign w:val="center"/>
                </w:tcPr>
                <w:p w14:paraId="27781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粉尘收集后外售。</w:t>
                  </w:r>
                </w:p>
              </w:tc>
            </w:tr>
            <w:tr w14:paraId="6A7CEB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09" w:type="pct"/>
                  <w:vMerge w:val="continue"/>
                  <w:tcBorders>
                    <w:tl2br w:val="nil"/>
                    <w:tr2bl w:val="nil"/>
                  </w:tcBorders>
                  <w:noWrap w:val="0"/>
                  <w:vAlign w:val="center"/>
                </w:tcPr>
                <w:p w14:paraId="564B8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b/>
                      <w:bCs/>
                      <w:color w:val="FF0000"/>
                      <w:szCs w:val="21"/>
                      <w:highlight w:val="none"/>
                      <w:lang w:val="en-US" w:eastAsia="zh-CN"/>
                    </w:rPr>
                  </w:pPr>
                </w:p>
              </w:tc>
              <w:tc>
                <w:tcPr>
                  <w:tcW w:w="1416" w:type="pct"/>
                  <w:tcBorders>
                    <w:tl2br w:val="nil"/>
                    <w:tr2bl w:val="nil"/>
                  </w:tcBorders>
                  <w:noWrap w:val="0"/>
                  <w:vAlign w:val="center"/>
                </w:tcPr>
                <w:p w14:paraId="6E2C96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现有项目中</w:t>
                  </w: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车间1、2、4号楼压膜工段配套喷淋塔产生喷淋废液24t/a</w:t>
                  </w:r>
                </w:p>
              </w:tc>
              <w:tc>
                <w:tcPr>
                  <w:tcW w:w="1387" w:type="pct"/>
                  <w:tcBorders>
                    <w:tl2br w:val="nil"/>
                    <w:tr2bl w:val="nil"/>
                  </w:tcBorders>
                  <w:noWrap w:val="0"/>
                  <w:vAlign w:val="center"/>
                </w:tcPr>
                <w:p w14:paraId="7B0DB9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default" w:ascii="Times New Roman" w:hAnsi="Times New Roman" w:eastAsia="宋体" w:cs="Times New Roman"/>
                      <w:b w:val="0"/>
                      <w:bCs w:val="0"/>
                      <w:i w:val="0"/>
                      <w:iCs w:val="0"/>
                      <w:color w:val="FF0000"/>
                      <w:kern w:val="0"/>
                      <w:sz w:val="21"/>
                      <w:szCs w:val="21"/>
                      <w:highlight w:val="none"/>
                      <w:u w:val="none"/>
                      <w:lang w:val="en-US" w:eastAsia="zh-CN" w:bidi="ar"/>
                    </w:rPr>
                    <w:t>本次新增的喷涂硅油-脱模剂废气并入现有的压膜废气处理设施处理</w:t>
                  </w:r>
                  <w:r>
                    <w:rPr>
                      <w:rFonts w:hint="eastAsia" w:cs="Times New Roman"/>
                      <w:b w:val="0"/>
                      <w:bCs w:val="0"/>
                      <w:i w:val="0"/>
                      <w:iCs w:val="0"/>
                      <w:color w:val="FF0000"/>
                      <w:kern w:val="0"/>
                      <w:sz w:val="21"/>
                      <w:szCs w:val="21"/>
                      <w:highlight w:val="none"/>
                      <w:u w:val="none"/>
                      <w:lang w:val="en-US" w:eastAsia="zh-CN" w:bidi="ar"/>
                    </w:rPr>
                    <w:t>。</w:t>
                  </w:r>
                </w:p>
              </w:tc>
              <w:tc>
                <w:tcPr>
                  <w:tcW w:w="1177" w:type="pct"/>
                  <w:tcBorders>
                    <w:tl2br w:val="nil"/>
                    <w:tr2bl w:val="nil"/>
                  </w:tcBorders>
                  <w:noWrap w:val="0"/>
                  <w:vAlign w:val="center"/>
                </w:tcPr>
                <w:p w14:paraId="03B21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对现有项目核定的相应排气筒产生的固体废物进行</w:t>
                  </w:r>
                  <w:r>
                    <w:rPr>
                      <w:rFonts w:hint="eastAsia" w:cs="Times New Roman"/>
                      <w:b w:val="0"/>
                      <w:bCs w:val="0"/>
                      <w:i w:val="0"/>
                      <w:iCs w:val="0"/>
                      <w:color w:val="FF0000"/>
                      <w:kern w:val="0"/>
                      <w:sz w:val="21"/>
                      <w:szCs w:val="21"/>
                      <w:highlight w:val="none"/>
                      <w:u w:val="none"/>
                      <w:lang w:val="en-US" w:eastAsia="zh-CN" w:bidi="ar"/>
                    </w:rPr>
                    <w:t>重新核定，喷淋塔废液产生量</w:t>
                  </w:r>
                  <w:r>
                    <w:rPr>
                      <w:rFonts w:hint="eastAsia" w:eastAsia="宋体" w:cs="Times New Roman"/>
                      <w:b w:val="0"/>
                      <w:bCs w:val="0"/>
                      <w:i w:val="0"/>
                      <w:iCs w:val="0"/>
                      <w:color w:val="FF0000"/>
                      <w:kern w:val="0"/>
                      <w:sz w:val="21"/>
                      <w:szCs w:val="21"/>
                      <w:highlight w:val="none"/>
                      <w:u w:val="none"/>
                      <w:lang w:val="en-US" w:eastAsia="zh-CN" w:bidi="ar"/>
                    </w:rPr>
                    <w:t>削减为0。</w:t>
                  </w:r>
                </w:p>
              </w:tc>
              <w:tc>
                <w:tcPr>
                  <w:tcW w:w="609" w:type="pct"/>
                  <w:tcBorders>
                    <w:tl2br w:val="nil"/>
                    <w:tr2bl w:val="nil"/>
                  </w:tcBorders>
                  <w:noWrap w:val="0"/>
                  <w:vAlign w:val="center"/>
                </w:tcPr>
                <w:p w14:paraId="2B37AE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淋塔废液</w:t>
                  </w:r>
                  <w:r>
                    <w:rPr>
                      <w:rFonts w:hint="eastAsia" w:cs="Times New Roman"/>
                      <w:b w:val="0"/>
                      <w:bCs w:val="0"/>
                      <w:i w:val="0"/>
                      <w:iCs w:val="0"/>
                      <w:color w:val="FF0000"/>
                      <w:kern w:val="0"/>
                      <w:sz w:val="21"/>
                      <w:szCs w:val="21"/>
                      <w:highlight w:val="none"/>
                      <w:u w:val="none"/>
                      <w:lang w:val="en-US" w:eastAsia="zh-CN" w:bidi="ar"/>
                    </w:rPr>
                    <w:t>委托有资质单位进行处置。</w:t>
                  </w:r>
                </w:p>
              </w:tc>
            </w:tr>
            <w:tr w14:paraId="266BE8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noWrap w:val="0"/>
                  <w:vAlign w:val="center"/>
                </w:tcPr>
                <w:p w14:paraId="3847DD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cs="Times New Roman"/>
                      <w:b/>
                      <w:bCs/>
                      <w:i w:val="0"/>
                      <w:iCs w:val="0"/>
                      <w:color w:val="FF0000"/>
                      <w:kern w:val="0"/>
                      <w:sz w:val="21"/>
                      <w:szCs w:val="21"/>
                      <w:highlight w:val="none"/>
                      <w:u w:val="none"/>
                      <w:lang w:val="en-US" w:eastAsia="zh-CN" w:bidi="ar"/>
                    </w:rPr>
                    <w:t>*：现有项目各排气筒废气削减具体情况见下表2-20。现有项目“以新带老”后，涉及的固体废物产生处置情况见下表2-21。</w:t>
                  </w:r>
                </w:p>
              </w:tc>
            </w:tr>
          </w:tbl>
          <w:p w14:paraId="12BDC269">
            <w:pPr>
              <w:keepNext w:val="0"/>
              <w:keepLines w:val="0"/>
              <w:widowControl/>
              <w:numPr>
                <w:ilvl w:val="0"/>
                <w:numId w:val="0"/>
              </w:numPr>
              <w:suppressLineNumbers w:val="0"/>
              <w:adjustRightInd w:val="0"/>
              <w:snapToGrid w:val="0"/>
              <w:spacing w:before="0" w:beforeAutospacing="0" w:after="0" w:afterAutospacing="0"/>
              <w:ind w:left="0" w:leftChars="0" w:right="0"/>
              <w:jc w:val="center"/>
              <w:rPr>
                <w:rFonts w:hint="eastAsia" w:ascii="Times New Roman" w:hAnsi="Times New Roman" w:eastAsia="宋体" w:cs="Times New Roman"/>
                <w:b/>
                <w:color w:val="FF0000"/>
                <w:kern w:val="2"/>
                <w:sz w:val="24"/>
                <w:szCs w:val="24"/>
                <w:highlight w:val="none"/>
                <w:lang w:eastAsia="zh-CN"/>
              </w:rPr>
            </w:pPr>
            <w:r>
              <w:rPr>
                <w:rFonts w:hint="eastAsia" w:ascii="Times New Roman" w:hAnsi="Times New Roman" w:eastAsia="宋体" w:cs="Times New Roman"/>
                <w:b/>
                <w:color w:val="FF0000"/>
                <w:kern w:val="2"/>
                <w:sz w:val="24"/>
                <w:szCs w:val="24"/>
                <w:highlight w:val="none"/>
                <w:lang w:eastAsia="zh-CN"/>
              </w:rPr>
              <w:t>表</w:t>
            </w:r>
            <w:r>
              <w:rPr>
                <w:rFonts w:hint="eastAsia" w:ascii="Times New Roman" w:hAnsi="Times New Roman" w:eastAsia="宋体" w:cs="Times New Roman"/>
                <w:b/>
                <w:color w:val="FF0000"/>
                <w:kern w:val="2"/>
                <w:sz w:val="24"/>
                <w:szCs w:val="24"/>
                <w:highlight w:val="none"/>
                <w:lang w:val="en-US" w:eastAsia="zh-CN"/>
              </w:rPr>
              <w:t>2-</w:t>
            </w:r>
            <w:r>
              <w:rPr>
                <w:rFonts w:hint="eastAsia" w:cs="Times New Roman"/>
                <w:b/>
                <w:color w:val="FF0000"/>
                <w:kern w:val="2"/>
                <w:sz w:val="24"/>
                <w:szCs w:val="24"/>
                <w:highlight w:val="none"/>
                <w:lang w:val="en-US" w:eastAsia="zh-CN"/>
              </w:rPr>
              <w:t>20</w:t>
            </w:r>
            <w:r>
              <w:rPr>
                <w:rFonts w:hint="eastAsia" w:ascii="Times New Roman" w:hAnsi="Times New Roman" w:eastAsia="宋体" w:cs="Times New Roman"/>
                <w:b/>
                <w:color w:val="FF0000"/>
                <w:kern w:val="2"/>
                <w:sz w:val="24"/>
                <w:szCs w:val="24"/>
                <w:highlight w:val="none"/>
                <w:lang w:val="en-US" w:eastAsia="zh-CN"/>
              </w:rPr>
              <w:t xml:space="preserve">  </w:t>
            </w:r>
            <w:r>
              <w:rPr>
                <w:rFonts w:hint="eastAsia" w:ascii="Times New Roman" w:hAnsi="Times New Roman" w:eastAsia="宋体" w:cs="Times New Roman"/>
                <w:b/>
                <w:color w:val="FF0000"/>
                <w:kern w:val="2"/>
                <w:sz w:val="24"/>
                <w:szCs w:val="24"/>
                <w:highlight w:val="none"/>
                <w:lang w:eastAsia="zh-CN"/>
              </w:rPr>
              <w:t>现有项目</w:t>
            </w:r>
            <w:r>
              <w:rPr>
                <w:rFonts w:hint="eastAsia" w:cs="Times New Roman"/>
                <w:b/>
                <w:color w:val="FF0000"/>
                <w:kern w:val="2"/>
                <w:sz w:val="24"/>
                <w:szCs w:val="24"/>
                <w:highlight w:val="none"/>
                <w:lang w:val="en-US" w:eastAsia="zh-CN"/>
              </w:rPr>
              <w:t>各排气筒废气削减情况</w:t>
            </w:r>
            <w:r>
              <w:rPr>
                <w:rFonts w:hint="eastAsia" w:ascii="Times New Roman" w:hAnsi="Times New Roman" w:eastAsia="宋体" w:cs="Times New Roman"/>
                <w:b/>
                <w:color w:val="FF0000"/>
                <w:kern w:val="2"/>
                <w:sz w:val="24"/>
                <w:szCs w:val="24"/>
                <w:highlight w:val="none"/>
                <w:lang w:eastAsia="zh-CN"/>
              </w:rPr>
              <w:t>统计表</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000"/>
              <w:gridCol w:w="1991"/>
              <w:gridCol w:w="1289"/>
              <w:gridCol w:w="1624"/>
              <w:gridCol w:w="1364"/>
              <w:gridCol w:w="1490"/>
              <w:gridCol w:w="1632"/>
            </w:tblGrid>
            <w:tr w14:paraId="540340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93" w:type="pct"/>
                  <w:vMerge w:val="restart"/>
                  <w:tcBorders>
                    <w:tl2br w:val="nil"/>
                    <w:tr2bl w:val="nil"/>
                  </w:tcBorders>
                  <w:noWrap w:val="0"/>
                  <w:vAlign w:val="center"/>
                </w:tcPr>
                <w:p w14:paraId="4A3C67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cs="Times New Roman"/>
                      <w:b/>
                      <w:bCs/>
                      <w:i w:val="0"/>
                      <w:iCs w:val="0"/>
                      <w:color w:val="FF0000"/>
                      <w:kern w:val="0"/>
                      <w:sz w:val="21"/>
                      <w:szCs w:val="21"/>
                      <w:highlight w:val="none"/>
                      <w:u w:val="none"/>
                      <w:lang w:val="en-US" w:eastAsia="zh-CN" w:bidi="ar"/>
                    </w:rPr>
                    <w:t>产污环节</w:t>
                  </w:r>
                </w:p>
              </w:tc>
              <w:tc>
                <w:tcPr>
                  <w:tcW w:w="743" w:type="pct"/>
                  <w:vMerge w:val="restart"/>
                  <w:tcBorders>
                    <w:tl2br w:val="nil"/>
                    <w:tr2bl w:val="nil"/>
                  </w:tcBorders>
                  <w:noWrap w:val="0"/>
                  <w:vAlign w:val="center"/>
                </w:tcPr>
                <w:p w14:paraId="2CA6B2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default" w:ascii="Times New Roman" w:hAnsi="Times New Roman" w:eastAsia="宋体" w:cs="Times New Roman"/>
                      <w:b/>
                      <w:bCs/>
                      <w:i w:val="0"/>
                      <w:iCs w:val="0"/>
                      <w:color w:val="FF0000"/>
                      <w:kern w:val="0"/>
                      <w:sz w:val="21"/>
                      <w:szCs w:val="21"/>
                      <w:highlight w:val="none"/>
                      <w:u w:val="none"/>
                      <w:lang w:val="en-US" w:eastAsia="zh-CN" w:bidi="ar"/>
                    </w:rPr>
                    <w:t>污染物</w:t>
                  </w:r>
                </w:p>
              </w:tc>
              <w:tc>
                <w:tcPr>
                  <w:tcW w:w="1087" w:type="pct"/>
                  <w:gridSpan w:val="2"/>
                  <w:tcBorders>
                    <w:tl2br w:val="nil"/>
                    <w:tr2bl w:val="nil"/>
                  </w:tcBorders>
                  <w:noWrap w:val="0"/>
                  <w:vAlign w:val="center"/>
                </w:tcPr>
                <w:p w14:paraId="1E721C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cs="Times New Roman"/>
                      <w:b/>
                      <w:bCs/>
                      <w:i w:val="0"/>
                      <w:iCs w:val="0"/>
                      <w:color w:val="FF0000"/>
                      <w:kern w:val="0"/>
                      <w:sz w:val="21"/>
                      <w:szCs w:val="21"/>
                      <w:highlight w:val="none"/>
                      <w:u w:val="none"/>
                      <w:lang w:val="en-US" w:eastAsia="zh-CN" w:bidi="ar"/>
                    </w:rPr>
                    <w:t>本次以新带老前</w:t>
                  </w:r>
                </w:p>
              </w:tc>
              <w:tc>
                <w:tcPr>
                  <w:tcW w:w="1065" w:type="pct"/>
                  <w:gridSpan w:val="2"/>
                  <w:tcBorders>
                    <w:tl2br w:val="nil"/>
                    <w:tr2bl w:val="nil"/>
                  </w:tcBorders>
                  <w:noWrap w:val="0"/>
                  <w:vAlign w:val="center"/>
                </w:tcPr>
                <w:p w14:paraId="62D8EE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cs="Times New Roman"/>
                      <w:b/>
                      <w:bCs/>
                      <w:i w:val="0"/>
                      <w:iCs w:val="0"/>
                      <w:color w:val="FF0000"/>
                      <w:kern w:val="0"/>
                      <w:sz w:val="21"/>
                      <w:szCs w:val="21"/>
                      <w:highlight w:val="none"/>
                      <w:u w:val="none"/>
                      <w:lang w:val="en-US" w:eastAsia="zh-CN" w:bidi="ar"/>
                    </w:rPr>
                    <w:t>本次以新带老后</w:t>
                  </w:r>
                </w:p>
              </w:tc>
              <w:tc>
                <w:tcPr>
                  <w:tcW w:w="609" w:type="pct"/>
                  <w:vMerge w:val="restart"/>
                  <w:tcBorders>
                    <w:tl2br w:val="nil"/>
                    <w:tr2bl w:val="nil"/>
                  </w:tcBorders>
                  <w:noWrap w:val="0"/>
                  <w:vAlign w:val="center"/>
                </w:tcPr>
                <w:p w14:paraId="139950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eastAsia" w:ascii="Times New Roman" w:hAnsi="Times New Roman" w:eastAsia="宋体" w:cs="Times New Roman"/>
                      <w:b/>
                      <w:bCs/>
                      <w:i w:val="0"/>
                      <w:iCs w:val="0"/>
                      <w:color w:val="FF0000"/>
                      <w:kern w:val="0"/>
                      <w:sz w:val="21"/>
                      <w:szCs w:val="21"/>
                      <w:highlight w:val="none"/>
                      <w:u w:val="none"/>
                      <w:lang w:val="en-US" w:eastAsia="zh-CN" w:bidi="ar"/>
                    </w:rPr>
                    <w:t>排放去向</w:t>
                  </w:r>
                </w:p>
              </w:tc>
            </w:tr>
            <w:tr w14:paraId="33B28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93" w:type="pct"/>
                  <w:vMerge w:val="continue"/>
                  <w:tcBorders>
                    <w:tl2br w:val="nil"/>
                    <w:tr2bl w:val="nil"/>
                  </w:tcBorders>
                  <w:noWrap w:val="0"/>
                  <w:vAlign w:val="center"/>
                </w:tcPr>
                <w:p w14:paraId="486FD3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p>
              </w:tc>
              <w:tc>
                <w:tcPr>
                  <w:tcW w:w="743" w:type="pct"/>
                  <w:vMerge w:val="continue"/>
                  <w:tcBorders>
                    <w:tl2br w:val="nil"/>
                    <w:tr2bl w:val="nil"/>
                  </w:tcBorders>
                  <w:noWrap w:val="0"/>
                  <w:vAlign w:val="center"/>
                </w:tcPr>
                <w:p w14:paraId="7DD146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p>
              </w:tc>
              <w:tc>
                <w:tcPr>
                  <w:tcW w:w="481" w:type="pct"/>
                  <w:tcBorders>
                    <w:tl2br w:val="nil"/>
                    <w:tr2bl w:val="nil"/>
                  </w:tcBorders>
                  <w:noWrap w:val="0"/>
                  <w:vAlign w:val="center"/>
                </w:tcPr>
                <w:p w14:paraId="1100C0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default" w:ascii="Times New Roman" w:hAnsi="Times New Roman" w:eastAsia="宋体" w:cs="Times New Roman"/>
                      <w:b/>
                      <w:bCs/>
                      <w:i w:val="0"/>
                      <w:iCs w:val="0"/>
                      <w:color w:val="FF0000"/>
                      <w:kern w:val="0"/>
                      <w:sz w:val="21"/>
                      <w:szCs w:val="21"/>
                      <w:highlight w:val="none"/>
                      <w:u w:val="none"/>
                      <w:lang w:val="en-US" w:eastAsia="zh-CN" w:bidi="ar"/>
                    </w:rPr>
                    <w:t>产生量</w:t>
                  </w:r>
                  <w:r>
                    <w:rPr>
                      <w:rFonts w:hint="eastAsia" w:ascii="Times New Roman" w:hAnsi="Times New Roman" w:eastAsia="宋体" w:cs="Times New Roman"/>
                      <w:b/>
                      <w:bCs/>
                      <w:i w:val="0"/>
                      <w:iCs w:val="0"/>
                      <w:color w:val="FF0000"/>
                      <w:kern w:val="0"/>
                      <w:sz w:val="21"/>
                      <w:szCs w:val="21"/>
                      <w:highlight w:val="none"/>
                      <w:u w:val="none"/>
                      <w:lang w:val="en-US" w:eastAsia="zh-CN" w:bidi="ar"/>
                    </w:rPr>
                    <w:t>t</w:t>
                  </w:r>
                  <w:r>
                    <w:rPr>
                      <w:rFonts w:hint="default" w:ascii="Times New Roman" w:hAnsi="Times New Roman" w:eastAsia="宋体" w:cs="Times New Roman"/>
                      <w:b/>
                      <w:bCs/>
                      <w:i w:val="0"/>
                      <w:iCs w:val="0"/>
                      <w:color w:val="FF0000"/>
                      <w:kern w:val="0"/>
                      <w:sz w:val="21"/>
                      <w:szCs w:val="21"/>
                      <w:highlight w:val="none"/>
                      <w:u w:val="none"/>
                      <w:lang w:val="en-US" w:eastAsia="zh-CN" w:bidi="ar"/>
                    </w:rPr>
                    <w:t>/a</w:t>
                  </w:r>
                </w:p>
              </w:tc>
              <w:tc>
                <w:tcPr>
                  <w:tcW w:w="606" w:type="pct"/>
                  <w:tcBorders>
                    <w:tl2br w:val="nil"/>
                    <w:tr2bl w:val="nil"/>
                  </w:tcBorders>
                  <w:noWrap w:val="0"/>
                  <w:vAlign w:val="center"/>
                </w:tcPr>
                <w:p w14:paraId="27755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eastAsia" w:ascii="Times New Roman" w:hAnsi="Times New Roman" w:eastAsia="宋体" w:cs="Times New Roman"/>
                      <w:b/>
                      <w:bCs/>
                      <w:i w:val="0"/>
                      <w:iCs w:val="0"/>
                      <w:color w:val="FF0000"/>
                      <w:kern w:val="0"/>
                      <w:sz w:val="21"/>
                      <w:szCs w:val="21"/>
                      <w:highlight w:val="none"/>
                      <w:u w:val="none"/>
                      <w:lang w:val="en-US" w:eastAsia="zh-CN" w:bidi="ar"/>
                    </w:rPr>
                    <w:t>排放量t/a</w:t>
                  </w:r>
                </w:p>
              </w:tc>
              <w:tc>
                <w:tcPr>
                  <w:tcW w:w="509" w:type="pct"/>
                  <w:tcBorders>
                    <w:tl2br w:val="nil"/>
                    <w:tr2bl w:val="nil"/>
                  </w:tcBorders>
                  <w:noWrap w:val="0"/>
                  <w:vAlign w:val="center"/>
                </w:tcPr>
                <w:p w14:paraId="57798E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default" w:ascii="Times New Roman" w:hAnsi="Times New Roman" w:eastAsia="宋体" w:cs="Times New Roman"/>
                      <w:b/>
                      <w:bCs/>
                      <w:i w:val="0"/>
                      <w:iCs w:val="0"/>
                      <w:color w:val="FF0000"/>
                      <w:kern w:val="0"/>
                      <w:sz w:val="21"/>
                      <w:szCs w:val="21"/>
                      <w:highlight w:val="none"/>
                      <w:u w:val="none"/>
                      <w:lang w:val="en-US" w:eastAsia="zh-CN" w:bidi="ar"/>
                    </w:rPr>
                    <w:t>产生量</w:t>
                  </w:r>
                  <w:r>
                    <w:rPr>
                      <w:rFonts w:hint="eastAsia" w:ascii="Times New Roman" w:hAnsi="Times New Roman" w:eastAsia="宋体" w:cs="Times New Roman"/>
                      <w:b/>
                      <w:bCs/>
                      <w:i w:val="0"/>
                      <w:iCs w:val="0"/>
                      <w:color w:val="FF0000"/>
                      <w:kern w:val="0"/>
                      <w:sz w:val="21"/>
                      <w:szCs w:val="21"/>
                      <w:highlight w:val="none"/>
                      <w:u w:val="none"/>
                      <w:lang w:val="en-US" w:eastAsia="zh-CN" w:bidi="ar"/>
                    </w:rPr>
                    <w:t>t</w:t>
                  </w:r>
                  <w:r>
                    <w:rPr>
                      <w:rFonts w:hint="default" w:ascii="Times New Roman" w:hAnsi="Times New Roman" w:eastAsia="宋体" w:cs="Times New Roman"/>
                      <w:b/>
                      <w:bCs/>
                      <w:i w:val="0"/>
                      <w:iCs w:val="0"/>
                      <w:color w:val="FF0000"/>
                      <w:kern w:val="0"/>
                      <w:sz w:val="21"/>
                      <w:szCs w:val="21"/>
                      <w:highlight w:val="none"/>
                      <w:u w:val="none"/>
                      <w:lang w:val="en-US" w:eastAsia="zh-CN" w:bidi="ar"/>
                    </w:rPr>
                    <w:t>/a</w:t>
                  </w:r>
                </w:p>
              </w:tc>
              <w:tc>
                <w:tcPr>
                  <w:tcW w:w="556" w:type="pct"/>
                  <w:tcBorders>
                    <w:tl2br w:val="nil"/>
                    <w:tr2bl w:val="nil"/>
                  </w:tcBorders>
                  <w:noWrap w:val="0"/>
                  <w:vAlign w:val="center"/>
                </w:tcPr>
                <w:p w14:paraId="289B40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eastAsia" w:ascii="Times New Roman" w:hAnsi="Times New Roman" w:eastAsia="宋体" w:cs="Times New Roman"/>
                      <w:b/>
                      <w:bCs/>
                      <w:i w:val="0"/>
                      <w:iCs w:val="0"/>
                      <w:color w:val="FF0000"/>
                      <w:kern w:val="0"/>
                      <w:sz w:val="21"/>
                      <w:szCs w:val="21"/>
                      <w:highlight w:val="none"/>
                      <w:u w:val="none"/>
                      <w:lang w:val="en-US" w:eastAsia="zh-CN" w:bidi="ar"/>
                    </w:rPr>
                    <w:t>排放量t</w:t>
                  </w:r>
                  <w:r>
                    <w:rPr>
                      <w:rFonts w:hint="default" w:ascii="Times New Roman" w:hAnsi="Times New Roman" w:eastAsia="宋体" w:cs="Times New Roman"/>
                      <w:b/>
                      <w:bCs/>
                      <w:i w:val="0"/>
                      <w:iCs w:val="0"/>
                      <w:color w:val="FF0000"/>
                      <w:kern w:val="0"/>
                      <w:sz w:val="21"/>
                      <w:szCs w:val="21"/>
                      <w:highlight w:val="none"/>
                      <w:u w:val="none"/>
                      <w:lang w:val="en-US" w:eastAsia="zh-CN" w:bidi="ar"/>
                    </w:rPr>
                    <w:t>/a</w:t>
                  </w:r>
                </w:p>
              </w:tc>
              <w:tc>
                <w:tcPr>
                  <w:tcW w:w="609" w:type="pct"/>
                  <w:vMerge w:val="continue"/>
                  <w:tcBorders>
                    <w:tl2br w:val="nil"/>
                    <w:tr2bl w:val="nil"/>
                  </w:tcBorders>
                  <w:noWrap w:val="0"/>
                  <w:vAlign w:val="center"/>
                </w:tcPr>
                <w:p w14:paraId="5D97D1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FF0000"/>
                      <w:sz w:val="21"/>
                      <w:szCs w:val="21"/>
                      <w:highlight w:val="none"/>
                      <w:u w:val="none"/>
                    </w:rPr>
                  </w:pPr>
                </w:p>
              </w:tc>
            </w:tr>
            <w:tr w14:paraId="7572E0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93" w:type="pct"/>
                  <w:tcBorders>
                    <w:tl2br w:val="nil"/>
                    <w:tr2bl w:val="nil"/>
                  </w:tcBorders>
                  <w:noWrap w:val="0"/>
                  <w:vAlign w:val="center"/>
                </w:tcPr>
                <w:p w14:paraId="4303D5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b w:val="0"/>
                      <w:bCs w:val="0"/>
                      <w:i w:val="0"/>
                      <w:iCs w:val="0"/>
                      <w:color w:val="FF0000"/>
                      <w:kern w:val="0"/>
                      <w:sz w:val="21"/>
                      <w:szCs w:val="21"/>
                      <w:highlight w:val="none"/>
                      <w:u w:val="none"/>
                      <w:lang w:val="en-US" w:eastAsia="zh-CN" w:bidi="ar"/>
                    </w:rPr>
                  </w:pPr>
                  <w:r>
                    <w:rPr>
                      <w:rFonts w:hint="eastAsia" w:cs="Times New Roman"/>
                      <w:b w:val="0"/>
                      <w:bCs w:val="0"/>
                      <w:color w:val="FF0000"/>
                      <w:szCs w:val="21"/>
                      <w:highlight w:val="none"/>
                      <w:lang w:val="en-US" w:eastAsia="zh-CN"/>
                    </w:rPr>
                    <w:t>3号楼1#线3D打印</w:t>
                  </w:r>
                  <w:r>
                    <w:rPr>
                      <w:rFonts w:hint="default" w:ascii="Times New Roman" w:hAnsi="Times New Roman" w:eastAsia="宋体" w:cs="Times New Roman"/>
                      <w:b w:val="0"/>
                      <w:bCs w:val="0"/>
                      <w:color w:val="FF0000"/>
                      <w:szCs w:val="21"/>
                      <w:highlight w:val="none"/>
                      <w:lang w:val="en-US" w:eastAsia="zh-CN"/>
                    </w:rPr>
                    <w:t>、甩干废气、后处理线废气以及室温搅拌废气和注塑成型废气</w:t>
                  </w:r>
                </w:p>
              </w:tc>
              <w:tc>
                <w:tcPr>
                  <w:tcW w:w="743" w:type="pct"/>
                  <w:tcBorders>
                    <w:tl2br w:val="nil"/>
                    <w:tr2bl w:val="nil"/>
                  </w:tcBorders>
                  <w:noWrap w:val="0"/>
                  <w:vAlign w:val="center"/>
                </w:tcPr>
                <w:p w14:paraId="0F6405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非甲烷总烃</w:t>
                  </w:r>
                </w:p>
              </w:tc>
              <w:tc>
                <w:tcPr>
                  <w:tcW w:w="481" w:type="pct"/>
                  <w:tcBorders>
                    <w:tl2br w:val="nil"/>
                    <w:tr2bl w:val="nil"/>
                  </w:tcBorders>
                  <w:noWrap w:val="0"/>
                  <w:vAlign w:val="center"/>
                </w:tcPr>
                <w:p w14:paraId="2CDA9A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0.456</w:t>
                  </w:r>
                </w:p>
              </w:tc>
              <w:tc>
                <w:tcPr>
                  <w:tcW w:w="606" w:type="pct"/>
                  <w:tcBorders>
                    <w:tl2br w:val="nil"/>
                    <w:tr2bl w:val="nil"/>
                  </w:tcBorders>
                  <w:noWrap w:val="0"/>
                  <w:vAlign w:val="center"/>
                </w:tcPr>
                <w:p w14:paraId="4DA4ED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0.0456</w:t>
                  </w:r>
                </w:p>
              </w:tc>
              <w:tc>
                <w:tcPr>
                  <w:tcW w:w="509" w:type="pct"/>
                  <w:tcBorders>
                    <w:tl2br w:val="nil"/>
                    <w:tr2bl w:val="nil"/>
                  </w:tcBorders>
                  <w:noWrap w:val="0"/>
                  <w:vAlign w:val="center"/>
                </w:tcPr>
                <w:p w14:paraId="2DE8B0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0.417</w:t>
                  </w:r>
                </w:p>
              </w:tc>
              <w:tc>
                <w:tcPr>
                  <w:tcW w:w="556" w:type="pct"/>
                  <w:tcBorders>
                    <w:tl2br w:val="nil"/>
                    <w:tr2bl w:val="nil"/>
                  </w:tcBorders>
                  <w:noWrap w:val="0"/>
                  <w:vAlign w:val="center"/>
                </w:tcPr>
                <w:p w14:paraId="5D781A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0.0417</w:t>
                  </w:r>
                </w:p>
              </w:tc>
              <w:tc>
                <w:tcPr>
                  <w:tcW w:w="609" w:type="pct"/>
                  <w:tcBorders>
                    <w:tl2br w:val="nil"/>
                    <w:tr2bl w:val="nil"/>
                  </w:tcBorders>
                  <w:noWrap w:val="0"/>
                  <w:vAlign w:val="center"/>
                </w:tcPr>
                <w:p w14:paraId="753C21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FQ-01</w:t>
                  </w:r>
                </w:p>
              </w:tc>
            </w:tr>
            <w:tr w14:paraId="014453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93" w:type="pct"/>
                  <w:tcBorders>
                    <w:tl2br w:val="nil"/>
                    <w:tr2bl w:val="nil"/>
                  </w:tcBorders>
                  <w:noWrap w:val="0"/>
                  <w:vAlign w:val="center"/>
                </w:tcPr>
                <w:p w14:paraId="70EE2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cs="Times New Roman"/>
                      <w:b w:val="0"/>
                      <w:bCs w:val="0"/>
                      <w:color w:val="FF0000"/>
                      <w:szCs w:val="21"/>
                      <w:highlight w:val="none"/>
                      <w:lang w:val="en-US" w:eastAsia="zh-CN"/>
                    </w:rPr>
                  </w:pPr>
                  <w:r>
                    <w:rPr>
                      <w:rFonts w:hint="eastAsia" w:cs="Times New Roman"/>
                      <w:b w:val="0"/>
                      <w:bCs w:val="0"/>
                      <w:color w:val="FF0000"/>
                      <w:szCs w:val="21"/>
                      <w:highlight w:val="none"/>
                      <w:lang w:val="en-US" w:eastAsia="zh-CN"/>
                    </w:rPr>
                    <w:t>2号楼2#线3D打印</w:t>
                  </w:r>
                  <w:r>
                    <w:rPr>
                      <w:rFonts w:hint="default" w:ascii="Times New Roman" w:hAnsi="Times New Roman" w:eastAsia="宋体" w:cs="Times New Roman"/>
                      <w:b w:val="0"/>
                      <w:bCs w:val="0"/>
                      <w:color w:val="FF0000"/>
                      <w:szCs w:val="21"/>
                      <w:highlight w:val="none"/>
                    </w:rPr>
                    <w:t>、甩干、后处理线废气</w:t>
                  </w:r>
                </w:p>
              </w:tc>
              <w:tc>
                <w:tcPr>
                  <w:tcW w:w="743" w:type="pct"/>
                  <w:tcBorders>
                    <w:tl2br w:val="nil"/>
                    <w:tr2bl w:val="nil"/>
                  </w:tcBorders>
                  <w:noWrap w:val="0"/>
                  <w:vAlign w:val="center"/>
                </w:tcPr>
                <w:p w14:paraId="56969C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非甲烷总烃</w:t>
                  </w:r>
                </w:p>
              </w:tc>
              <w:tc>
                <w:tcPr>
                  <w:tcW w:w="481" w:type="pct"/>
                  <w:tcBorders>
                    <w:tl2br w:val="nil"/>
                    <w:tr2bl w:val="nil"/>
                  </w:tcBorders>
                  <w:noWrap w:val="0"/>
                  <w:vAlign w:val="center"/>
                </w:tcPr>
                <w:p w14:paraId="7526D9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0.288</w:t>
                  </w:r>
                </w:p>
              </w:tc>
              <w:tc>
                <w:tcPr>
                  <w:tcW w:w="606" w:type="pct"/>
                  <w:tcBorders>
                    <w:tl2br w:val="nil"/>
                    <w:tr2bl w:val="nil"/>
                  </w:tcBorders>
                  <w:noWrap w:val="0"/>
                  <w:vAlign w:val="center"/>
                </w:tcPr>
                <w:p w14:paraId="5B4997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0.0288</w:t>
                  </w:r>
                </w:p>
              </w:tc>
              <w:tc>
                <w:tcPr>
                  <w:tcW w:w="509" w:type="pct"/>
                  <w:tcBorders>
                    <w:tl2br w:val="nil"/>
                    <w:tr2bl w:val="nil"/>
                  </w:tcBorders>
                  <w:noWrap w:val="0"/>
                  <w:vAlign w:val="center"/>
                </w:tcPr>
                <w:p w14:paraId="6270B9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0.249</w:t>
                  </w:r>
                </w:p>
              </w:tc>
              <w:tc>
                <w:tcPr>
                  <w:tcW w:w="556" w:type="pct"/>
                  <w:tcBorders>
                    <w:tl2br w:val="nil"/>
                    <w:tr2bl w:val="nil"/>
                  </w:tcBorders>
                  <w:noWrap w:val="0"/>
                  <w:vAlign w:val="center"/>
                </w:tcPr>
                <w:p w14:paraId="0C8B46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0.0250</w:t>
                  </w:r>
                </w:p>
              </w:tc>
              <w:tc>
                <w:tcPr>
                  <w:tcW w:w="609" w:type="pct"/>
                  <w:tcBorders>
                    <w:tl2br w:val="nil"/>
                    <w:tr2bl w:val="nil"/>
                  </w:tcBorders>
                  <w:noWrap w:val="0"/>
                  <w:vAlign w:val="center"/>
                </w:tcPr>
                <w:p w14:paraId="799E12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FQ-02</w:t>
                  </w:r>
                </w:p>
              </w:tc>
            </w:tr>
            <w:tr w14:paraId="4BB504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93" w:type="pct"/>
                  <w:tcBorders>
                    <w:tl2br w:val="nil"/>
                    <w:tr2bl w:val="nil"/>
                  </w:tcBorders>
                  <w:noWrap w:val="0"/>
                  <w:vAlign w:val="center"/>
                </w:tcPr>
                <w:p w14:paraId="3427DE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FF0000"/>
                      <w:szCs w:val="21"/>
                      <w:highlight w:val="none"/>
                      <w:lang w:val="en-US" w:eastAsia="zh-CN"/>
                    </w:rPr>
                  </w:pPr>
                  <w:r>
                    <w:rPr>
                      <w:rFonts w:hint="eastAsia" w:cs="Times New Roman"/>
                      <w:b w:val="0"/>
                      <w:bCs w:val="0"/>
                      <w:color w:val="FF0000"/>
                      <w:szCs w:val="21"/>
                      <w:highlight w:val="none"/>
                      <w:lang w:val="en-US" w:eastAsia="zh-CN"/>
                    </w:rPr>
                    <w:t>2号楼3#线3D打印</w:t>
                  </w:r>
                  <w:r>
                    <w:rPr>
                      <w:rFonts w:hint="default" w:ascii="Times New Roman" w:hAnsi="Times New Roman" w:eastAsia="宋体" w:cs="Times New Roman"/>
                      <w:b w:val="0"/>
                      <w:bCs w:val="0"/>
                      <w:color w:val="FF0000"/>
                      <w:szCs w:val="21"/>
                      <w:highlight w:val="none"/>
                    </w:rPr>
                    <w:t>、甩干、后处理线废气</w:t>
                  </w:r>
                </w:p>
              </w:tc>
              <w:tc>
                <w:tcPr>
                  <w:tcW w:w="743" w:type="pct"/>
                  <w:tcBorders>
                    <w:tl2br w:val="nil"/>
                    <w:tr2bl w:val="nil"/>
                  </w:tcBorders>
                  <w:noWrap w:val="0"/>
                  <w:vAlign w:val="center"/>
                </w:tcPr>
                <w:p w14:paraId="38CB9B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非甲烷总烃</w:t>
                  </w:r>
                </w:p>
              </w:tc>
              <w:tc>
                <w:tcPr>
                  <w:tcW w:w="481" w:type="pct"/>
                  <w:tcBorders>
                    <w:tl2br w:val="nil"/>
                    <w:tr2bl w:val="nil"/>
                  </w:tcBorders>
                  <w:noWrap w:val="0"/>
                  <w:vAlign w:val="center"/>
                </w:tcPr>
                <w:p w14:paraId="1FA586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0.288</w:t>
                  </w:r>
                </w:p>
              </w:tc>
              <w:tc>
                <w:tcPr>
                  <w:tcW w:w="606" w:type="pct"/>
                  <w:tcBorders>
                    <w:tl2br w:val="nil"/>
                    <w:tr2bl w:val="nil"/>
                  </w:tcBorders>
                  <w:noWrap w:val="0"/>
                  <w:vAlign w:val="center"/>
                </w:tcPr>
                <w:p w14:paraId="206AC4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0.0288</w:t>
                  </w:r>
                </w:p>
              </w:tc>
              <w:tc>
                <w:tcPr>
                  <w:tcW w:w="509" w:type="pct"/>
                  <w:tcBorders>
                    <w:tl2br w:val="nil"/>
                    <w:tr2bl w:val="nil"/>
                  </w:tcBorders>
                  <w:noWrap w:val="0"/>
                  <w:vAlign w:val="center"/>
                </w:tcPr>
                <w:p w14:paraId="04C34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0.249</w:t>
                  </w:r>
                </w:p>
              </w:tc>
              <w:tc>
                <w:tcPr>
                  <w:tcW w:w="556" w:type="pct"/>
                  <w:tcBorders>
                    <w:tl2br w:val="nil"/>
                    <w:tr2bl w:val="nil"/>
                  </w:tcBorders>
                  <w:noWrap w:val="0"/>
                  <w:vAlign w:val="center"/>
                </w:tcPr>
                <w:p w14:paraId="2DB22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0.0250</w:t>
                  </w:r>
                </w:p>
              </w:tc>
              <w:tc>
                <w:tcPr>
                  <w:tcW w:w="609" w:type="pct"/>
                  <w:tcBorders>
                    <w:tl2br w:val="nil"/>
                    <w:tr2bl w:val="nil"/>
                  </w:tcBorders>
                  <w:noWrap w:val="0"/>
                  <w:vAlign w:val="center"/>
                </w:tcPr>
                <w:p w14:paraId="647246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FQ-03</w:t>
                  </w:r>
                </w:p>
              </w:tc>
            </w:tr>
            <w:tr w14:paraId="173B74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93" w:type="pct"/>
                  <w:tcBorders>
                    <w:tl2br w:val="nil"/>
                    <w:tr2bl w:val="nil"/>
                  </w:tcBorders>
                  <w:noWrap w:val="0"/>
                  <w:vAlign w:val="center"/>
                </w:tcPr>
                <w:p w14:paraId="54EB67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FF0000"/>
                      <w:szCs w:val="21"/>
                      <w:highlight w:val="none"/>
                      <w:lang w:val="en-US" w:eastAsia="zh-CN"/>
                    </w:rPr>
                  </w:pPr>
                  <w:r>
                    <w:rPr>
                      <w:rFonts w:hint="eastAsia" w:cs="Times New Roman"/>
                      <w:b w:val="0"/>
                      <w:bCs w:val="0"/>
                      <w:color w:val="FF0000"/>
                      <w:szCs w:val="21"/>
                      <w:highlight w:val="none"/>
                      <w:lang w:val="en-US" w:eastAsia="zh-CN"/>
                    </w:rPr>
                    <w:t>1号楼4#线3D打印</w:t>
                  </w:r>
                  <w:r>
                    <w:rPr>
                      <w:rFonts w:hint="default" w:ascii="Times New Roman" w:hAnsi="Times New Roman" w:eastAsia="宋体" w:cs="Times New Roman"/>
                      <w:b w:val="0"/>
                      <w:bCs w:val="0"/>
                      <w:color w:val="FF0000"/>
                      <w:szCs w:val="21"/>
                      <w:highlight w:val="none"/>
                    </w:rPr>
                    <w:t>、甩干、后处理线废气</w:t>
                  </w:r>
                </w:p>
              </w:tc>
              <w:tc>
                <w:tcPr>
                  <w:tcW w:w="743" w:type="pct"/>
                  <w:tcBorders>
                    <w:tl2br w:val="nil"/>
                    <w:tr2bl w:val="nil"/>
                  </w:tcBorders>
                  <w:noWrap w:val="0"/>
                  <w:vAlign w:val="center"/>
                </w:tcPr>
                <w:p w14:paraId="3102F4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非甲烷总烃</w:t>
                  </w:r>
                </w:p>
              </w:tc>
              <w:tc>
                <w:tcPr>
                  <w:tcW w:w="481" w:type="pct"/>
                  <w:tcBorders>
                    <w:tl2br w:val="nil"/>
                    <w:tr2bl w:val="nil"/>
                  </w:tcBorders>
                  <w:noWrap w:val="0"/>
                  <w:vAlign w:val="center"/>
                </w:tcPr>
                <w:p w14:paraId="79EEE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0.288</w:t>
                  </w:r>
                </w:p>
              </w:tc>
              <w:tc>
                <w:tcPr>
                  <w:tcW w:w="606" w:type="pct"/>
                  <w:tcBorders>
                    <w:tl2br w:val="nil"/>
                    <w:tr2bl w:val="nil"/>
                  </w:tcBorders>
                  <w:noWrap w:val="0"/>
                  <w:vAlign w:val="center"/>
                </w:tcPr>
                <w:p w14:paraId="7A9EEF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0.0288</w:t>
                  </w:r>
                </w:p>
              </w:tc>
              <w:tc>
                <w:tcPr>
                  <w:tcW w:w="509" w:type="pct"/>
                  <w:tcBorders>
                    <w:tl2br w:val="nil"/>
                    <w:tr2bl w:val="nil"/>
                  </w:tcBorders>
                  <w:noWrap w:val="0"/>
                  <w:vAlign w:val="center"/>
                </w:tcPr>
                <w:p w14:paraId="59120B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0.249</w:t>
                  </w:r>
                </w:p>
              </w:tc>
              <w:tc>
                <w:tcPr>
                  <w:tcW w:w="556" w:type="pct"/>
                  <w:tcBorders>
                    <w:tl2br w:val="nil"/>
                    <w:tr2bl w:val="nil"/>
                  </w:tcBorders>
                  <w:noWrap w:val="0"/>
                  <w:vAlign w:val="center"/>
                </w:tcPr>
                <w:p w14:paraId="61781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0.0250</w:t>
                  </w:r>
                </w:p>
              </w:tc>
              <w:tc>
                <w:tcPr>
                  <w:tcW w:w="609" w:type="pct"/>
                  <w:tcBorders>
                    <w:tl2br w:val="nil"/>
                    <w:tr2bl w:val="nil"/>
                  </w:tcBorders>
                  <w:noWrap w:val="0"/>
                  <w:vAlign w:val="center"/>
                </w:tcPr>
                <w:p w14:paraId="066143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FQ-04</w:t>
                  </w:r>
                </w:p>
              </w:tc>
            </w:tr>
            <w:tr w14:paraId="5FD3D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93" w:type="pct"/>
                  <w:tcBorders>
                    <w:tl2br w:val="nil"/>
                    <w:tr2bl w:val="nil"/>
                  </w:tcBorders>
                  <w:noWrap w:val="0"/>
                  <w:vAlign w:val="center"/>
                </w:tcPr>
                <w:p w14:paraId="6A9DC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FF0000"/>
                      <w:szCs w:val="21"/>
                      <w:highlight w:val="none"/>
                      <w:lang w:val="en-US" w:eastAsia="zh-CN"/>
                    </w:rPr>
                  </w:pPr>
                  <w:r>
                    <w:rPr>
                      <w:rFonts w:hint="eastAsia" w:cs="Times New Roman"/>
                      <w:b w:val="0"/>
                      <w:bCs w:val="0"/>
                      <w:color w:val="FF0000"/>
                      <w:szCs w:val="21"/>
                      <w:highlight w:val="none"/>
                      <w:lang w:val="en-US" w:eastAsia="zh-CN"/>
                    </w:rPr>
                    <w:t>1号楼5#线3D打印</w:t>
                  </w:r>
                  <w:r>
                    <w:rPr>
                      <w:rFonts w:hint="default" w:ascii="Times New Roman" w:hAnsi="Times New Roman" w:eastAsia="宋体" w:cs="Times New Roman"/>
                      <w:b w:val="0"/>
                      <w:bCs w:val="0"/>
                      <w:color w:val="FF0000"/>
                      <w:szCs w:val="21"/>
                      <w:highlight w:val="none"/>
                    </w:rPr>
                    <w:t>、甩干、后处理线废气</w:t>
                  </w:r>
                </w:p>
              </w:tc>
              <w:tc>
                <w:tcPr>
                  <w:tcW w:w="743" w:type="pct"/>
                  <w:tcBorders>
                    <w:tl2br w:val="nil"/>
                    <w:tr2bl w:val="nil"/>
                  </w:tcBorders>
                  <w:noWrap w:val="0"/>
                  <w:vAlign w:val="center"/>
                </w:tcPr>
                <w:p w14:paraId="18CB26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非甲烷总烃</w:t>
                  </w:r>
                </w:p>
              </w:tc>
              <w:tc>
                <w:tcPr>
                  <w:tcW w:w="481" w:type="pct"/>
                  <w:tcBorders>
                    <w:tl2br w:val="nil"/>
                    <w:tr2bl w:val="nil"/>
                  </w:tcBorders>
                  <w:noWrap w:val="0"/>
                  <w:vAlign w:val="center"/>
                </w:tcPr>
                <w:p w14:paraId="11E366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0.39</w:t>
                  </w:r>
                </w:p>
              </w:tc>
              <w:tc>
                <w:tcPr>
                  <w:tcW w:w="606" w:type="pct"/>
                  <w:tcBorders>
                    <w:tl2br w:val="nil"/>
                    <w:tr2bl w:val="nil"/>
                  </w:tcBorders>
                  <w:noWrap w:val="0"/>
                  <w:vAlign w:val="center"/>
                </w:tcPr>
                <w:p w14:paraId="30697F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0.039</w:t>
                  </w:r>
                </w:p>
              </w:tc>
              <w:tc>
                <w:tcPr>
                  <w:tcW w:w="509" w:type="pct"/>
                  <w:tcBorders>
                    <w:tl2br w:val="nil"/>
                    <w:tr2bl w:val="nil"/>
                  </w:tcBorders>
                  <w:noWrap w:val="0"/>
                  <w:vAlign w:val="center"/>
                </w:tcPr>
                <w:p w14:paraId="67E185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0.351</w:t>
                  </w:r>
                </w:p>
              </w:tc>
              <w:tc>
                <w:tcPr>
                  <w:tcW w:w="556" w:type="pct"/>
                  <w:tcBorders>
                    <w:tl2br w:val="nil"/>
                    <w:tr2bl w:val="nil"/>
                  </w:tcBorders>
                  <w:noWrap w:val="0"/>
                  <w:vAlign w:val="center"/>
                </w:tcPr>
                <w:p w14:paraId="1C65EA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0.0351</w:t>
                  </w:r>
                </w:p>
              </w:tc>
              <w:tc>
                <w:tcPr>
                  <w:tcW w:w="609" w:type="pct"/>
                  <w:tcBorders>
                    <w:tl2br w:val="nil"/>
                    <w:tr2bl w:val="nil"/>
                  </w:tcBorders>
                  <w:noWrap w:val="0"/>
                  <w:vAlign w:val="center"/>
                </w:tcPr>
                <w:p w14:paraId="47FEBE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FQ-05</w:t>
                  </w:r>
                </w:p>
              </w:tc>
            </w:tr>
            <w:tr w14:paraId="6217A2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93" w:type="pct"/>
                  <w:tcBorders>
                    <w:tl2br w:val="nil"/>
                    <w:tr2bl w:val="nil"/>
                  </w:tcBorders>
                  <w:noWrap w:val="0"/>
                  <w:vAlign w:val="center"/>
                </w:tcPr>
                <w:p w14:paraId="008555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FF0000"/>
                      <w:szCs w:val="21"/>
                      <w:highlight w:val="none"/>
                      <w:lang w:val="en-US" w:eastAsia="zh-CN"/>
                    </w:rPr>
                  </w:pPr>
                  <w:r>
                    <w:rPr>
                      <w:rFonts w:hint="eastAsia" w:cs="Times New Roman"/>
                      <w:b w:val="0"/>
                      <w:bCs w:val="0"/>
                      <w:color w:val="FF0000"/>
                      <w:szCs w:val="21"/>
                      <w:highlight w:val="none"/>
                      <w:lang w:val="en-US" w:eastAsia="zh-CN"/>
                    </w:rPr>
                    <w:t>4号楼6#线3D打印</w:t>
                  </w:r>
                  <w:r>
                    <w:rPr>
                      <w:rFonts w:hint="default" w:ascii="Times New Roman" w:hAnsi="Times New Roman" w:eastAsia="宋体" w:cs="Times New Roman"/>
                      <w:b w:val="0"/>
                      <w:bCs w:val="0"/>
                      <w:color w:val="FF0000"/>
                      <w:szCs w:val="21"/>
                      <w:highlight w:val="none"/>
                    </w:rPr>
                    <w:t>、甩干、后处理线废气</w:t>
                  </w:r>
                </w:p>
              </w:tc>
              <w:tc>
                <w:tcPr>
                  <w:tcW w:w="743" w:type="pct"/>
                  <w:tcBorders>
                    <w:tl2br w:val="nil"/>
                    <w:tr2bl w:val="nil"/>
                  </w:tcBorders>
                  <w:noWrap w:val="0"/>
                  <w:vAlign w:val="center"/>
                </w:tcPr>
                <w:p w14:paraId="0A100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非甲烷总烃</w:t>
                  </w:r>
                </w:p>
              </w:tc>
              <w:tc>
                <w:tcPr>
                  <w:tcW w:w="481" w:type="pct"/>
                  <w:tcBorders>
                    <w:tl2br w:val="nil"/>
                    <w:tr2bl w:val="nil"/>
                  </w:tcBorders>
                  <w:noWrap w:val="0"/>
                  <w:vAlign w:val="center"/>
                </w:tcPr>
                <w:p w14:paraId="17BBC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0.39</w:t>
                  </w:r>
                </w:p>
              </w:tc>
              <w:tc>
                <w:tcPr>
                  <w:tcW w:w="606" w:type="pct"/>
                  <w:tcBorders>
                    <w:tl2br w:val="nil"/>
                    <w:tr2bl w:val="nil"/>
                  </w:tcBorders>
                  <w:noWrap w:val="0"/>
                  <w:vAlign w:val="center"/>
                </w:tcPr>
                <w:p w14:paraId="2C5B7D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0.039</w:t>
                  </w:r>
                </w:p>
              </w:tc>
              <w:tc>
                <w:tcPr>
                  <w:tcW w:w="509" w:type="pct"/>
                  <w:tcBorders>
                    <w:tl2br w:val="nil"/>
                    <w:tr2bl w:val="nil"/>
                  </w:tcBorders>
                  <w:noWrap w:val="0"/>
                  <w:vAlign w:val="center"/>
                </w:tcPr>
                <w:p w14:paraId="4361F7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0.351</w:t>
                  </w:r>
                </w:p>
              </w:tc>
              <w:tc>
                <w:tcPr>
                  <w:tcW w:w="556" w:type="pct"/>
                  <w:tcBorders>
                    <w:tl2br w:val="nil"/>
                    <w:tr2bl w:val="nil"/>
                  </w:tcBorders>
                  <w:noWrap w:val="0"/>
                  <w:vAlign w:val="center"/>
                </w:tcPr>
                <w:p w14:paraId="564357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0.0351</w:t>
                  </w:r>
                </w:p>
              </w:tc>
              <w:tc>
                <w:tcPr>
                  <w:tcW w:w="609" w:type="pct"/>
                  <w:tcBorders>
                    <w:tl2br w:val="nil"/>
                    <w:tr2bl w:val="nil"/>
                  </w:tcBorders>
                  <w:noWrap w:val="0"/>
                  <w:vAlign w:val="center"/>
                </w:tcPr>
                <w:p w14:paraId="76900F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FQ-06</w:t>
                  </w:r>
                </w:p>
              </w:tc>
            </w:tr>
            <w:tr w14:paraId="51A88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93" w:type="pct"/>
                  <w:tcBorders>
                    <w:tl2br w:val="nil"/>
                    <w:tr2bl w:val="nil"/>
                  </w:tcBorders>
                  <w:noWrap w:val="0"/>
                  <w:vAlign w:val="center"/>
                </w:tcPr>
                <w:p w14:paraId="76DDCF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color w:val="FF0000"/>
                      <w:szCs w:val="21"/>
                      <w:highlight w:val="none"/>
                      <w:lang w:val="en-US" w:eastAsia="zh-CN"/>
                    </w:rPr>
                  </w:pPr>
                  <w:r>
                    <w:rPr>
                      <w:rFonts w:hint="eastAsia" w:eastAsia="宋体" w:cs="Times New Roman"/>
                      <w:b w:val="0"/>
                      <w:bCs w:val="0"/>
                      <w:color w:val="FF0000"/>
                      <w:szCs w:val="21"/>
                      <w:highlight w:val="none"/>
                      <w:lang w:val="en-US" w:eastAsia="zh-CN"/>
                    </w:rPr>
                    <w:t>合计</w:t>
                  </w:r>
                </w:p>
              </w:tc>
              <w:tc>
                <w:tcPr>
                  <w:tcW w:w="743" w:type="pct"/>
                  <w:tcBorders>
                    <w:tl2br w:val="nil"/>
                    <w:tr2bl w:val="nil"/>
                  </w:tcBorders>
                  <w:noWrap w:val="0"/>
                  <w:vAlign w:val="center"/>
                </w:tcPr>
                <w:p w14:paraId="34743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非甲烷总烃</w:t>
                  </w:r>
                </w:p>
              </w:tc>
              <w:tc>
                <w:tcPr>
                  <w:tcW w:w="481" w:type="pct"/>
                  <w:tcBorders>
                    <w:tl2br w:val="nil"/>
                    <w:tr2bl w:val="nil"/>
                  </w:tcBorders>
                  <w:noWrap w:val="0"/>
                  <w:vAlign w:val="center"/>
                </w:tcPr>
                <w:p w14:paraId="725CD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2.1</w:t>
                  </w:r>
                </w:p>
              </w:tc>
              <w:tc>
                <w:tcPr>
                  <w:tcW w:w="606" w:type="pct"/>
                  <w:tcBorders>
                    <w:tl2br w:val="nil"/>
                    <w:tr2bl w:val="nil"/>
                  </w:tcBorders>
                  <w:noWrap w:val="0"/>
                  <w:vAlign w:val="center"/>
                </w:tcPr>
                <w:p w14:paraId="279D1F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0.21</w:t>
                  </w:r>
                </w:p>
              </w:tc>
              <w:tc>
                <w:tcPr>
                  <w:tcW w:w="509" w:type="pct"/>
                  <w:tcBorders>
                    <w:tl2br w:val="nil"/>
                    <w:tr2bl w:val="nil"/>
                  </w:tcBorders>
                  <w:noWrap w:val="0"/>
                  <w:vAlign w:val="center"/>
                </w:tcPr>
                <w:p w14:paraId="7D46C3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1.866</w:t>
                  </w:r>
                </w:p>
              </w:tc>
              <w:tc>
                <w:tcPr>
                  <w:tcW w:w="556" w:type="pct"/>
                  <w:tcBorders>
                    <w:tl2br w:val="nil"/>
                    <w:tr2bl w:val="nil"/>
                  </w:tcBorders>
                  <w:noWrap w:val="0"/>
                  <w:vAlign w:val="center"/>
                </w:tcPr>
                <w:p w14:paraId="048751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eastAsia="宋体" w:cs="Times New Roman"/>
                      <w:b w:val="0"/>
                      <w:bCs w:val="0"/>
                      <w:i w:val="0"/>
                      <w:iCs w:val="0"/>
                      <w:color w:val="FF0000"/>
                      <w:kern w:val="0"/>
                      <w:sz w:val="21"/>
                      <w:szCs w:val="21"/>
                      <w:highlight w:val="none"/>
                      <w:u w:val="none"/>
                      <w:lang w:val="en-US" w:eastAsia="zh-CN" w:bidi="ar"/>
                    </w:rPr>
                  </w:pPr>
                  <w:r>
                    <w:rPr>
                      <w:rFonts w:hint="eastAsia" w:eastAsia="宋体" w:cs="Times New Roman"/>
                      <w:b w:val="0"/>
                      <w:bCs w:val="0"/>
                      <w:i w:val="0"/>
                      <w:iCs w:val="0"/>
                      <w:color w:val="FF0000"/>
                      <w:kern w:val="0"/>
                      <w:sz w:val="21"/>
                      <w:szCs w:val="21"/>
                      <w:highlight w:val="none"/>
                      <w:u w:val="none"/>
                      <w:lang w:val="en-US" w:eastAsia="zh-CN" w:bidi="ar"/>
                    </w:rPr>
                    <w:t>0.186</w:t>
                  </w:r>
                  <w:r>
                    <w:rPr>
                      <w:rFonts w:hint="eastAsia" w:cs="Times New Roman"/>
                      <w:b w:val="0"/>
                      <w:bCs w:val="0"/>
                      <w:i w:val="0"/>
                      <w:iCs w:val="0"/>
                      <w:color w:val="FF0000"/>
                      <w:kern w:val="0"/>
                      <w:sz w:val="21"/>
                      <w:szCs w:val="21"/>
                      <w:highlight w:val="none"/>
                      <w:u w:val="none"/>
                      <w:lang w:val="en-US" w:eastAsia="zh-CN" w:bidi="ar"/>
                    </w:rPr>
                    <w:t>6</w:t>
                  </w:r>
                </w:p>
              </w:tc>
              <w:tc>
                <w:tcPr>
                  <w:tcW w:w="609" w:type="pct"/>
                  <w:tcBorders>
                    <w:tl2br w:val="nil"/>
                    <w:tr2bl w:val="nil"/>
                  </w:tcBorders>
                  <w:noWrap w:val="0"/>
                  <w:vAlign w:val="center"/>
                </w:tcPr>
                <w:p w14:paraId="1339A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cs="Times New Roman"/>
                      <w:b w:val="0"/>
                      <w:bCs w:val="0"/>
                      <w:i w:val="0"/>
                      <w:iCs w:val="0"/>
                      <w:color w:val="FF0000"/>
                      <w:kern w:val="0"/>
                      <w:sz w:val="21"/>
                      <w:szCs w:val="21"/>
                      <w:highlight w:val="none"/>
                      <w:u w:val="none"/>
                      <w:lang w:val="en-US" w:eastAsia="zh-CN" w:bidi="ar"/>
                    </w:rPr>
                  </w:pPr>
                  <w:r>
                    <w:rPr>
                      <w:rFonts w:hint="eastAsia" w:cs="Times New Roman"/>
                      <w:b w:val="0"/>
                      <w:bCs w:val="0"/>
                      <w:i w:val="0"/>
                      <w:iCs w:val="0"/>
                      <w:color w:val="FF0000"/>
                      <w:kern w:val="0"/>
                      <w:sz w:val="21"/>
                      <w:szCs w:val="21"/>
                      <w:highlight w:val="none"/>
                      <w:u w:val="none"/>
                      <w:lang w:val="en-US" w:eastAsia="zh-CN" w:bidi="ar"/>
                    </w:rPr>
                    <w:t>FQ-01~FQ-06</w:t>
                  </w:r>
                </w:p>
              </w:tc>
            </w:tr>
          </w:tbl>
          <w:p w14:paraId="6D4FFA81">
            <w:pPr>
              <w:keepNext w:val="0"/>
              <w:keepLines w:val="0"/>
              <w:widowControl/>
              <w:numPr>
                <w:ilvl w:val="0"/>
                <w:numId w:val="0"/>
              </w:numPr>
              <w:suppressLineNumbers w:val="0"/>
              <w:spacing w:before="0" w:beforeAutospacing="0" w:after="0" w:afterAutospacing="0"/>
              <w:ind w:left="0" w:leftChars="0" w:right="0" w:firstLine="0" w:firstLineChars="0"/>
              <w:jc w:val="center"/>
              <w:rPr>
                <w:rFonts w:hint="eastAsia"/>
                <w:b/>
                <w:bCs/>
                <w:color w:val="FF0000"/>
                <w:sz w:val="24"/>
                <w:highlight w:val="none"/>
              </w:rPr>
            </w:pPr>
            <w:bookmarkStart w:id="19" w:name="_GoBack"/>
            <w:bookmarkEnd w:id="19"/>
            <w:r>
              <w:rPr>
                <w:rFonts w:hint="default" w:ascii="Times New Roman" w:hAnsi="Times New Roman" w:eastAsia="宋体" w:cs="Times New Roman"/>
                <w:b/>
                <w:bCs/>
                <w:color w:val="FF0000"/>
                <w:kern w:val="2"/>
                <w:sz w:val="24"/>
                <w:szCs w:val="24"/>
                <w:highlight w:val="none"/>
                <w:lang w:val="en-US" w:eastAsia="zh-CN" w:bidi="ar-SA"/>
              </w:rPr>
              <w:t>表2-</w:t>
            </w:r>
            <w:r>
              <w:rPr>
                <w:rFonts w:hint="eastAsia" w:cs="Times New Roman"/>
                <w:b/>
                <w:bCs/>
                <w:color w:val="FF0000"/>
                <w:kern w:val="2"/>
                <w:sz w:val="24"/>
                <w:szCs w:val="24"/>
                <w:highlight w:val="none"/>
                <w:lang w:val="en-US" w:eastAsia="zh-CN" w:bidi="ar-SA"/>
              </w:rPr>
              <w:t xml:space="preserve">21  </w:t>
            </w:r>
            <w:r>
              <w:rPr>
                <w:rFonts w:hint="eastAsia"/>
                <w:b/>
                <w:bCs/>
                <w:color w:val="FF0000"/>
                <w:sz w:val="24"/>
                <w:highlight w:val="none"/>
              </w:rPr>
              <w:t>现有项目</w:t>
            </w:r>
            <w:r>
              <w:rPr>
                <w:rFonts w:hint="eastAsia"/>
                <w:b/>
                <w:bCs/>
                <w:color w:val="FF0000"/>
                <w:sz w:val="24"/>
                <w:highlight w:val="none"/>
                <w:lang w:eastAsia="zh-CN"/>
              </w:rPr>
              <w:t>“</w:t>
            </w:r>
            <w:r>
              <w:rPr>
                <w:rFonts w:hint="eastAsia"/>
                <w:b/>
                <w:bCs/>
                <w:color w:val="FF0000"/>
                <w:sz w:val="24"/>
                <w:highlight w:val="none"/>
                <w:lang w:val="en-US" w:eastAsia="zh-CN"/>
              </w:rPr>
              <w:t>以新带老</w:t>
            </w:r>
            <w:r>
              <w:rPr>
                <w:rFonts w:hint="eastAsia"/>
                <w:b/>
                <w:bCs/>
                <w:color w:val="FF0000"/>
                <w:sz w:val="24"/>
                <w:highlight w:val="none"/>
                <w:lang w:eastAsia="zh-CN"/>
              </w:rPr>
              <w:t>”</w:t>
            </w:r>
            <w:r>
              <w:rPr>
                <w:rFonts w:hint="eastAsia"/>
                <w:b/>
                <w:bCs/>
                <w:color w:val="FF0000"/>
                <w:sz w:val="24"/>
                <w:highlight w:val="none"/>
                <w:lang w:val="en-US" w:eastAsia="zh-CN"/>
              </w:rPr>
              <w:t>后</w:t>
            </w:r>
            <w:r>
              <w:rPr>
                <w:rFonts w:hint="eastAsia"/>
                <w:b/>
                <w:bCs/>
                <w:color w:val="FF0000"/>
                <w:sz w:val="24"/>
                <w:highlight w:val="none"/>
              </w:rPr>
              <w:t>固体废物处理、处置情况表</w:t>
            </w:r>
          </w:p>
          <w:tbl>
            <w:tblPr>
              <w:tblStyle w:val="37"/>
              <w:tblW w:w="127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56"/>
              <w:gridCol w:w="1559"/>
              <w:gridCol w:w="1515"/>
              <w:gridCol w:w="1200"/>
              <w:gridCol w:w="1561"/>
              <w:gridCol w:w="750"/>
              <w:gridCol w:w="749"/>
              <w:gridCol w:w="1185"/>
              <w:gridCol w:w="1140"/>
              <w:gridCol w:w="1335"/>
              <w:gridCol w:w="1096"/>
            </w:tblGrid>
            <w:tr w14:paraId="24673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jc w:val="center"/>
              </w:trPr>
              <w:tc>
                <w:tcPr>
                  <w:tcW w:w="656" w:type="dxa"/>
                  <w:tcBorders>
                    <w:top w:val="single" w:color="000000" w:sz="12" w:space="0"/>
                    <w:left w:val="nil"/>
                    <w:bottom w:val="single" w:color="000000" w:sz="4" w:space="0"/>
                    <w:right w:val="single" w:color="000000" w:sz="4" w:space="0"/>
                  </w:tcBorders>
                  <w:vAlign w:val="center"/>
                </w:tcPr>
                <w:p w14:paraId="1B806CF8">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b/>
                      <w:color w:val="FF0000"/>
                      <w:szCs w:val="21"/>
                      <w:highlight w:val="none"/>
                    </w:rPr>
                    <w:t>序号</w:t>
                  </w:r>
                </w:p>
              </w:tc>
              <w:tc>
                <w:tcPr>
                  <w:tcW w:w="1559" w:type="dxa"/>
                  <w:tcBorders>
                    <w:top w:val="single" w:color="000000" w:sz="12" w:space="0"/>
                    <w:left w:val="single" w:color="000000" w:sz="4" w:space="0"/>
                    <w:bottom w:val="single" w:color="000000" w:sz="4" w:space="0"/>
                    <w:right w:val="single" w:color="000000" w:sz="4" w:space="0"/>
                  </w:tcBorders>
                  <w:vAlign w:val="center"/>
                </w:tcPr>
                <w:p w14:paraId="05C5EE4E">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b/>
                      <w:color w:val="FF0000"/>
                      <w:szCs w:val="21"/>
                      <w:highlight w:val="none"/>
                    </w:rPr>
                    <w:t>贮存场所名称</w:t>
                  </w:r>
                </w:p>
              </w:tc>
              <w:tc>
                <w:tcPr>
                  <w:tcW w:w="1515" w:type="dxa"/>
                  <w:tcBorders>
                    <w:top w:val="single" w:color="000000" w:sz="12" w:space="0"/>
                    <w:left w:val="single" w:color="000000" w:sz="4" w:space="0"/>
                    <w:bottom w:val="single" w:color="000000" w:sz="4" w:space="0"/>
                    <w:right w:val="single" w:color="000000" w:sz="4" w:space="0"/>
                  </w:tcBorders>
                  <w:vAlign w:val="center"/>
                </w:tcPr>
                <w:p w14:paraId="45356317">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b/>
                      <w:color w:val="FF0000"/>
                      <w:szCs w:val="21"/>
                      <w:highlight w:val="none"/>
                    </w:rPr>
                    <w:t>危险废物</w:t>
                  </w:r>
                </w:p>
                <w:p w14:paraId="54F08626">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b/>
                      <w:color w:val="FF0000"/>
                      <w:szCs w:val="21"/>
                      <w:highlight w:val="none"/>
                    </w:rPr>
                    <w:t>名称</w:t>
                  </w:r>
                </w:p>
              </w:tc>
              <w:tc>
                <w:tcPr>
                  <w:tcW w:w="1200" w:type="dxa"/>
                  <w:tcBorders>
                    <w:top w:val="single" w:color="000000" w:sz="12" w:space="0"/>
                    <w:left w:val="single" w:color="000000" w:sz="4" w:space="0"/>
                    <w:bottom w:val="single" w:color="000000" w:sz="4" w:space="0"/>
                    <w:right w:val="single" w:color="000000" w:sz="4" w:space="0"/>
                  </w:tcBorders>
                  <w:vAlign w:val="center"/>
                </w:tcPr>
                <w:p w14:paraId="734706C6">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b/>
                      <w:color w:val="FF0000"/>
                      <w:szCs w:val="21"/>
                      <w:highlight w:val="none"/>
                    </w:rPr>
                    <w:t>废物</w:t>
                  </w:r>
                </w:p>
                <w:p w14:paraId="0975431C">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b/>
                      <w:color w:val="FF0000"/>
                      <w:szCs w:val="21"/>
                      <w:highlight w:val="none"/>
                    </w:rPr>
                    <w:t>类别</w:t>
                  </w:r>
                </w:p>
              </w:tc>
              <w:tc>
                <w:tcPr>
                  <w:tcW w:w="1561" w:type="dxa"/>
                  <w:tcBorders>
                    <w:top w:val="single" w:color="000000" w:sz="12" w:space="0"/>
                    <w:left w:val="single" w:color="000000" w:sz="4" w:space="0"/>
                    <w:bottom w:val="single" w:color="000000" w:sz="4" w:space="0"/>
                    <w:right w:val="single" w:color="000000" w:sz="4" w:space="0"/>
                  </w:tcBorders>
                  <w:vAlign w:val="center"/>
                </w:tcPr>
                <w:p w14:paraId="69537814">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b/>
                      <w:color w:val="FF0000"/>
                      <w:szCs w:val="21"/>
                      <w:highlight w:val="none"/>
                    </w:rPr>
                    <w:t>废物代码</w:t>
                  </w:r>
                </w:p>
              </w:tc>
              <w:tc>
                <w:tcPr>
                  <w:tcW w:w="750" w:type="dxa"/>
                  <w:tcBorders>
                    <w:top w:val="single" w:color="000000" w:sz="12" w:space="0"/>
                    <w:left w:val="single" w:color="000000" w:sz="4" w:space="0"/>
                    <w:bottom w:val="single" w:color="000000" w:sz="4" w:space="0"/>
                    <w:right w:val="single" w:color="000000" w:sz="4" w:space="0"/>
                  </w:tcBorders>
                  <w:vAlign w:val="center"/>
                </w:tcPr>
                <w:p w14:paraId="64E599C4">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b/>
                      <w:color w:val="FF0000"/>
                      <w:szCs w:val="21"/>
                      <w:highlight w:val="none"/>
                    </w:rPr>
                    <w:t>位置</w:t>
                  </w:r>
                </w:p>
              </w:tc>
              <w:tc>
                <w:tcPr>
                  <w:tcW w:w="749" w:type="dxa"/>
                  <w:tcBorders>
                    <w:top w:val="single" w:color="000000" w:sz="12" w:space="0"/>
                    <w:left w:val="single" w:color="000000" w:sz="4" w:space="0"/>
                    <w:bottom w:val="single" w:color="000000" w:sz="4" w:space="0"/>
                    <w:right w:val="single" w:color="000000" w:sz="4" w:space="0"/>
                  </w:tcBorders>
                  <w:vAlign w:val="center"/>
                </w:tcPr>
                <w:p w14:paraId="209B963A">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b/>
                      <w:color w:val="FF0000"/>
                      <w:szCs w:val="21"/>
                      <w:highlight w:val="none"/>
                    </w:rPr>
                    <w:t>占地面积</w:t>
                  </w:r>
                </w:p>
              </w:tc>
              <w:tc>
                <w:tcPr>
                  <w:tcW w:w="1185" w:type="dxa"/>
                  <w:tcBorders>
                    <w:top w:val="single" w:color="000000" w:sz="12" w:space="0"/>
                    <w:left w:val="single" w:color="000000" w:sz="4" w:space="0"/>
                    <w:bottom w:val="single" w:color="000000" w:sz="4" w:space="0"/>
                    <w:right w:val="single" w:color="000000" w:sz="4" w:space="0"/>
                  </w:tcBorders>
                  <w:vAlign w:val="center"/>
                </w:tcPr>
                <w:p w14:paraId="411C7DED">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b/>
                      <w:color w:val="FF0000"/>
                      <w:szCs w:val="21"/>
                      <w:highlight w:val="none"/>
                    </w:rPr>
                  </w:pPr>
                  <w:r>
                    <w:rPr>
                      <w:rFonts w:hint="eastAsia"/>
                      <w:b/>
                      <w:color w:val="FF0000"/>
                      <w:szCs w:val="21"/>
                      <w:highlight w:val="none"/>
                      <w:lang w:val="en-US" w:eastAsia="zh-CN"/>
                    </w:rPr>
                    <w:t>原环评中核定产生量</w:t>
                  </w:r>
                  <w:r>
                    <w:rPr>
                      <w:b/>
                      <w:color w:val="FF0000"/>
                      <w:szCs w:val="21"/>
                      <w:highlight w:val="none"/>
                    </w:rPr>
                    <w:t>t/a</w:t>
                  </w:r>
                </w:p>
              </w:tc>
              <w:tc>
                <w:tcPr>
                  <w:tcW w:w="1140" w:type="dxa"/>
                  <w:tcBorders>
                    <w:top w:val="single" w:color="000000" w:sz="12" w:space="0"/>
                    <w:left w:val="single" w:color="000000" w:sz="4" w:space="0"/>
                    <w:bottom w:val="single" w:color="000000" w:sz="4" w:space="0"/>
                    <w:right w:val="single" w:color="000000" w:sz="4" w:space="0"/>
                  </w:tcBorders>
                  <w:vAlign w:val="center"/>
                </w:tcPr>
                <w:p w14:paraId="2E7E1A5C">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default" w:eastAsia="宋体"/>
                      <w:b/>
                      <w:color w:val="FF0000"/>
                      <w:szCs w:val="21"/>
                      <w:highlight w:val="none"/>
                      <w:lang w:val="en-US" w:eastAsia="zh-CN"/>
                    </w:rPr>
                  </w:pPr>
                  <w:r>
                    <w:rPr>
                      <w:rFonts w:hint="eastAsia"/>
                      <w:b/>
                      <w:color w:val="FF0000"/>
                      <w:szCs w:val="21"/>
                      <w:highlight w:val="none"/>
                      <w:lang w:val="en-US" w:eastAsia="zh-CN"/>
                    </w:rPr>
                    <w:t>“以新带老”后产生量t/a</w:t>
                  </w:r>
                </w:p>
              </w:tc>
              <w:tc>
                <w:tcPr>
                  <w:tcW w:w="1335" w:type="dxa"/>
                  <w:tcBorders>
                    <w:top w:val="single" w:color="000000" w:sz="12" w:space="0"/>
                    <w:left w:val="single" w:color="000000" w:sz="4" w:space="0"/>
                    <w:bottom w:val="single" w:color="000000" w:sz="4" w:space="0"/>
                    <w:right w:val="single" w:color="000000" w:sz="4" w:space="0"/>
                  </w:tcBorders>
                  <w:vAlign w:val="center"/>
                </w:tcPr>
                <w:p w14:paraId="14BDB609">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eastAsia" w:eastAsia="宋体"/>
                      <w:b/>
                      <w:color w:val="FF0000"/>
                      <w:szCs w:val="21"/>
                      <w:highlight w:val="none"/>
                      <w:lang w:val="en-US" w:eastAsia="zh-CN"/>
                    </w:rPr>
                  </w:pPr>
                  <w:r>
                    <w:rPr>
                      <w:rFonts w:hint="eastAsia"/>
                      <w:b/>
                      <w:color w:val="FF0000"/>
                      <w:szCs w:val="21"/>
                      <w:highlight w:val="none"/>
                      <w:lang w:val="en-US" w:eastAsia="zh-CN"/>
                    </w:rPr>
                    <w:t>变化量t/a</w:t>
                  </w:r>
                </w:p>
              </w:tc>
              <w:tc>
                <w:tcPr>
                  <w:tcW w:w="1096" w:type="dxa"/>
                  <w:tcBorders>
                    <w:top w:val="single" w:color="000000" w:sz="12" w:space="0"/>
                    <w:left w:val="single" w:color="000000" w:sz="4" w:space="0"/>
                    <w:bottom w:val="single" w:color="000000" w:sz="4" w:space="0"/>
                    <w:right w:val="nil"/>
                  </w:tcBorders>
                  <w:vAlign w:val="center"/>
                </w:tcPr>
                <w:p w14:paraId="5C531DC0">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b/>
                      <w:color w:val="FF0000"/>
                      <w:szCs w:val="21"/>
                      <w:highlight w:val="none"/>
                    </w:rPr>
                  </w:pPr>
                  <w:r>
                    <w:rPr>
                      <w:b/>
                      <w:color w:val="FF0000"/>
                      <w:szCs w:val="21"/>
                      <w:highlight w:val="none"/>
                    </w:rPr>
                    <w:t>处置方式及去向</w:t>
                  </w:r>
                </w:p>
              </w:tc>
            </w:tr>
            <w:tr w14:paraId="583E4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56" w:type="dxa"/>
                  <w:tcBorders>
                    <w:top w:val="single" w:color="000000" w:sz="4" w:space="0"/>
                    <w:left w:val="nil"/>
                    <w:bottom w:val="single" w:color="000000" w:sz="4" w:space="0"/>
                    <w:right w:val="single" w:color="000000" w:sz="4" w:space="0"/>
                  </w:tcBorders>
                  <w:vAlign w:val="center"/>
                </w:tcPr>
                <w:p w14:paraId="63FD36BF">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1</w:t>
                  </w:r>
                </w:p>
              </w:tc>
              <w:tc>
                <w:tcPr>
                  <w:tcW w:w="1559" w:type="dxa"/>
                  <w:vMerge w:val="restart"/>
                  <w:tcBorders>
                    <w:top w:val="single" w:color="000000" w:sz="4" w:space="0"/>
                    <w:left w:val="single" w:color="000000" w:sz="4" w:space="0"/>
                    <w:bottom w:val="single" w:color="000000" w:sz="4" w:space="0"/>
                    <w:right w:val="single" w:color="000000" w:sz="4" w:space="0"/>
                  </w:tcBorders>
                  <w:vAlign w:val="center"/>
                </w:tcPr>
                <w:p w14:paraId="5334947C">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危险废物暂存间</w:t>
                  </w:r>
                </w:p>
              </w:tc>
              <w:tc>
                <w:tcPr>
                  <w:tcW w:w="1515" w:type="dxa"/>
                  <w:tcBorders>
                    <w:top w:val="single" w:color="000000" w:sz="4" w:space="0"/>
                    <w:left w:val="single" w:color="000000" w:sz="4" w:space="0"/>
                    <w:bottom w:val="single" w:color="000000" w:sz="4" w:space="0"/>
                    <w:right w:val="single" w:color="000000" w:sz="4" w:space="0"/>
                  </w:tcBorders>
                  <w:vAlign w:val="center"/>
                </w:tcPr>
                <w:p w14:paraId="2C43909F">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废包装桶</w:t>
                  </w:r>
                </w:p>
              </w:tc>
              <w:tc>
                <w:tcPr>
                  <w:tcW w:w="1200" w:type="dxa"/>
                  <w:tcBorders>
                    <w:top w:val="single" w:color="000000" w:sz="4" w:space="0"/>
                    <w:left w:val="single" w:color="000000" w:sz="4" w:space="0"/>
                    <w:bottom w:val="single" w:color="000000" w:sz="4" w:space="0"/>
                    <w:right w:val="single" w:color="000000" w:sz="4" w:space="0"/>
                  </w:tcBorders>
                  <w:vAlign w:val="center"/>
                </w:tcPr>
                <w:p w14:paraId="3F95C3B3">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HW49</w:t>
                  </w:r>
                </w:p>
              </w:tc>
              <w:tc>
                <w:tcPr>
                  <w:tcW w:w="1561" w:type="dxa"/>
                  <w:tcBorders>
                    <w:top w:val="single" w:color="000000" w:sz="4" w:space="0"/>
                    <w:left w:val="single" w:color="000000" w:sz="4" w:space="0"/>
                    <w:bottom w:val="single" w:color="000000" w:sz="4" w:space="0"/>
                    <w:right w:val="single" w:color="000000" w:sz="4" w:space="0"/>
                  </w:tcBorders>
                  <w:vAlign w:val="center"/>
                </w:tcPr>
                <w:p w14:paraId="5A6898B3">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900-041-49</w:t>
                  </w:r>
                </w:p>
              </w:tc>
              <w:tc>
                <w:tcPr>
                  <w:tcW w:w="750" w:type="dxa"/>
                  <w:vMerge w:val="restart"/>
                  <w:tcBorders>
                    <w:top w:val="single" w:color="000000" w:sz="4" w:space="0"/>
                    <w:left w:val="single" w:color="000000" w:sz="4" w:space="0"/>
                    <w:bottom w:val="single" w:color="000000" w:sz="4" w:space="0"/>
                    <w:right w:val="single" w:color="000000" w:sz="4" w:space="0"/>
                  </w:tcBorders>
                  <w:vAlign w:val="center"/>
                </w:tcPr>
                <w:p w14:paraId="1E133DF8">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厂区东</w:t>
                  </w:r>
                </w:p>
                <w:p w14:paraId="13D5E895">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北侧</w:t>
                  </w:r>
                </w:p>
              </w:tc>
              <w:tc>
                <w:tcPr>
                  <w:tcW w:w="749" w:type="dxa"/>
                  <w:vMerge w:val="restart"/>
                  <w:tcBorders>
                    <w:top w:val="single" w:color="000000" w:sz="4" w:space="0"/>
                    <w:left w:val="single" w:color="000000" w:sz="4" w:space="0"/>
                    <w:bottom w:val="single" w:color="000000" w:sz="4" w:space="0"/>
                    <w:right w:val="single" w:color="000000" w:sz="4" w:space="0"/>
                  </w:tcBorders>
                  <w:vAlign w:val="center"/>
                </w:tcPr>
                <w:p w14:paraId="5F320760">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100m</w:t>
                  </w:r>
                  <w:r>
                    <w:rPr>
                      <w:rFonts w:ascii="Times New Roman" w:hAnsi="Times New Roman"/>
                      <w:b w:val="0"/>
                      <w:bCs/>
                      <w:color w:val="FF0000"/>
                      <w:sz w:val="21"/>
                      <w:szCs w:val="21"/>
                      <w:highlight w:val="none"/>
                      <w:vertAlign w:val="superscript"/>
                    </w:rPr>
                    <w:t>2</w:t>
                  </w:r>
                </w:p>
              </w:tc>
              <w:tc>
                <w:tcPr>
                  <w:tcW w:w="1185" w:type="dxa"/>
                  <w:tcBorders>
                    <w:top w:val="single" w:color="000000" w:sz="4" w:space="0"/>
                    <w:left w:val="single" w:color="000000" w:sz="4" w:space="0"/>
                    <w:bottom w:val="single" w:color="000000" w:sz="4" w:space="0"/>
                    <w:right w:val="single" w:color="000000" w:sz="4" w:space="0"/>
                  </w:tcBorders>
                  <w:vAlign w:val="center"/>
                </w:tcPr>
                <w:p w14:paraId="2415F7AB">
                  <w:pPr>
                    <w:widowControl/>
                    <w:jc w:val="center"/>
                    <w:rPr>
                      <w:rFonts w:hint="default" w:ascii="Times New Roman" w:hAnsi="Times New Roman"/>
                      <w:b w:val="0"/>
                      <w:bCs/>
                      <w:color w:val="FF0000"/>
                      <w:sz w:val="21"/>
                      <w:szCs w:val="21"/>
                      <w:highlight w:val="none"/>
                      <w:lang w:val="en-US" w:eastAsia="zh-CN"/>
                    </w:rPr>
                  </w:pPr>
                  <w:r>
                    <w:rPr>
                      <w:rFonts w:hint="default" w:ascii="Times New Roman" w:hAnsi="Times New Roman" w:cs="Times New Roman"/>
                      <w:b w:val="0"/>
                      <w:bCs/>
                      <w:color w:val="FF0000"/>
                      <w:sz w:val="21"/>
                      <w:szCs w:val="20"/>
                      <w:highlight w:val="none"/>
                      <w:lang w:val="en-US" w:eastAsia="zh-CN"/>
                    </w:rPr>
                    <w:t>173.685</w:t>
                  </w:r>
                </w:p>
              </w:tc>
              <w:tc>
                <w:tcPr>
                  <w:tcW w:w="1140" w:type="dxa"/>
                  <w:tcBorders>
                    <w:top w:val="single" w:color="000000" w:sz="4" w:space="0"/>
                    <w:left w:val="single" w:color="000000" w:sz="4" w:space="0"/>
                    <w:bottom w:val="single" w:color="000000" w:sz="4" w:space="0"/>
                    <w:right w:val="single" w:color="000000" w:sz="4" w:space="0"/>
                  </w:tcBorders>
                  <w:vAlign w:val="center"/>
                </w:tcPr>
                <w:p w14:paraId="128D5738">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default" w:ascii="Times New Roman" w:hAnsi="Times New Roman" w:eastAsia="宋体" w:cs="Times New Roman"/>
                      <w:b w:val="0"/>
                      <w:bCs/>
                      <w:color w:val="FF0000"/>
                      <w:kern w:val="2"/>
                      <w:sz w:val="21"/>
                      <w:szCs w:val="21"/>
                      <w:highlight w:val="none"/>
                      <w:lang w:val="en-US" w:eastAsia="zh-CN" w:bidi="ar-SA"/>
                    </w:rPr>
                  </w:pPr>
                  <w:r>
                    <w:rPr>
                      <w:rFonts w:hint="eastAsia" w:ascii="Times New Roman" w:hAnsi="Times New Roman" w:cs="Times New Roman"/>
                      <w:b w:val="0"/>
                      <w:bCs/>
                      <w:color w:val="FF0000"/>
                      <w:kern w:val="2"/>
                      <w:sz w:val="21"/>
                      <w:szCs w:val="21"/>
                      <w:highlight w:val="none"/>
                      <w:lang w:val="en-US" w:eastAsia="zh-CN" w:bidi="ar-SA"/>
                    </w:rPr>
                    <w:t>155.685</w:t>
                  </w:r>
                </w:p>
              </w:tc>
              <w:tc>
                <w:tcPr>
                  <w:tcW w:w="1335" w:type="dxa"/>
                  <w:tcBorders>
                    <w:top w:val="single" w:color="000000" w:sz="4" w:space="0"/>
                    <w:left w:val="single" w:color="000000" w:sz="4" w:space="0"/>
                    <w:bottom w:val="single" w:color="000000" w:sz="4" w:space="0"/>
                    <w:right w:val="single" w:color="000000" w:sz="4" w:space="0"/>
                  </w:tcBorders>
                  <w:vAlign w:val="center"/>
                </w:tcPr>
                <w:p w14:paraId="1E91C27E">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default" w:ascii="Times New Roman" w:hAnsi="Times New Roman"/>
                      <w:b w:val="0"/>
                      <w:bCs/>
                      <w:color w:val="FF0000"/>
                      <w:sz w:val="21"/>
                      <w:szCs w:val="21"/>
                      <w:highlight w:val="none"/>
                      <w:lang w:val="en-US" w:eastAsia="zh-CN"/>
                    </w:rPr>
                  </w:pPr>
                  <w:r>
                    <w:rPr>
                      <w:rFonts w:hint="eastAsia" w:ascii="Times New Roman" w:hAnsi="Times New Roman"/>
                      <w:b w:val="0"/>
                      <w:bCs/>
                      <w:color w:val="FF0000"/>
                      <w:sz w:val="21"/>
                      <w:szCs w:val="21"/>
                      <w:highlight w:val="none"/>
                      <w:lang w:val="en-US" w:eastAsia="zh-CN"/>
                    </w:rPr>
                    <w:t>-18</w:t>
                  </w:r>
                </w:p>
              </w:tc>
              <w:tc>
                <w:tcPr>
                  <w:tcW w:w="1096" w:type="dxa"/>
                  <w:vMerge w:val="restart"/>
                  <w:tcBorders>
                    <w:top w:val="single" w:color="000000" w:sz="4" w:space="0"/>
                    <w:left w:val="single" w:color="000000" w:sz="4" w:space="0"/>
                    <w:bottom w:val="single" w:color="000000" w:sz="4" w:space="0"/>
                    <w:right w:val="nil"/>
                  </w:tcBorders>
                  <w:vAlign w:val="center"/>
                </w:tcPr>
                <w:p w14:paraId="12B75EA6">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rFonts w:hint="default" w:eastAsia="宋体"/>
                      <w:b w:val="0"/>
                      <w:bCs/>
                      <w:color w:val="FF0000"/>
                      <w:szCs w:val="21"/>
                      <w:highlight w:val="none"/>
                      <w:lang w:val="en-US" w:eastAsia="zh-CN"/>
                    </w:rPr>
                  </w:pPr>
                  <w:r>
                    <w:rPr>
                      <w:rFonts w:hint="eastAsia"/>
                      <w:b w:val="0"/>
                      <w:bCs/>
                      <w:color w:val="FF0000"/>
                      <w:szCs w:val="21"/>
                      <w:highlight w:val="none"/>
                      <w:lang w:val="en-US" w:eastAsia="zh-CN"/>
                    </w:rPr>
                    <w:t>委托有资质单位处置</w:t>
                  </w:r>
                </w:p>
              </w:tc>
            </w:tr>
            <w:tr w14:paraId="12B16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56" w:type="dxa"/>
                  <w:tcBorders>
                    <w:top w:val="single" w:color="000000" w:sz="4" w:space="0"/>
                    <w:left w:val="nil"/>
                    <w:bottom w:val="single" w:color="000000" w:sz="4" w:space="0"/>
                    <w:right w:val="single" w:color="000000" w:sz="4" w:space="0"/>
                  </w:tcBorders>
                  <w:vAlign w:val="center"/>
                </w:tcPr>
                <w:p w14:paraId="3A0065C4">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2</w:t>
                  </w: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14:paraId="7937F7C3">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1515" w:type="dxa"/>
                  <w:tcBorders>
                    <w:top w:val="single" w:color="000000" w:sz="4" w:space="0"/>
                    <w:left w:val="single" w:color="000000" w:sz="4" w:space="0"/>
                    <w:bottom w:val="single" w:color="000000" w:sz="4" w:space="0"/>
                    <w:right w:val="single" w:color="000000" w:sz="4" w:space="0"/>
                  </w:tcBorders>
                  <w:vAlign w:val="center"/>
                </w:tcPr>
                <w:p w14:paraId="63A0C320">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废清洗液</w:t>
                  </w:r>
                </w:p>
              </w:tc>
              <w:tc>
                <w:tcPr>
                  <w:tcW w:w="1200" w:type="dxa"/>
                  <w:tcBorders>
                    <w:top w:val="single" w:color="000000" w:sz="4" w:space="0"/>
                    <w:left w:val="single" w:color="000000" w:sz="4" w:space="0"/>
                    <w:bottom w:val="single" w:color="000000" w:sz="4" w:space="0"/>
                    <w:right w:val="single" w:color="000000" w:sz="4" w:space="0"/>
                  </w:tcBorders>
                  <w:vAlign w:val="center"/>
                </w:tcPr>
                <w:p w14:paraId="76B7EAE5">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HW06</w:t>
                  </w:r>
                </w:p>
              </w:tc>
              <w:tc>
                <w:tcPr>
                  <w:tcW w:w="1561" w:type="dxa"/>
                  <w:tcBorders>
                    <w:top w:val="single" w:color="000000" w:sz="4" w:space="0"/>
                    <w:left w:val="single" w:color="000000" w:sz="4" w:space="0"/>
                    <w:bottom w:val="single" w:color="000000" w:sz="4" w:space="0"/>
                    <w:right w:val="single" w:color="000000" w:sz="4" w:space="0"/>
                  </w:tcBorders>
                  <w:vAlign w:val="center"/>
                </w:tcPr>
                <w:p w14:paraId="0D9C0BD1">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900-404-06</w:t>
                  </w: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5D315041">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vAlign w:val="center"/>
                </w:tcPr>
                <w:p w14:paraId="3E76E87A">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2535127A">
                  <w:pPr>
                    <w:widowControl/>
                    <w:jc w:val="center"/>
                    <w:rPr>
                      <w:rFonts w:hint="default" w:ascii="Times New Roman" w:hAnsi="Times New Roman" w:eastAsia="宋体"/>
                      <w:b w:val="0"/>
                      <w:bCs/>
                      <w:color w:val="FF0000"/>
                      <w:sz w:val="21"/>
                      <w:szCs w:val="21"/>
                      <w:highlight w:val="none"/>
                      <w:lang w:val="en-US" w:eastAsia="zh-CN"/>
                    </w:rPr>
                  </w:pPr>
                  <w:r>
                    <w:rPr>
                      <w:rFonts w:hint="eastAsia" w:ascii="Times New Roman" w:hAnsi="Times New Roman" w:cs="Times New Roman"/>
                      <w:b w:val="0"/>
                      <w:bCs/>
                      <w:color w:val="FF0000"/>
                      <w:sz w:val="21"/>
                      <w:szCs w:val="20"/>
                      <w:highlight w:val="none"/>
                      <w:lang w:val="en-US" w:eastAsia="zh-CN"/>
                    </w:rPr>
                    <w:t>470.4</w:t>
                  </w:r>
                </w:p>
              </w:tc>
              <w:tc>
                <w:tcPr>
                  <w:tcW w:w="1140" w:type="dxa"/>
                  <w:tcBorders>
                    <w:top w:val="single" w:color="000000" w:sz="4" w:space="0"/>
                    <w:left w:val="single" w:color="000000" w:sz="4" w:space="0"/>
                    <w:bottom w:val="single" w:color="000000" w:sz="4" w:space="0"/>
                    <w:right w:val="single" w:color="000000" w:sz="4" w:space="0"/>
                  </w:tcBorders>
                  <w:vAlign w:val="center"/>
                </w:tcPr>
                <w:p w14:paraId="2F0FD62E">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eastAsia" w:ascii="Times New Roman" w:hAnsi="Times New Roman" w:eastAsia="宋体" w:cs="Times New Roman"/>
                      <w:b w:val="0"/>
                      <w:bCs/>
                      <w:color w:val="FF0000"/>
                      <w:kern w:val="2"/>
                      <w:sz w:val="21"/>
                      <w:szCs w:val="21"/>
                      <w:highlight w:val="none"/>
                      <w:lang w:val="en-US" w:eastAsia="zh-CN" w:bidi="ar-SA"/>
                    </w:rPr>
                  </w:pPr>
                  <w:r>
                    <w:rPr>
                      <w:rFonts w:hint="eastAsia" w:ascii="Times New Roman" w:hAnsi="Times New Roman"/>
                      <w:b w:val="0"/>
                      <w:bCs/>
                      <w:color w:val="FF0000"/>
                      <w:sz w:val="21"/>
                      <w:szCs w:val="21"/>
                      <w:highlight w:val="none"/>
                      <w:lang w:val="en-US" w:eastAsia="zh-CN"/>
                    </w:rPr>
                    <w:t>0</w:t>
                  </w:r>
                </w:p>
              </w:tc>
              <w:tc>
                <w:tcPr>
                  <w:tcW w:w="1335" w:type="dxa"/>
                  <w:tcBorders>
                    <w:top w:val="single" w:color="000000" w:sz="4" w:space="0"/>
                    <w:left w:val="single" w:color="000000" w:sz="4" w:space="0"/>
                    <w:bottom w:val="single" w:color="000000" w:sz="4" w:space="0"/>
                    <w:right w:val="single" w:color="000000" w:sz="4" w:space="0"/>
                  </w:tcBorders>
                  <w:vAlign w:val="center"/>
                </w:tcPr>
                <w:p w14:paraId="56420443">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default" w:ascii="Times New Roman" w:hAnsi="Times New Roman" w:eastAsia="宋体"/>
                      <w:b w:val="0"/>
                      <w:bCs/>
                      <w:color w:val="FF0000"/>
                      <w:sz w:val="21"/>
                      <w:szCs w:val="21"/>
                      <w:highlight w:val="none"/>
                      <w:lang w:val="en-US" w:eastAsia="zh-CN"/>
                    </w:rPr>
                  </w:pPr>
                  <w:r>
                    <w:rPr>
                      <w:rFonts w:hint="eastAsia" w:ascii="Times New Roman" w:hAnsi="Times New Roman"/>
                      <w:b w:val="0"/>
                      <w:bCs/>
                      <w:color w:val="FF0000"/>
                      <w:sz w:val="21"/>
                      <w:szCs w:val="21"/>
                      <w:highlight w:val="none"/>
                      <w:lang w:val="en-US" w:eastAsia="zh-CN"/>
                    </w:rPr>
                    <w:t>-470.4</w:t>
                  </w:r>
                </w:p>
              </w:tc>
              <w:tc>
                <w:tcPr>
                  <w:tcW w:w="1096" w:type="dxa"/>
                  <w:vMerge w:val="continue"/>
                  <w:tcBorders>
                    <w:top w:val="single" w:color="000000" w:sz="4" w:space="0"/>
                    <w:left w:val="single" w:color="000000" w:sz="4" w:space="0"/>
                    <w:bottom w:val="single" w:color="000000" w:sz="4" w:space="0"/>
                    <w:right w:val="nil"/>
                  </w:tcBorders>
                  <w:vAlign w:val="center"/>
                </w:tcPr>
                <w:p w14:paraId="0FEF36B3">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b w:val="0"/>
                      <w:bCs/>
                      <w:color w:val="FF0000"/>
                      <w:szCs w:val="21"/>
                      <w:highlight w:val="none"/>
                    </w:rPr>
                  </w:pPr>
                </w:p>
              </w:tc>
            </w:tr>
            <w:tr w14:paraId="530FE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56" w:type="dxa"/>
                  <w:tcBorders>
                    <w:top w:val="single" w:color="000000" w:sz="4" w:space="0"/>
                    <w:left w:val="nil"/>
                    <w:bottom w:val="single" w:color="000000" w:sz="4" w:space="0"/>
                    <w:right w:val="single" w:color="000000" w:sz="4" w:space="0"/>
                  </w:tcBorders>
                  <w:vAlign w:val="center"/>
                </w:tcPr>
                <w:p w14:paraId="291C13A2">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eastAsia" w:ascii="Times New Roman" w:hAnsi="Times New Roman" w:eastAsia="宋体"/>
                      <w:b w:val="0"/>
                      <w:bCs/>
                      <w:color w:val="FF0000"/>
                      <w:sz w:val="21"/>
                      <w:szCs w:val="21"/>
                      <w:highlight w:val="none"/>
                      <w:lang w:eastAsia="zh-CN"/>
                    </w:rPr>
                  </w:pPr>
                  <w:r>
                    <w:rPr>
                      <w:rFonts w:hint="eastAsia"/>
                      <w:b w:val="0"/>
                      <w:bCs/>
                      <w:color w:val="FF0000"/>
                      <w:sz w:val="21"/>
                      <w:szCs w:val="21"/>
                      <w:highlight w:val="none"/>
                      <w:lang w:val="en-US" w:eastAsia="zh-CN"/>
                    </w:rPr>
                    <w:t>3</w:t>
                  </w: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14:paraId="11658F66">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1515" w:type="dxa"/>
                  <w:tcBorders>
                    <w:top w:val="single" w:color="000000" w:sz="4" w:space="0"/>
                    <w:left w:val="single" w:color="000000" w:sz="4" w:space="0"/>
                    <w:bottom w:val="single" w:color="000000" w:sz="4" w:space="0"/>
                    <w:right w:val="single" w:color="000000" w:sz="4" w:space="0"/>
                  </w:tcBorders>
                  <w:vAlign w:val="center"/>
                </w:tcPr>
                <w:p w14:paraId="724D8B48">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废活性炭</w:t>
                  </w:r>
                </w:p>
              </w:tc>
              <w:tc>
                <w:tcPr>
                  <w:tcW w:w="1200" w:type="dxa"/>
                  <w:tcBorders>
                    <w:top w:val="single" w:color="000000" w:sz="4" w:space="0"/>
                    <w:left w:val="single" w:color="000000" w:sz="4" w:space="0"/>
                    <w:bottom w:val="single" w:color="000000" w:sz="4" w:space="0"/>
                    <w:right w:val="single" w:color="000000" w:sz="4" w:space="0"/>
                  </w:tcBorders>
                  <w:vAlign w:val="center"/>
                </w:tcPr>
                <w:p w14:paraId="7188472D">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HW49</w:t>
                  </w:r>
                </w:p>
              </w:tc>
              <w:tc>
                <w:tcPr>
                  <w:tcW w:w="1561" w:type="dxa"/>
                  <w:tcBorders>
                    <w:top w:val="single" w:color="000000" w:sz="4" w:space="0"/>
                    <w:left w:val="single" w:color="000000" w:sz="4" w:space="0"/>
                    <w:bottom w:val="single" w:color="000000" w:sz="4" w:space="0"/>
                    <w:right w:val="single" w:color="000000" w:sz="4" w:space="0"/>
                  </w:tcBorders>
                  <w:vAlign w:val="center"/>
                </w:tcPr>
                <w:p w14:paraId="038E864C">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900-039-49</w:t>
                  </w: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7CF89BFA">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vAlign w:val="center"/>
                </w:tcPr>
                <w:p w14:paraId="20E57EA7">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57DFF88C">
                  <w:pPr>
                    <w:widowControl/>
                    <w:jc w:val="center"/>
                    <w:rPr>
                      <w:rFonts w:hint="default" w:ascii="Times New Roman" w:hAnsi="Times New Roman"/>
                      <w:b w:val="0"/>
                      <w:bCs/>
                      <w:color w:val="FF0000"/>
                      <w:sz w:val="21"/>
                      <w:szCs w:val="21"/>
                      <w:highlight w:val="none"/>
                      <w:lang w:val="en-US"/>
                    </w:rPr>
                  </w:pPr>
                  <w:r>
                    <w:rPr>
                      <w:rFonts w:hint="default" w:ascii="Times New Roman" w:hAnsi="Times New Roman" w:cs="Times New Roman"/>
                      <w:b w:val="0"/>
                      <w:bCs/>
                      <w:color w:val="FF0000"/>
                      <w:sz w:val="21"/>
                      <w:szCs w:val="20"/>
                      <w:highlight w:val="none"/>
                      <w:lang w:val="en-US" w:eastAsia="zh-CN"/>
                    </w:rPr>
                    <w:t>75.3596</w:t>
                  </w:r>
                </w:p>
              </w:tc>
              <w:tc>
                <w:tcPr>
                  <w:tcW w:w="1140" w:type="dxa"/>
                  <w:tcBorders>
                    <w:top w:val="single" w:color="000000" w:sz="4" w:space="0"/>
                    <w:left w:val="single" w:color="000000" w:sz="4" w:space="0"/>
                    <w:bottom w:val="single" w:color="000000" w:sz="4" w:space="0"/>
                    <w:right w:val="single" w:color="000000" w:sz="4" w:space="0"/>
                  </w:tcBorders>
                  <w:vAlign w:val="center"/>
                </w:tcPr>
                <w:p w14:paraId="6712C0D3">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default" w:ascii="Times New Roman" w:hAnsi="Times New Roman" w:eastAsia="宋体" w:cs="Times New Roman"/>
                      <w:b w:val="0"/>
                      <w:bCs/>
                      <w:color w:val="FF0000"/>
                      <w:kern w:val="2"/>
                      <w:sz w:val="21"/>
                      <w:szCs w:val="21"/>
                      <w:highlight w:val="none"/>
                      <w:lang w:val="en-US" w:eastAsia="zh-CN" w:bidi="ar-SA"/>
                    </w:rPr>
                  </w:pPr>
                  <w:r>
                    <w:rPr>
                      <w:rFonts w:hint="eastAsia" w:cs="Times New Roman"/>
                      <w:b w:val="0"/>
                      <w:bCs/>
                      <w:color w:val="FF0000"/>
                      <w:kern w:val="2"/>
                      <w:sz w:val="21"/>
                      <w:szCs w:val="21"/>
                      <w:highlight w:val="none"/>
                      <w:lang w:val="en-US" w:eastAsia="zh-CN" w:bidi="ar-SA"/>
                    </w:rPr>
                    <w:t>60.5237</w:t>
                  </w:r>
                </w:p>
              </w:tc>
              <w:tc>
                <w:tcPr>
                  <w:tcW w:w="1335" w:type="dxa"/>
                  <w:tcBorders>
                    <w:top w:val="single" w:color="000000" w:sz="4" w:space="0"/>
                    <w:left w:val="single" w:color="000000" w:sz="4" w:space="0"/>
                    <w:bottom w:val="single" w:color="000000" w:sz="4" w:space="0"/>
                    <w:right w:val="single" w:color="000000" w:sz="4" w:space="0"/>
                  </w:tcBorders>
                  <w:vAlign w:val="center"/>
                </w:tcPr>
                <w:p w14:paraId="1477C819">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default" w:ascii="Times New Roman" w:hAnsi="Times New Roman"/>
                      <w:b w:val="0"/>
                      <w:bCs/>
                      <w:color w:val="FF0000"/>
                      <w:sz w:val="21"/>
                      <w:szCs w:val="21"/>
                      <w:highlight w:val="none"/>
                      <w:lang w:val="en-US" w:eastAsia="zh-CN"/>
                    </w:rPr>
                  </w:pPr>
                  <w:r>
                    <w:rPr>
                      <w:rFonts w:hint="eastAsia"/>
                      <w:b w:val="0"/>
                      <w:bCs/>
                      <w:color w:val="FF0000"/>
                      <w:sz w:val="21"/>
                      <w:szCs w:val="21"/>
                      <w:highlight w:val="none"/>
                      <w:lang w:val="en-US" w:eastAsia="zh-CN"/>
                    </w:rPr>
                    <w:t>-14.8359</w:t>
                  </w:r>
                </w:p>
              </w:tc>
              <w:tc>
                <w:tcPr>
                  <w:tcW w:w="1096" w:type="dxa"/>
                  <w:vMerge w:val="continue"/>
                  <w:tcBorders>
                    <w:top w:val="single" w:color="000000" w:sz="4" w:space="0"/>
                    <w:left w:val="single" w:color="000000" w:sz="4" w:space="0"/>
                    <w:bottom w:val="single" w:color="000000" w:sz="4" w:space="0"/>
                    <w:right w:val="nil"/>
                  </w:tcBorders>
                  <w:vAlign w:val="center"/>
                </w:tcPr>
                <w:p w14:paraId="632BA532">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b w:val="0"/>
                      <w:bCs/>
                      <w:color w:val="FF0000"/>
                      <w:szCs w:val="21"/>
                      <w:highlight w:val="none"/>
                    </w:rPr>
                  </w:pPr>
                </w:p>
              </w:tc>
            </w:tr>
            <w:tr w14:paraId="11FD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56" w:type="dxa"/>
                  <w:tcBorders>
                    <w:top w:val="single" w:color="000000" w:sz="4" w:space="0"/>
                    <w:left w:val="nil"/>
                    <w:bottom w:val="single" w:color="000000" w:sz="4" w:space="0"/>
                    <w:right w:val="single" w:color="000000" w:sz="4" w:space="0"/>
                  </w:tcBorders>
                  <w:vAlign w:val="center"/>
                </w:tcPr>
                <w:p w14:paraId="06E00848">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eastAsia" w:ascii="Times New Roman" w:hAnsi="Times New Roman" w:eastAsia="宋体"/>
                      <w:b w:val="0"/>
                      <w:bCs/>
                      <w:color w:val="FF0000"/>
                      <w:sz w:val="21"/>
                      <w:szCs w:val="21"/>
                      <w:highlight w:val="none"/>
                      <w:lang w:eastAsia="zh-CN"/>
                    </w:rPr>
                  </w:pPr>
                  <w:r>
                    <w:rPr>
                      <w:rFonts w:hint="eastAsia"/>
                      <w:b w:val="0"/>
                      <w:bCs/>
                      <w:color w:val="FF0000"/>
                      <w:sz w:val="21"/>
                      <w:szCs w:val="21"/>
                      <w:highlight w:val="none"/>
                      <w:lang w:val="en-US" w:eastAsia="zh-CN"/>
                    </w:rPr>
                    <w:t>4</w:t>
                  </w: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14:paraId="5738F2A4">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1515" w:type="dxa"/>
                  <w:tcBorders>
                    <w:top w:val="single" w:color="000000" w:sz="4" w:space="0"/>
                    <w:left w:val="single" w:color="000000" w:sz="4" w:space="0"/>
                    <w:bottom w:val="single" w:color="000000" w:sz="4" w:space="0"/>
                    <w:right w:val="single" w:color="000000" w:sz="4" w:space="0"/>
                  </w:tcBorders>
                  <w:vAlign w:val="center"/>
                </w:tcPr>
                <w:p w14:paraId="67FA8EA2">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粉尘</w:t>
                  </w:r>
                </w:p>
              </w:tc>
              <w:tc>
                <w:tcPr>
                  <w:tcW w:w="1200" w:type="dxa"/>
                  <w:tcBorders>
                    <w:top w:val="single" w:color="000000" w:sz="4" w:space="0"/>
                    <w:left w:val="single" w:color="000000" w:sz="4" w:space="0"/>
                    <w:bottom w:val="single" w:color="000000" w:sz="4" w:space="0"/>
                    <w:right w:val="single" w:color="000000" w:sz="4" w:space="0"/>
                  </w:tcBorders>
                  <w:vAlign w:val="center"/>
                </w:tcPr>
                <w:p w14:paraId="134CF682">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hint="default" w:ascii="Times New Roman" w:hAnsi="Times New Roman"/>
                      <w:b w:val="0"/>
                      <w:bCs/>
                      <w:color w:val="FF0000"/>
                      <w:sz w:val="21"/>
                      <w:szCs w:val="21"/>
                      <w:highlight w:val="none"/>
                      <w:lang w:val="en-US" w:eastAsia="zh-CN"/>
                    </w:rPr>
                    <w:t>SW17</w:t>
                  </w:r>
                </w:p>
              </w:tc>
              <w:tc>
                <w:tcPr>
                  <w:tcW w:w="1561" w:type="dxa"/>
                  <w:tcBorders>
                    <w:top w:val="single" w:color="000000" w:sz="4" w:space="0"/>
                    <w:left w:val="single" w:color="000000" w:sz="4" w:space="0"/>
                    <w:bottom w:val="single" w:color="000000" w:sz="4" w:space="0"/>
                    <w:right w:val="single" w:color="000000" w:sz="4" w:space="0"/>
                  </w:tcBorders>
                  <w:vAlign w:val="center"/>
                </w:tcPr>
                <w:p w14:paraId="5264977C">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hint="default" w:ascii="Times New Roman" w:hAnsi="Times New Roman"/>
                      <w:b w:val="0"/>
                      <w:bCs/>
                      <w:color w:val="FF0000"/>
                      <w:sz w:val="21"/>
                      <w:szCs w:val="21"/>
                      <w:highlight w:val="none"/>
                      <w:lang w:val="en-US" w:eastAsia="zh-CN"/>
                    </w:rPr>
                    <w:t>900-003-S17</w:t>
                  </w: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40D65DE8">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vAlign w:val="center"/>
                </w:tcPr>
                <w:p w14:paraId="0BD20880">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7654A2FB">
                  <w:pPr>
                    <w:widowControl/>
                    <w:jc w:val="center"/>
                    <w:rPr>
                      <w:rFonts w:ascii="Times New Roman" w:hAnsi="Times New Roman"/>
                      <w:b w:val="0"/>
                      <w:bCs/>
                      <w:color w:val="FF0000"/>
                      <w:sz w:val="21"/>
                      <w:szCs w:val="21"/>
                      <w:highlight w:val="none"/>
                    </w:rPr>
                  </w:pPr>
                  <w:r>
                    <w:rPr>
                      <w:rFonts w:hint="default" w:ascii="Times New Roman" w:hAnsi="Times New Roman" w:cs="Times New Roman"/>
                      <w:b w:val="0"/>
                      <w:bCs/>
                      <w:color w:val="FF0000"/>
                      <w:sz w:val="21"/>
                      <w:szCs w:val="20"/>
                      <w:highlight w:val="none"/>
                    </w:rPr>
                    <w:t>6.125</w:t>
                  </w:r>
                </w:p>
              </w:tc>
              <w:tc>
                <w:tcPr>
                  <w:tcW w:w="1140" w:type="dxa"/>
                  <w:tcBorders>
                    <w:top w:val="single" w:color="000000" w:sz="4" w:space="0"/>
                    <w:left w:val="single" w:color="000000" w:sz="4" w:space="0"/>
                    <w:bottom w:val="single" w:color="000000" w:sz="4" w:space="0"/>
                    <w:right w:val="single" w:color="000000" w:sz="4" w:space="0"/>
                  </w:tcBorders>
                  <w:vAlign w:val="center"/>
                </w:tcPr>
                <w:p w14:paraId="7DAFD1AD">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default" w:ascii="Times New Roman" w:hAnsi="Times New Roman" w:eastAsia="宋体" w:cs="Times New Roman"/>
                      <w:b w:val="0"/>
                      <w:bCs/>
                      <w:color w:val="FF0000"/>
                      <w:kern w:val="2"/>
                      <w:sz w:val="21"/>
                      <w:szCs w:val="21"/>
                      <w:highlight w:val="none"/>
                      <w:lang w:val="en-US" w:eastAsia="zh-CN" w:bidi="ar-SA"/>
                    </w:rPr>
                  </w:pPr>
                  <w:r>
                    <w:rPr>
                      <w:rFonts w:hint="eastAsia" w:cs="Times New Roman"/>
                      <w:b w:val="0"/>
                      <w:bCs/>
                      <w:color w:val="FF0000"/>
                      <w:kern w:val="2"/>
                      <w:sz w:val="21"/>
                      <w:szCs w:val="21"/>
                      <w:highlight w:val="none"/>
                      <w:lang w:val="en-US" w:eastAsia="zh-CN" w:bidi="ar-SA"/>
                    </w:rPr>
                    <w:t>0</w:t>
                  </w:r>
                </w:p>
              </w:tc>
              <w:tc>
                <w:tcPr>
                  <w:tcW w:w="1335" w:type="dxa"/>
                  <w:tcBorders>
                    <w:top w:val="single" w:color="000000" w:sz="4" w:space="0"/>
                    <w:left w:val="single" w:color="000000" w:sz="4" w:space="0"/>
                    <w:bottom w:val="single" w:color="000000" w:sz="4" w:space="0"/>
                    <w:right w:val="single" w:color="000000" w:sz="4" w:space="0"/>
                  </w:tcBorders>
                  <w:vAlign w:val="center"/>
                </w:tcPr>
                <w:p w14:paraId="04B05A44">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default" w:ascii="Times New Roman" w:hAnsi="Times New Roman" w:eastAsia="宋体"/>
                      <w:b w:val="0"/>
                      <w:bCs/>
                      <w:color w:val="FF0000"/>
                      <w:sz w:val="21"/>
                      <w:szCs w:val="21"/>
                      <w:highlight w:val="none"/>
                      <w:lang w:val="en-US" w:eastAsia="zh-CN"/>
                    </w:rPr>
                  </w:pPr>
                  <w:r>
                    <w:rPr>
                      <w:rFonts w:hint="eastAsia"/>
                      <w:b w:val="0"/>
                      <w:bCs/>
                      <w:color w:val="FF0000"/>
                      <w:sz w:val="21"/>
                      <w:szCs w:val="21"/>
                      <w:highlight w:val="none"/>
                      <w:lang w:val="en-US" w:eastAsia="zh-CN"/>
                    </w:rPr>
                    <w:t>-6.125</w:t>
                  </w:r>
                </w:p>
              </w:tc>
              <w:tc>
                <w:tcPr>
                  <w:tcW w:w="1096" w:type="dxa"/>
                  <w:vMerge w:val="continue"/>
                  <w:tcBorders>
                    <w:top w:val="single" w:color="000000" w:sz="4" w:space="0"/>
                    <w:left w:val="single" w:color="000000" w:sz="4" w:space="0"/>
                    <w:bottom w:val="single" w:color="000000" w:sz="4" w:space="0"/>
                    <w:right w:val="nil"/>
                  </w:tcBorders>
                  <w:vAlign w:val="center"/>
                </w:tcPr>
                <w:p w14:paraId="24096442">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b w:val="0"/>
                      <w:bCs/>
                      <w:color w:val="FF0000"/>
                      <w:szCs w:val="21"/>
                      <w:highlight w:val="none"/>
                    </w:rPr>
                  </w:pPr>
                </w:p>
              </w:tc>
            </w:tr>
            <w:tr w14:paraId="1B8B4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56" w:type="dxa"/>
                  <w:tcBorders>
                    <w:top w:val="single" w:color="000000" w:sz="4" w:space="0"/>
                    <w:left w:val="nil"/>
                    <w:bottom w:val="single" w:color="000000" w:sz="4" w:space="0"/>
                    <w:right w:val="single" w:color="000000" w:sz="4" w:space="0"/>
                  </w:tcBorders>
                  <w:vAlign w:val="center"/>
                </w:tcPr>
                <w:p w14:paraId="59835BA8">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eastAsia" w:ascii="Times New Roman" w:hAnsi="Times New Roman" w:eastAsia="宋体"/>
                      <w:b w:val="0"/>
                      <w:bCs/>
                      <w:color w:val="FF0000"/>
                      <w:sz w:val="21"/>
                      <w:szCs w:val="21"/>
                      <w:highlight w:val="none"/>
                      <w:lang w:eastAsia="zh-CN"/>
                    </w:rPr>
                  </w:pPr>
                  <w:r>
                    <w:rPr>
                      <w:rFonts w:hint="eastAsia"/>
                      <w:b w:val="0"/>
                      <w:bCs/>
                      <w:color w:val="FF0000"/>
                      <w:sz w:val="21"/>
                      <w:szCs w:val="21"/>
                      <w:highlight w:val="none"/>
                      <w:lang w:val="en-US" w:eastAsia="zh-CN"/>
                    </w:rPr>
                    <w:t>5</w:t>
                  </w: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14:paraId="757E1E84">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1515" w:type="dxa"/>
                  <w:tcBorders>
                    <w:top w:val="single" w:color="000000" w:sz="4" w:space="0"/>
                    <w:left w:val="single" w:color="000000" w:sz="4" w:space="0"/>
                    <w:bottom w:val="single" w:color="000000" w:sz="4" w:space="0"/>
                    <w:right w:val="single" w:color="000000" w:sz="4" w:space="0"/>
                  </w:tcBorders>
                  <w:vAlign w:val="center"/>
                </w:tcPr>
                <w:p w14:paraId="3A10CB5D">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ascii="Times New Roman" w:hAnsi="Times New Roman"/>
                      <w:b w:val="0"/>
                      <w:bCs/>
                      <w:color w:val="FF0000"/>
                      <w:sz w:val="21"/>
                      <w:szCs w:val="21"/>
                      <w:highlight w:val="none"/>
                    </w:rPr>
                    <w:t>废布袋</w:t>
                  </w:r>
                </w:p>
              </w:tc>
              <w:tc>
                <w:tcPr>
                  <w:tcW w:w="1200" w:type="dxa"/>
                  <w:tcBorders>
                    <w:top w:val="single" w:color="000000" w:sz="4" w:space="0"/>
                    <w:left w:val="single" w:color="000000" w:sz="4" w:space="0"/>
                    <w:bottom w:val="single" w:color="000000" w:sz="4" w:space="0"/>
                    <w:right w:val="single" w:color="000000" w:sz="4" w:space="0"/>
                  </w:tcBorders>
                  <w:vAlign w:val="center"/>
                </w:tcPr>
                <w:p w14:paraId="2227336D">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hint="default" w:ascii="Times New Roman" w:hAnsi="Times New Roman"/>
                      <w:b w:val="0"/>
                      <w:bCs/>
                      <w:color w:val="FF0000"/>
                      <w:sz w:val="21"/>
                      <w:szCs w:val="21"/>
                      <w:highlight w:val="none"/>
                      <w:lang w:val="en-US" w:eastAsia="zh-CN"/>
                    </w:rPr>
                    <w:t>SW17</w:t>
                  </w:r>
                </w:p>
              </w:tc>
              <w:tc>
                <w:tcPr>
                  <w:tcW w:w="1561" w:type="dxa"/>
                  <w:tcBorders>
                    <w:top w:val="single" w:color="000000" w:sz="4" w:space="0"/>
                    <w:left w:val="single" w:color="000000" w:sz="4" w:space="0"/>
                    <w:bottom w:val="single" w:color="000000" w:sz="4" w:space="0"/>
                    <w:right w:val="single" w:color="000000" w:sz="4" w:space="0"/>
                  </w:tcBorders>
                  <w:vAlign w:val="center"/>
                </w:tcPr>
                <w:p w14:paraId="256310A5">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r>
                    <w:rPr>
                      <w:rFonts w:hint="default" w:ascii="Times New Roman" w:hAnsi="Times New Roman"/>
                      <w:b w:val="0"/>
                      <w:bCs/>
                      <w:color w:val="FF0000"/>
                      <w:sz w:val="21"/>
                      <w:szCs w:val="21"/>
                      <w:highlight w:val="none"/>
                      <w:lang w:val="en-US" w:eastAsia="zh-CN"/>
                    </w:rPr>
                    <w:t>900-011-S17</w:t>
                  </w: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204FE63D">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749" w:type="dxa"/>
                  <w:vMerge w:val="continue"/>
                  <w:tcBorders>
                    <w:top w:val="single" w:color="000000" w:sz="4" w:space="0"/>
                    <w:left w:val="single" w:color="000000" w:sz="4" w:space="0"/>
                    <w:bottom w:val="single" w:color="000000" w:sz="4" w:space="0"/>
                    <w:right w:val="single" w:color="000000" w:sz="4" w:space="0"/>
                  </w:tcBorders>
                  <w:vAlign w:val="center"/>
                </w:tcPr>
                <w:p w14:paraId="351AAC76">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ascii="Times New Roman" w:hAnsi="Times New Roman"/>
                      <w:b w:val="0"/>
                      <w:bCs/>
                      <w:color w:val="FF0000"/>
                      <w:sz w:val="21"/>
                      <w:szCs w:val="21"/>
                      <w:highlight w:val="none"/>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220880A8">
                  <w:pPr>
                    <w:widowControl/>
                    <w:jc w:val="center"/>
                    <w:rPr>
                      <w:rFonts w:hint="eastAsia" w:ascii="Times New Roman" w:hAnsi="Times New Roman"/>
                      <w:b w:val="0"/>
                      <w:bCs/>
                      <w:color w:val="FF0000"/>
                      <w:sz w:val="21"/>
                      <w:szCs w:val="21"/>
                      <w:highlight w:val="none"/>
                      <w:lang w:val="en-US" w:eastAsia="zh-CN"/>
                    </w:rPr>
                  </w:pPr>
                  <w:r>
                    <w:rPr>
                      <w:rFonts w:hint="default" w:ascii="Times New Roman" w:hAnsi="Times New Roman" w:cs="Times New Roman"/>
                      <w:b w:val="0"/>
                      <w:bCs/>
                      <w:color w:val="FF0000"/>
                      <w:sz w:val="21"/>
                      <w:szCs w:val="20"/>
                      <w:highlight w:val="none"/>
                      <w:lang w:val="en-US" w:eastAsia="zh-CN"/>
                    </w:rPr>
                    <w:t>2</w:t>
                  </w:r>
                </w:p>
              </w:tc>
              <w:tc>
                <w:tcPr>
                  <w:tcW w:w="1140" w:type="dxa"/>
                  <w:tcBorders>
                    <w:top w:val="single" w:color="000000" w:sz="4" w:space="0"/>
                    <w:left w:val="single" w:color="000000" w:sz="4" w:space="0"/>
                    <w:bottom w:val="single" w:color="000000" w:sz="4" w:space="0"/>
                    <w:right w:val="single" w:color="000000" w:sz="4" w:space="0"/>
                  </w:tcBorders>
                  <w:vAlign w:val="center"/>
                </w:tcPr>
                <w:p w14:paraId="3EF4D20D">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eastAsia" w:ascii="Times New Roman" w:hAnsi="Times New Roman" w:eastAsia="宋体" w:cs="Times New Roman"/>
                      <w:b w:val="0"/>
                      <w:bCs/>
                      <w:color w:val="FF0000"/>
                      <w:kern w:val="2"/>
                      <w:sz w:val="21"/>
                      <w:szCs w:val="21"/>
                      <w:highlight w:val="none"/>
                      <w:lang w:val="en-US" w:eastAsia="zh-CN" w:bidi="ar-SA"/>
                    </w:rPr>
                  </w:pPr>
                  <w:r>
                    <w:rPr>
                      <w:rFonts w:hint="eastAsia"/>
                      <w:b w:val="0"/>
                      <w:bCs/>
                      <w:color w:val="FF0000"/>
                      <w:sz w:val="21"/>
                      <w:szCs w:val="21"/>
                      <w:highlight w:val="none"/>
                      <w:lang w:val="en-US" w:eastAsia="zh-CN"/>
                    </w:rPr>
                    <w:t>0</w:t>
                  </w:r>
                </w:p>
              </w:tc>
              <w:tc>
                <w:tcPr>
                  <w:tcW w:w="1335" w:type="dxa"/>
                  <w:tcBorders>
                    <w:top w:val="single" w:color="000000" w:sz="4" w:space="0"/>
                    <w:left w:val="single" w:color="000000" w:sz="4" w:space="0"/>
                    <w:bottom w:val="single" w:color="000000" w:sz="4" w:space="0"/>
                    <w:right w:val="single" w:color="000000" w:sz="4" w:space="0"/>
                  </w:tcBorders>
                  <w:vAlign w:val="center"/>
                </w:tcPr>
                <w:p w14:paraId="7961ADFC">
                  <w:pPr>
                    <w:keepNext w:val="0"/>
                    <w:keepLines w:val="0"/>
                    <w:pageBreakBefore w:val="0"/>
                    <w:widowControl/>
                    <w:kinsoku/>
                    <w:wordWrap/>
                    <w:overflowPunct/>
                    <w:topLinePunct w:val="0"/>
                    <w:autoSpaceDE/>
                    <w:autoSpaceDN/>
                    <w:bidi w:val="0"/>
                    <w:adjustRightInd/>
                    <w:snapToGrid/>
                    <w:ind w:left="-21" w:leftChars="-10" w:right="-21" w:rightChars="-10"/>
                    <w:jc w:val="center"/>
                    <w:textAlignment w:val="auto"/>
                    <w:rPr>
                      <w:rFonts w:hint="default" w:ascii="Times New Roman" w:hAnsi="Times New Roman"/>
                      <w:b w:val="0"/>
                      <w:bCs/>
                      <w:color w:val="FF0000"/>
                      <w:sz w:val="21"/>
                      <w:szCs w:val="21"/>
                      <w:highlight w:val="none"/>
                      <w:lang w:val="en-US" w:eastAsia="zh-CN"/>
                    </w:rPr>
                  </w:pPr>
                  <w:r>
                    <w:rPr>
                      <w:rFonts w:hint="eastAsia"/>
                      <w:b w:val="0"/>
                      <w:bCs/>
                      <w:color w:val="FF0000"/>
                      <w:sz w:val="21"/>
                      <w:szCs w:val="21"/>
                      <w:highlight w:val="none"/>
                      <w:lang w:val="en-US" w:eastAsia="zh-CN"/>
                    </w:rPr>
                    <w:t>-2</w:t>
                  </w:r>
                </w:p>
              </w:tc>
              <w:tc>
                <w:tcPr>
                  <w:tcW w:w="1096" w:type="dxa"/>
                  <w:vMerge w:val="continue"/>
                  <w:tcBorders>
                    <w:top w:val="single" w:color="000000" w:sz="4" w:space="0"/>
                    <w:left w:val="single" w:color="000000" w:sz="4" w:space="0"/>
                    <w:bottom w:val="single" w:color="000000" w:sz="4" w:space="0"/>
                    <w:right w:val="nil"/>
                  </w:tcBorders>
                  <w:vAlign w:val="center"/>
                </w:tcPr>
                <w:p w14:paraId="3984B5E5">
                  <w:pPr>
                    <w:keepNext w:val="0"/>
                    <w:keepLines w:val="0"/>
                    <w:pageBreakBefore w:val="0"/>
                    <w:widowControl/>
                    <w:kinsoku/>
                    <w:wordWrap/>
                    <w:overflowPunct/>
                    <w:topLinePunct w:val="0"/>
                    <w:autoSpaceDE/>
                    <w:autoSpaceDN/>
                    <w:bidi w:val="0"/>
                    <w:adjustRightInd/>
                    <w:snapToGrid/>
                    <w:ind w:left="0" w:leftChars="0" w:right="0" w:rightChars="0"/>
                    <w:jc w:val="center"/>
                    <w:textAlignment w:val="auto"/>
                    <w:rPr>
                      <w:b w:val="0"/>
                      <w:bCs/>
                      <w:color w:val="FF0000"/>
                      <w:szCs w:val="21"/>
                      <w:highlight w:val="none"/>
                    </w:rPr>
                  </w:pPr>
                </w:p>
              </w:tc>
            </w:tr>
          </w:tbl>
          <w:p w14:paraId="6AAAF2AA">
            <w:pPr>
              <w:pStyle w:val="12"/>
              <w:keepNext w:val="0"/>
              <w:keepLines w:val="0"/>
              <w:numPr>
                <w:ilvl w:val="0"/>
                <w:numId w:val="0"/>
              </w:numPr>
              <w:suppressLineNumbers w:val="0"/>
              <w:spacing w:before="0" w:beforeAutospacing="0" w:after="0" w:afterAutospacing="0"/>
              <w:ind w:left="0" w:right="0"/>
              <w:rPr>
                <w:rFonts w:hint="default"/>
                <w:color w:val="auto"/>
                <w:highlight w:val="none"/>
                <w:vertAlign w:val="baseline"/>
              </w:rPr>
            </w:pPr>
          </w:p>
        </w:tc>
      </w:tr>
    </w:tbl>
    <w:p w14:paraId="2A05DB2F">
      <w:pPr>
        <w:pStyle w:val="12"/>
        <w:numPr>
          <w:ilvl w:val="0"/>
          <w:numId w:val="0"/>
        </w:numPr>
        <w:rPr>
          <w:color w:val="auto"/>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tbl>
      <w:tblPr>
        <w:tblStyle w:val="25"/>
        <w:tblW w:w="5520" w:type="pct"/>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8910"/>
      </w:tblGrid>
      <w:tr w14:paraId="07E5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9" w:hRule="atLeast"/>
        </w:trPr>
        <w:tc>
          <w:tcPr>
            <w:tcW w:w="268" w:type="pct"/>
            <w:vAlign w:val="center"/>
          </w:tcPr>
          <w:p w14:paraId="793A7729">
            <w:pPr>
              <w:keepNext w:val="0"/>
              <w:keepLines w:val="0"/>
              <w:suppressLineNumbers w:val="0"/>
              <w:spacing w:before="0" w:beforeAutospacing="0" w:after="0" w:afterAutospacing="0"/>
              <w:ind w:left="0" w:right="0"/>
              <w:jc w:val="center"/>
              <w:rPr>
                <w:rFonts w:hint="default" w:ascii="Times New Roman" w:hAnsi="Times New Roman" w:eastAsia="宋体" w:cs="Calibri"/>
                <w:snapToGrid w:val="0"/>
                <w:color w:val="auto"/>
                <w:sz w:val="30"/>
                <w:szCs w:val="30"/>
                <w:highlight w:val="none"/>
              </w:rPr>
            </w:pPr>
            <w:r>
              <w:rPr>
                <w:rFonts w:hint="default" w:ascii="Times New Roman" w:hAnsi="Times New Roman" w:eastAsia="宋体" w:cs="Calibri"/>
                <w:bCs/>
                <w:color w:val="auto"/>
                <w:sz w:val="24"/>
                <w:highlight w:val="none"/>
              </w:rPr>
              <w:t>与项目有关的原有环境污染问题</w:t>
            </w:r>
          </w:p>
        </w:tc>
        <w:tc>
          <w:tcPr>
            <w:tcW w:w="4731" w:type="pct"/>
          </w:tcPr>
          <w:p w14:paraId="6E0760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6、应急预案备案情况</w:t>
            </w:r>
          </w:p>
          <w:p w14:paraId="2ECDFDAA">
            <w:pPr>
              <w:pStyle w:val="1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color w:val="auto"/>
                <w:sz w:val="24"/>
                <w:highlight w:val="none"/>
                <w:lang w:val="en-US" w:eastAsia="zh-CN"/>
              </w:rPr>
            </w:pPr>
            <w:r>
              <w:rPr>
                <w:rFonts w:hint="default" w:ascii="Times New Roman" w:hAnsi="Times New Roman" w:eastAsia="宋体" w:cs="Times New Roman"/>
                <w:color w:val="auto"/>
                <w:sz w:val="24"/>
                <w:highlight w:val="none"/>
                <w:lang w:val="en-US" w:eastAsia="zh-CN"/>
              </w:rPr>
              <w:t>突发环境事件应急预案于</w:t>
            </w:r>
            <w:r>
              <w:rPr>
                <w:rFonts w:hint="eastAsia" w:ascii="Times New Roman" w:hAnsi="Times New Roman" w:eastAsia="宋体" w:cs="Times New Roman"/>
                <w:color w:val="auto"/>
                <w:sz w:val="24"/>
                <w:highlight w:val="none"/>
                <w:lang w:val="en-US" w:eastAsia="zh-CN"/>
              </w:rPr>
              <w:t>2025年3月10</w:t>
            </w:r>
            <w:r>
              <w:rPr>
                <w:rFonts w:hint="default" w:ascii="Times New Roman" w:hAnsi="Times New Roman" w:eastAsia="宋体" w:cs="Times New Roman"/>
                <w:color w:val="auto"/>
                <w:sz w:val="24"/>
                <w:highlight w:val="none"/>
                <w:lang w:val="en-US" w:eastAsia="zh-CN"/>
              </w:rPr>
              <w:t>日通过无锡市新吴生态环境局备案，备案号：320214-</w:t>
            </w:r>
            <w:r>
              <w:rPr>
                <w:rFonts w:hint="eastAsia" w:ascii="Times New Roman" w:hAnsi="Times New Roman" w:eastAsia="宋体" w:cs="Times New Roman"/>
                <w:color w:val="auto"/>
                <w:sz w:val="24"/>
                <w:highlight w:val="none"/>
                <w:lang w:val="en-US" w:eastAsia="zh-CN"/>
              </w:rPr>
              <w:t>2025</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54</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L</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olor w:val="auto"/>
                <w:kern w:val="2"/>
                <w:sz w:val="24"/>
                <w:szCs w:val="24"/>
                <w:highlight w:val="none"/>
                <w:lang w:val="en-US" w:eastAsia="zh-CN"/>
              </w:rPr>
              <w:t>企业目前已基本按照要求设置了环境应急管理制度，设置事故应急池450m</w:t>
            </w:r>
            <w:r>
              <w:rPr>
                <w:rFonts w:hint="eastAsia" w:ascii="Times New Roman" w:hAnsi="Times New Roman" w:eastAsia="宋体"/>
                <w:color w:val="auto"/>
                <w:kern w:val="2"/>
                <w:sz w:val="24"/>
                <w:szCs w:val="24"/>
                <w:highlight w:val="none"/>
                <w:vertAlign w:val="superscript"/>
                <w:lang w:val="en-US" w:eastAsia="zh-CN"/>
              </w:rPr>
              <w:t>3</w:t>
            </w:r>
            <w:r>
              <w:rPr>
                <w:rFonts w:hint="eastAsia" w:ascii="Times New Roman" w:hAnsi="Times New Roman" w:eastAsia="宋体"/>
                <w:color w:val="auto"/>
                <w:kern w:val="2"/>
                <w:sz w:val="24"/>
                <w:szCs w:val="24"/>
                <w:highlight w:val="none"/>
                <w:lang w:val="en-US" w:eastAsia="zh-CN"/>
              </w:rPr>
              <w:t>，雨水排口设置有雨水切断阀。</w:t>
            </w:r>
            <w:r>
              <w:rPr>
                <w:rFonts w:hint="eastAsia" w:ascii="Times New Roman" w:hAnsi="Times New Roman" w:eastAsia="宋体" w:cs="Times New Roman"/>
                <w:color w:val="auto"/>
                <w:sz w:val="24"/>
                <w:highlight w:val="none"/>
                <w:lang w:val="en-US" w:eastAsia="zh-CN"/>
              </w:rPr>
              <w:t>（详见附件</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w:t>
            </w:r>
          </w:p>
          <w:p w14:paraId="4E8C7902">
            <w:pPr>
              <w:pStyle w:val="1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、现有项目周围企事业单位、居民的投诉、抱怨等</w:t>
            </w:r>
          </w:p>
          <w:p w14:paraId="14F450C4">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color w:val="auto"/>
                <w:highlight w:val="none"/>
              </w:rPr>
            </w:pPr>
            <w:r>
              <w:rPr>
                <w:rFonts w:hint="default" w:ascii="Times New Roman" w:hAnsi="Times New Roman" w:eastAsia="宋体" w:cs="Times New Roman"/>
                <w:color w:val="auto"/>
                <w:sz w:val="24"/>
                <w:highlight w:val="none"/>
              </w:rPr>
              <w:t>无。</w:t>
            </w:r>
          </w:p>
          <w:p w14:paraId="047A921F">
            <w:pPr>
              <w:pStyle w:val="11"/>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textAlignment w:val="auto"/>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8、设备拆除情况</w:t>
            </w:r>
          </w:p>
          <w:p w14:paraId="71185BFB">
            <w:pPr>
              <w:pStyle w:val="16"/>
              <w:keepNext w:val="0"/>
              <w:keepLines w:val="0"/>
              <w:pageBreakBefore w:val="0"/>
              <w:widowControl w:val="0"/>
              <w:suppressLineNumbers w:val="0"/>
              <w:kinsoku/>
              <w:wordWrap/>
              <w:overflowPunct/>
              <w:topLinePunct w:val="0"/>
              <w:autoSpaceDE/>
              <w:autoSpaceDN/>
              <w:bidi w:val="0"/>
              <w:spacing w:beforeAutospacing="0" w:after="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项目基于现有隐形矫治器生产线设备基础实施智能化升级，淘汰一部分落后设备，新增相应数量的新型压膜装置、双机器人切割装置、半自动打标切割装置、新型分拣系统装置、AGV智能系统搬运装置，用于辅助产品质量控制，提升产品质量。根据</w:t>
            </w:r>
            <w:r>
              <w:rPr>
                <w:rFonts w:hint="default" w:ascii="Times New Roman" w:hAnsi="Times New Roman" w:eastAsia="宋体" w:cs="Times New Roman"/>
                <w:color w:val="auto"/>
                <w:sz w:val="24"/>
                <w:szCs w:val="24"/>
                <w:highlight w:val="none"/>
              </w:rPr>
              <w:t>《企业拆除活动污染防治技术规定（试行）》（公告 2017 年第78 号）、《企业设备、建（构）筑物拆除活动污染防治技术指南》（T/CAEPI 16-2018）等文件，企业在</w:t>
            </w:r>
            <w:r>
              <w:rPr>
                <w:rFonts w:hint="eastAsia" w:ascii="Times New Roman" w:hAnsi="Times New Roman" w:cs="Times New Roman"/>
                <w:color w:val="auto"/>
                <w:sz w:val="24"/>
                <w:szCs w:val="24"/>
                <w:highlight w:val="none"/>
                <w:lang w:val="en-US" w:eastAsia="zh-CN"/>
              </w:rPr>
              <w:t>拆除过程中，应</w:t>
            </w:r>
            <w:r>
              <w:rPr>
                <w:rFonts w:hint="default" w:ascii="Times New Roman" w:hAnsi="Times New Roman" w:eastAsia="宋体" w:cs="Times New Roman"/>
                <w:color w:val="auto"/>
                <w:sz w:val="24"/>
                <w:szCs w:val="24"/>
                <w:highlight w:val="none"/>
              </w:rPr>
              <w:t>规范</w:t>
            </w:r>
            <w:r>
              <w:rPr>
                <w:rFonts w:hint="eastAsia" w:ascii="Times New Roman" w:hAnsi="Times New Roman" w:cs="Times New Roman"/>
                <w:color w:val="auto"/>
                <w:sz w:val="24"/>
                <w:szCs w:val="24"/>
                <w:highlight w:val="none"/>
                <w:lang w:val="en-US" w:eastAsia="zh-CN"/>
              </w:rPr>
              <w:t>设备</w:t>
            </w:r>
            <w:r>
              <w:rPr>
                <w:rFonts w:hint="default" w:ascii="Times New Roman" w:hAnsi="Times New Roman" w:eastAsia="宋体" w:cs="Times New Roman"/>
                <w:color w:val="auto"/>
                <w:sz w:val="24"/>
                <w:szCs w:val="24"/>
                <w:highlight w:val="none"/>
              </w:rPr>
              <w:t>拆除流程，安全处置</w:t>
            </w:r>
            <w:r>
              <w:rPr>
                <w:rFonts w:hint="eastAsia" w:ascii="Times New Roman" w:hAnsi="Times New Roman"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rPr>
              <w:t>的固体废物等，确保</w:t>
            </w:r>
            <w:r>
              <w:rPr>
                <w:rFonts w:hint="eastAsia" w:ascii="Times New Roman" w:hAnsi="Times New Roman" w:cs="Times New Roman"/>
                <w:color w:val="auto"/>
                <w:sz w:val="24"/>
                <w:szCs w:val="24"/>
                <w:highlight w:val="none"/>
                <w:lang w:val="en-US" w:eastAsia="zh-CN"/>
              </w:rPr>
              <w:t>拆除</w:t>
            </w:r>
            <w:r>
              <w:rPr>
                <w:rFonts w:hint="default" w:ascii="Times New Roman" w:hAnsi="Times New Roman" w:eastAsia="宋体" w:cs="Times New Roman"/>
                <w:color w:val="auto"/>
                <w:sz w:val="24"/>
                <w:szCs w:val="24"/>
                <w:highlight w:val="none"/>
              </w:rPr>
              <w:t>过程对周围环境不造成污染。</w:t>
            </w:r>
          </w:p>
          <w:p w14:paraId="39D887EF">
            <w:pPr>
              <w:pStyle w:val="16"/>
              <w:keepNext w:val="0"/>
              <w:keepLines w:val="0"/>
              <w:pageBreakBefore w:val="0"/>
              <w:widowControl w:val="0"/>
              <w:suppressLineNumbers w:val="0"/>
              <w:kinsoku/>
              <w:wordWrap/>
              <w:overflowPunct/>
              <w:topLinePunct w:val="0"/>
              <w:autoSpaceDE/>
              <w:autoSpaceDN/>
              <w:bidi w:val="0"/>
              <w:spacing w:beforeAutospacing="0" w:after="0" w:afterAutospacing="0" w:line="360" w:lineRule="auto"/>
              <w:ind w:left="0" w:firstLine="480" w:firstLineChars="200"/>
              <w:textAlignment w:val="auto"/>
              <w:rPr>
                <w:rFonts w:hint="default" w:ascii="Segoe UI" w:hAnsi="Segoe UI" w:eastAsia="Segoe UI" w:cs="Segoe UI"/>
                <w:i w:val="0"/>
                <w:iCs w:val="0"/>
                <w:caps w:val="0"/>
                <w:color w:val="auto"/>
                <w:spacing w:val="0"/>
                <w:sz w:val="24"/>
                <w:szCs w:val="24"/>
                <w:highlight w:val="none"/>
                <w:shd w:val="clear" w:fill="FFFFFF"/>
                <w:lang w:val="en-US" w:eastAsia="zh-CN"/>
              </w:rPr>
            </w:pPr>
            <w:r>
              <w:rPr>
                <w:rFonts w:hint="default" w:ascii="Segoe UI" w:hAnsi="Segoe UI" w:eastAsia="Segoe UI" w:cs="Segoe UI"/>
                <w:i w:val="0"/>
                <w:iCs w:val="0"/>
                <w:caps w:val="0"/>
                <w:color w:val="auto"/>
                <w:spacing w:val="0"/>
                <w:sz w:val="24"/>
                <w:szCs w:val="24"/>
                <w:highlight w:val="none"/>
                <w:shd w:val="clear" w:fill="FFFFFF"/>
              </w:rPr>
              <w:t>企业针对已淘汰并完成拆除的陈旧设备，</w:t>
            </w:r>
            <w:r>
              <w:rPr>
                <w:rFonts w:hint="eastAsia" w:ascii="Segoe UI" w:hAnsi="Segoe UI" w:eastAsia="宋体" w:cs="Segoe UI"/>
                <w:i w:val="0"/>
                <w:iCs w:val="0"/>
                <w:caps w:val="0"/>
                <w:color w:val="auto"/>
                <w:spacing w:val="0"/>
                <w:sz w:val="24"/>
                <w:szCs w:val="24"/>
                <w:highlight w:val="none"/>
                <w:shd w:val="clear" w:fill="FFFFFF"/>
                <w:lang w:val="en-US" w:eastAsia="zh-CN"/>
              </w:rPr>
              <w:t>将</w:t>
            </w:r>
            <w:r>
              <w:rPr>
                <w:rFonts w:hint="default" w:ascii="Segoe UI" w:hAnsi="Segoe UI" w:eastAsia="Segoe UI" w:cs="Segoe UI"/>
                <w:i w:val="0"/>
                <w:iCs w:val="0"/>
                <w:caps w:val="0"/>
                <w:color w:val="auto"/>
                <w:spacing w:val="0"/>
                <w:sz w:val="24"/>
                <w:szCs w:val="24"/>
                <w:highlight w:val="none"/>
                <w:shd w:val="clear" w:fill="FFFFFF"/>
              </w:rPr>
              <w:t>严格遵循内部资产管理制度及行业规范，实施标准化报废处置流程。</w:t>
            </w:r>
            <w:r>
              <w:rPr>
                <w:rFonts w:hint="eastAsia" w:ascii="Segoe UI" w:hAnsi="Segoe UI" w:eastAsia="宋体" w:cs="Segoe UI"/>
                <w:i w:val="0"/>
                <w:iCs w:val="0"/>
                <w:caps w:val="0"/>
                <w:color w:val="auto"/>
                <w:spacing w:val="0"/>
                <w:sz w:val="24"/>
                <w:szCs w:val="24"/>
                <w:highlight w:val="none"/>
                <w:shd w:val="clear" w:fill="FFFFFF"/>
                <w:lang w:val="en-US" w:eastAsia="zh-CN"/>
              </w:rPr>
              <w:t>本项目建成后</w:t>
            </w:r>
            <w:r>
              <w:rPr>
                <w:rFonts w:hint="default" w:ascii="Segoe UI" w:hAnsi="Segoe UI" w:eastAsia="Segoe UI" w:cs="Segoe UI"/>
                <w:i w:val="0"/>
                <w:iCs w:val="0"/>
                <w:caps w:val="0"/>
                <w:color w:val="auto"/>
                <w:spacing w:val="0"/>
                <w:sz w:val="24"/>
                <w:szCs w:val="24"/>
                <w:highlight w:val="none"/>
                <w:shd w:val="clear" w:fill="FFFFFF"/>
              </w:rPr>
              <w:t>通过专业机构进行残值评估与技术鉴定后，对</w:t>
            </w:r>
            <w:r>
              <w:rPr>
                <w:rFonts w:hint="eastAsia" w:ascii="Segoe UI" w:hAnsi="Segoe UI" w:eastAsia="宋体" w:cs="Segoe UI"/>
                <w:i w:val="0"/>
                <w:iCs w:val="0"/>
                <w:caps w:val="0"/>
                <w:color w:val="auto"/>
                <w:spacing w:val="0"/>
                <w:sz w:val="24"/>
                <w:szCs w:val="24"/>
                <w:highlight w:val="none"/>
                <w:shd w:val="clear" w:fill="FFFFFF"/>
                <w:lang w:val="en-US" w:eastAsia="zh-CN"/>
              </w:rPr>
              <w:t>淘汰</w:t>
            </w:r>
            <w:r>
              <w:rPr>
                <w:rFonts w:hint="default" w:ascii="Segoe UI" w:hAnsi="Segoe UI" w:eastAsia="Segoe UI" w:cs="Segoe UI"/>
                <w:i w:val="0"/>
                <w:iCs w:val="0"/>
                <w:caps w:val="0"/>
                <w:color w:val="auto"/>
                <w:spacing w:val="0"/>
                <w:sz w:val="24"/>
                <w:szCs w:val="24"/>
                <w:highlight w:val="none"/>
                <w:shd w:val="clear" w:fill="FFFFFF"/>
              </w:rPr>
              <w:t>设备进行解体拆解、分类回收或无害化处理，确保金属部件、电子元件等资源合规再生利用，</w:t>
            </w:r>
            <w:r>
              <w:rPr>
                <w:rFonts w:hint="default" w:ascii="Segoe UI" w:hAnsi="Segoe UI" w:eastAsia="Segoe UI" w:cs="Segoe UI"/>
                <w:i w:val="0"/>
                <w:iCs w:val="0"/>
                <w:caps w:val="0"/>
                <w:color w:val="auto"/>
                <w:spacing w:val="0"/>
                <w:sz w:val="24"/>
                <w:szCs w:val="24"/>
                <w:highlight w:val="none"/>
                <w:shd w:val="clear" w:fill="FFFFFF"/>
                <w:lang w:val="en-US" w:eastAsia="zh-CN"/>
              </w:rPr>
              <w:t>避免在处置利用过程对环境造成不利影响。</w:t>
            </w:r>
          </w:p>
          <w:p w14:paraId="5F997D01">
            <w:pPr>
              <w:pStyle w:val="16"/>
              <w:keepNext w:val="0"/>
              <w:keepLines w:val="0"/>
              <w:pageBreakBefore w:val="0"/>
              <w:widowControl w:val="0"/>
              <w:suppressLineNumbers w:val="0"/>
              <w:kinsoku/>
              <w:wordWrap/>
              <w:overflowPunct/>
              <w:topLinePunct w:val="0"/>
              <w:autoSpaceDE/>
              <w:autoSpaceDN/>
              <w:bidi w:val="0"/>
              <w:spacing w:beforeAutospacing="0" w:after="0" w:afterAutospacing="0" w:line="360" w:lineRule="auto"/>
              <w:ind w:left="0" w:firstLine="420" w:firstLineChars="200"/>
              <w:textAlignment w:val="auto"/>
              <w:rPr>
                <w:rFonts w:hint="eastAsia"/>
                <w:color w:val="auto"/>
                <w:highlight w:val="none"/>
                <w:lang w:val="en-US" w:eastAsia="zh-CN"/>
              </w:rPr>
            </w:pPr>
          </w:p>
        </w:tc>
      </w:tr>
    </w:tbl>
    <w:p w14:paraId="5F2B5450">
      <w:pPr>
        <w:rPr>
          <w:rFonts w:ascii="Times New Roman" w:hAnsi="Times New Roman" w:eastAsia="宋体"/>
          <w:snapToGrid w:val="0"/>
          <w:color w:val="auto"/>
          <w:sz w:val="30"/>
          <w:szCs w:val="30"/>
          <w:highlight w:val="none"/>
        </w:rPr>
      </w:pPr>
      <w:r>
        <w:rPr>
          <w:rFonts w:ascii="Times New Roman" w:hAnsi="Times New Roman" w:eastAsia="宋体"/>
          <w:snapToGrid w:val="0"/>
          <w:color w:val="auto"/>
          <w:sz w:val="30"/>
          <w:szCs w:val="30"/>
          <w:highlight w:val="none"/>
        </w:rPr>
        <w:br w:type="page"/>
      </w:r>
    </w:p>
    <w:p w14:paraId="40D326DC">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auto"/>
          <w:sz w:val="30"/>
          <w:szCs w:val="30"/>
          <w:highlight w:val="none"/>
        </w:rPr>
      </w:pPr>
      <w:bookmarkStart w:id="7" w:name="_Toc23955"/>
      <w:r>
        <w:rPr>
          <w:rFonts w:ascii="Times New Roman" w:hAnsi="Times New Roman" w:eastAsia="宋体"/>
          <w:snapToGrid w:val="0"/>
          <w:color w:val="auto"/>
          <w:sz w:val="30"/>
          <w:szCs w:val="30"/>
          <w:highlight w:val="none"/>
        </w:rPr>
        <w:t>三、区域环境质量现状、环境保护目标及评价标准</w:t>
      </w:r>
      <w:bookmarkEnd w:id="7"/>
    </w:p>
    <w:tbl>
      <w:tblPr>
        <w:tblStyle w:val="24"/>
        <w:tblW w:w="56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314"/>
      </w:tblGrid>
      <w:tr w14:paraId="3D2E1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dxa"/>
            <w:vAlign w:val="center"/>
          </w:tcPr>
          <w:p w14:paraId="5C0E78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区域</w:t>
            </w:r>
          </w:p>
          <w:p w14:paraId="278105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环境</w:t>
            </w:r>
          </w:p>
          <w:p w14:paraId="0BEB04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质量</w:t>
            </w:r>
          </w:p>
          <w:p w14:paraId="68291D9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kern w:val="0"/>
                <w:szCs w:val="21"/>
                <w:highlight w:val="none"/>
              </w:rPr>
            </w:pPr>
            <w:r>
              <w:rPr>
                <w:rFonts w:hint="default" w:ascii="Times New Roman" w:hAnsi="Times New Roman" w:eastAsia="宋体"/>
                <w:color w:val="auto"/>
                <w:kern w:val="0"/>
                <w:sz w:val="24"/>
                <w:highlight w:val="none"/>
              </w:rPr>
              <w:t>现状</w:t>
            </w:r>
          </w:p>
        </w:tc>
        <w:tc>
          <w:tcPr>
            <w:tcW w:w="9227" w:type="dxa"/>
            <w:vAlign w:val="center"/>
          </w:tcPr>
          <w:p w14:paraId="547CC32D">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olor w:val="auto"/>
                <w:kern w:val="0"/>
                <w:sz w:val="24"/>
                <w:highlight w:val="none"/>
              </w:rPr>
            </w:pPr>
            <w:r>
              <w:rPr>
                <w:rFonts w:hint="default" w:ascii="Times New Roman" w:hAnsi="Times New Roman" w:eastAsia="宋体"/>
                <w:b/>
                <w:bCs/>
                <w:color w:val="auto"/>
                <w:kern w:val="0"/>
                <w:sz w:val="24"/>
                <w:highlight w:val="none"/>
              </w:rPr>
              <w:t>1</w:t>
            </w:r>
            <w:r>
              <w:rPr>
                <w:rFonts w:hint="eastAsia" w:ascii="Times New Roman" w:hAnsi="Times New Roman" w:eastAsia="宋体"/>
                <w:b/>
                <w:bCs/>
                <w:color w:val="auto"/>
                <w:kern w:val="0"/>
                <w:sz w:val="24"/>
                <w:highlight w:val="none"/>
              </w:rPr>
              <w:t>、</w:t>
            </w:r>
            <w:r>
              <w:rPr>
                <w:rFonts w:hint="default" w:ascii="Times New Roman" w:hAnsi="Times New Roman" w:eastAsia="宋体"/>
                <w:b/>
                <w:bCs/>
                <w:color w:val="auto"/>
                <w:kern w:val="0"/>
                <w:sz w:val="24"/>
                <w:highlight w:val="none"/>
              </w:rPr>
              <w:t>大气环境</w:t>
            </w:r>
          </w:p>
          <w:p w14:paraId="0A7082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olor w:val="auto"/>
                <w:sz w:val="24"/>
                <w:highlight w:val="none"/>
              </w:rPr>
            </w:pPr>
            <w:r>
              <w:rPr>
                <w:rFonts w:hint="eastAsia" w:ascii="Times New Roman" w:hAnsi="Times New Roman" w:eastAsia="宋体" w:cs="宋体"/>
                <w:b/>
                <w:color w:val="auto"/>
                <w:sz w:val="24"/>
                <w:szCs w:val="24"/>
                <w:highlight w:val="none"/>
              </w:rPr>
              <w:t>①</w:t>
            </w:r>
            <w:r>
              <w:rPr>
                <w:rFonts w:hint="default" w:ascii="Times New Roman" w:hAnsi="Times New Roman" w:eastAsia="宋体"/>
                <w:b/>
                <w:color w:val="auto"/>
                <w:sz w:val="24"/>
                <w:szCs w:val="24"/>
                <w:highlight w:val="none"/>
              </w:rPr>
              <w:t>环境质量达标区判定</w:t>
            </w:r>
          </w:p>
          <w:p w14:paraId="3F6D6951">
            <w:pPr>
              <w:pStyle w:val="39"/>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根据《环境影响评价技术导则-大气环境》（HJ2.2-2018），项目所在区域达标判定，优先采用国家或地方生态环境主管部门公开发布的评价基准年环境质量公告或环境质量报告中的数据或结论。本报告选取</w:t>
            </w:r>
            <w:r>
              <w:rPr>
                <w:rFonts w:hint="eastAsia" w:eastAsia="宋体" w:cs="Times New Roman"/>
                <w:color w:val="auto"/>
                <w:sz w:val="24"/>
                <w:highlight w:val="none"/>
                <w:lang w:val="en-US" w:eastAsia="zh-CN"/>
              </w:rPr>
              <w:t>2024</w:t>
            </w:r>
            <w:r>
              <w:rPr>
                <w:rFonts w:hint="eastAsia" w:ascii="Times New Roman" w:hAnsi="Times New Roman" w:eastAsia="宋体" w:cs="Times New Roman"/>
                <w:color w:val="auto"/>
                <w:sz w:val="24"/>
                <w:highlight w:val="none"/>
              </w:rPr>
              <w:t>年作为评价基准年，根据《无锡市生态环境状况公报（202</w:t>
            </w:r>
            <w:r>
              <w:rPr>
                <w:rFonts w:hint="eastAsia"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rPr>
              <w:t>年度）》，全市环境空气中臭氧最大8小时第90百分位浓度（O</w:t>
            </w:r>
            <w:r>
              <w:rPr>
                <w:rFonts w:hint="eastAsia" w:ascii="Times New Roman" w:hAnsi="Times New Roman" w:eastAsia="宋体" w:cs="Times New Roman"/>
                <w:color w:val="auto"/>
                <w:sz w:val="24"/>
                <w:highlight w:val="none"/>
                <w:vertAlign w:val="subscript"/>
              </w:rPr>
              <w:t>3</w:t>
            </w:r>
            <w:r>
              <w:rPr>
                <w:rFonts w:hint="eastAsia" w:ascii="Times New Roman" w:hAnsi="Times New Roman" w:eastAsia="宋体" w:cs="Times New Roman"/>
                <w:color w:val="auto"/>
                <w:sz w:val="24"/>
                <w:highlight w:val="none"/>
              </w:rPr>
              <w:t>-90per）、细颗粒物（PM</w:t>
            </w:r>
            <w:r>
              <w:rPr>
                <w:rFonts w:hint="eastAsia" w:ascii="Times New Roman" w:hAnsi="Times New Roman" w:eastAsia="宋体" w:cs="Times New Roman"/>
                <w:color w:val="auto"/>
                <w:sz w:val="24"/>
                <w:highlight w:val="none"/>
                <w:vertAlign w:val="subscript"/>
              </w:rPr>
              <w:t>2.5</w:t>
            </w:r>
            <w:r>
              <w:rPr>
                <w:rFonts w:hint="eastAsia" w:ascii="Times New Roman" w:hAnsi="Times New Roman" w:eastAsia="宋体" w:cs="Times New Roman"/>
                <w:color w:val="auto"/>
                <w:sz w:val="24"/>
                <w:highlight w:val="none"/>
              </w:rPr>
              <w:t>）、可吸入颗粒物（PM</w:t>
            </w:r>
            <w:r>
              <w:rPr>
                <w:rFonts w:hint="eastAsia" w:ascii="Times New Roman" w:hAnsi="Times New Roman" w:eastAsia="宋体" w:cs="Times New Roman"/>
                <w:color w:val="auto"/>
                <w:sz w:val="24"/>
                <w:highlight w:val="none"/>
                <w:vertAlign w:val="subscript"/>
              </w:rPr>
              <w:t>10</w:t>
            </w:r>
            <w:r>
              <w:rPr>
                <w:rFonts w:hint="eastAsia" w:ascii="Times New Roman" w:hAnsi="Times New Roman" w:eastAsia="宋体" w:cs="Times New Roman"/>
                <w:color w:val="auto"/>
                <w:sz w:val="24"/>
                <w:highlight w:val="none"/>
              </w:rPr>
              <w:t>）、二氧化硫（SO</w:t>
            </w:r>
            <w:r>
              <w:rPr>
                <w:rFonts w:hint="eastAsia" w:ascii="Times New Roman" w:hAnsi="Times New Roman" w:eastAsia="宋体" w:cs="Times New Roman"/>
                <w:color w:val="auto"/>
                <w:sz w:val="24"/>
                <w:highlight w:val="none"/>
                <w:vertAlign w:val="subscript"/>
              </w:rPr>
              <w:t>2</w:t>
            </w:r>
            <w:r>
              <w:rPr>
                <w:rFonts w:hint="eastAsia" w:ascii="Times New Roman" w:hAnsi="Times New Roman" w:eastAsia="宋体" w:cs="Times New Roman"/>
                <w:color w:val="auto"/>
                <w:sz w:val="24"/>
                <w:highlight w:val="none"/>
              </w:rPr>
              <w:t>）、二氧化氮（NO</w:t>
            </w:r>
            <w:r>
              <w:rPr>
                <w:rFonts w:hint="eastAsia" w:ascii="Times New Roman" w:hAnsi="Times New Roman" w:eastAsia="宋体" w:cs="Times New Roman"/>
                <w:color w:val="auto"/>
                <w:sz w:val="24"/>
                <w:highlight w:val="none"/>
                <w:vertAlign w:val="subscript"/>
              </w:rPr>
              <w:t>2</w:t>
            </w:r>
            <w:r>
              <w:rPr>
                <w:rFonts w:hint="eastAsia" w:ascii="Times New Roman" w:hAnsi="Times New Roman" w:eastAsia="宋体" w:cs="Times New Roman"/>
                <w:color w:val="auto"/>
                <w:sz w:val="24"/>
                <w:highlight w:val="none"/>
              </w:rPr>
              <w:t>）和一氧化碳日均值第 95 百分位浓度（CO）年均浓度分别为164 微克/立方米、27微克/立方米、45微克/立方米、6微克/立方米、29微克/立方米和1.1毫克/立方米，较2023年分别改善 1.8%、3.6%、10%、25.0%、9.4%和8.3%。</w:t>
            </w:r>
          </w:p>
          <w:p w14:paraId="63B6BF18">
            <w:pPr>
              <w:pStyle w:val="39"/>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default" w:ascii="Times New Roman" w:hAnsi="Times New Roman" w:eastAsia="宋体"/>
                <w:color w:val="auto"/>
                <w:sz w:val="24"/>
                <w:highlight w:val="none"/>
                <w:lang w:val="en-US" w:eastAsia="zh-CN"/>
              </w:rPr>
            </w:pPr>
            <w:r>
              <w:rPr>
                <w:rFonts w:hint="eastAsia" w:ascii="Times New Roman" w:hAnsi="Times New Roman" w:eastAsia="宋体" w:cs="Times New Roman"/>
                <w:color w:val="auto"/>
                <w:sz w:val="24"/>
                <w:highlight w:val="none"/>
              </w:rPr>
              <w:t>按照《环境空气质量标准》（GB3095-2012）二级标准进行年度评价，所辖“二市六区”臭氧浓度均未达标，其余指标均已达标。因此判定为不达标区。</w:t>
            </w:r>
            <w:r>
              <w:rPr>
                <w:rFonts w:hint="default" w:ascii="Times New Roman" w:hAnsi="Times New Roman" w:eastAsia="宋体"/>
                <w:color w:val="auto"/>
                <w:sz w:val="24"/>
                <w:highlight w:val="none"/>
              </w:rPr>
              <w:t>根据《无锡市大气环境质量限期达标规划（2018-2025年）》，以不断降低PM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浓度，明显减少重污染天数，明显改善环境空气质量，明显增强人民的蓝天幸福感为核心目标，推进能源结构调整，推进热电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和臭氧协同控制，推进区域联防联控，提升大气污染精细化防控能力</w:t>
            </w:r>
            <w:r>
              <w:rPr>
                <w:rFonts w:hint="eastAsia" w:eastAsia="宋体"/>
                <w:color w:val="auto"/>
                <w:sz w:val="24"/>
                <w:highlight w:val="none"/>
                <w:lang w:eastAsia="zh-CN"/>
              </w:rPr>
              <w:t>，</w:t>
            </w:r>
            <w:r>
              <w:rPr>
                <w:rFonts w:hint="eastAsia" w:ascii="Times New Roman" w:hAnsi="Times New Roman" w:eastAsia="宋体"/>
                <w:color w:val="auto"/>
                <w:sz w:val="24"/>
                <w:highlight w:val="none"/>
                <w:lang w:val="en-US" w:eastAsia="zh-CN"/>
              </w:rPr>
              <w:t>预计到2025年实现全面达标。</w:t>
            </w:r>
          </w:p>
          <w:p w14:paraId="05418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eastAsia="宋体"/>
                <w:b/>
                <w:bCs/>
                <w:color w:val="auto"/>
                <w:kern w:val="0"/>
                <w:sz w:val="24"/>
                <w:highlight w:val="none"/>
              </w:rPr>
            </w:pPr>
            <w:r>
              <w:rPr>
                <w:rFonts w:hint="eastAsia" w:ascii="Times New Roman" w:hAnsi="Times New Roman" w:eastAsia="宋体" w:cs="宋体"/>
                <w:b/>
                <w:bCs/>
                <w:color w:val="auto"/>
                <w:sz w:val="24"/>
                <w:szCs w:val="24"/>
                <w:highlight w:val="none"/>
              </w:rPr>
              <w:t>②</w:t>
            </w:r>
            <w:r>
              <w:rPr>
                <w:rFonts w:hint="default" w:ascii="Times New Roman" w:hAnsi="Times New Roman" w:eastAsia="宋体"/>
                <w:b/>
                <w:bCs/>
                <w:color w:val="auto"/>
                <w:sz w:val="24"/>
                <w:szCs w:val="24"/>
                <w:highlight w:val="none"/>
              </w:rPr>
              <w:t>其他污染物环境质量现状</w:t>
            </w:r>
          </w:p>
          <w:p w14:paraId="218993A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本项目特征污染物</w:t>
            </w:r>
            <w:r>
              <w:rPr>
                <w:rFonts w:hint="default" w:ascii="Times New Roman" w:hAnsi="Times New Roman" w:eastAsia="宋体"/>
                <w:color w:val="auto"/>
                <w:sz w:val="24"/>
                <w:highlight w:val="none"/>
              </w:rPr>
              <w:t>非甲烷总烃</w:t>
            </w:r>
            <w:r>
              <w:rPr>
                <w:rFonts w:hint="default" w:ascii="Times New Roman" w:hAnsi="Times New Roman" w:eastAsia="宋体" w:cs="Times New Roman"/>
                <w:color w:val="auto"/>
                <w:sz w:val="24"/>
                <w:highlight w:val="none"/>
              </w:rPr>
              <w:t>现状数据引用</w:t>
            </w:r>
            <w:r>
              <w:rPr>
                <w:rFonts w:hint="default" w:ascii="Times New Roman" w:hAnsi="Times New Roman" w:eastAsia="宋体"/>
                <w:color w:val="auto"/>
                <w:sz w:val="24"/>
                <w:highlight w:val="none"/>
              </w:rPr>
              <w:t>无锡</w:t>
            </w:r>
            <w:r>
              <w:rPr>
                <w:rFonts w:hint="eastAsia" w:ascii="Times New Roman" w:hAnsi="Times New Roman" w:eastAsia="宋体"/>
                <w:color w:val="auto"/>
                <w:sz w:val="24"/>
                <w:highlight w:val="none"/>
                <w:lang w:eastAsia="zh-CN"/>
              </w:rPr>
              <w:t>市恒信安全技术服务</w:t>
            </w:r>
            <w:r>
              <w:rPr>
                <w:rFonts w:hint="default" w:ascii="Times New Roman" w:hAnsi="Times New Roman" w:eastAsia="宋体"/>
                <w:color w:val="auto"/>
                <w:sz w:val="24"/>
                <w:highlight w:val="none"/>
              </w:rPr>
              <w:t>有限公司</w:t>
            </w:r>
            <w:r>
              <w:rPr>
                <w:rFonts w:hint="eastAsia" w:ascii="Times New Roman" w:hAnsi="Times New Roman" w:eastAsia="宋体"/>
                <w:color w:val="auto"/>
                <w:sz w:val="24"/>
                <w:highlight w:val="none"/>
                <w:lang w:eastAsia="zh-CN"/>
              </w:rPr>
              <w:t>于</w:t>
            </w:r>
            <w:r>
              <w:rPr>
                <w:rFonts w:hint="eastAsia" w:ascii="Times New Roman" w:hAnsi="Times New Roman" w:eastAsia="宋体"/>
                <w:color w:val="auto"/>
                <w:sz w:val="24"/>
                <w:highlight w:val="none"/>
                <w:lang w:val="en-US" w:eastAsia="zh-CN"/>
              </w:rPr>
              <w:t>2023年8月10日~8月15日对敦南科技（无锡）有限公司的监测数据（监测</w:t>
            </w:r>
            <w:r>
              <w:rPr>
                <w:rFonts w:hint="eastAsia" w:ascii="Times New Roman" w:hAnsi="Times New Roman" w:eastAsia="宋体"/>
                <w:color w:val="auto"/>
                <w:sz w:val="24"/>
                <w:highlight w:val="none"/>
                <w:lang w:eastAsia="zh-CN"/>
              </w:rPr>
              <w:t>报告编号</w:t>
            </w:r>
            <w:r>
              <w:rPr>
                <w:rFonts w:hint="default" w:ascii="Times New Roman" w:hAnsi="Times New Roman" w:eastAsia="宋体"/>
                <w:color w:val="auto"/>
                <w:sz w:val="24"/>
                <w:highlight w:val="none"/>
              </w:rPr>
              <w:t>：</w:t>
            </w:r>
            <w:r>
              <w:rPr>
                <w:rFonts w:hint="eastAsia" w:ascii="Times New Roman" w:hAnsi="Times New Roman" w:eastAsia="宋体"/>
                <w:color w:val="auto"/>
                <w:sz w:val="24"/>
                <w:highlight w:val="none"/>
                <w:lang w:eastAsia="zh-CN"/>
              </w:rPr>
              <w:t>恒信（环）字第</w:t>
            </w:r>
            <w:r>
              <w:rPr>
                <w:rFonts w:hint="eastAsia" w:ascii="Times New Roman" w:hAnsi="Times New Roman" w:eastAsia="宋体"/>
                <w:color w:val="auto"/>
                <w:sz w:val="24"/>
                <w:highlight w:val="none"/>
                <w:lang w:val="en-US" w:eastAsia="zh-CN"/>
              </w:rPr>
              <w:t>HXHJ202308018））</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位于本项目东北约</w:t>
            </w:r>
            <w:r>
              <w:rPr>
                <w:rFonts w:hint="eastAsia" w:cs="Times New Roman"/>
                <w:color w:val="auto"/>
                <w:sz w:val="24"/>
                <w:highlight w:val="none"/>
                <w:lang w:val="en-US" w:eastAsia="zh-CN"/>
              </w:rPr>
              <w:t>1900</w:t>
            </w:r>
            <w:r>
              <w:rPr>
                <w:rFonts w:hint="eastAsia" w:ascii="Times New Roman" w:hAnsi="Times New Roman" w:eastAsia="宋体" w:cs="Times New Roman"/>
                <w:color w:val="auto"/>
                <w:sz w:val="24"/>
                <w:highlight w:val="none"/>
                <w:lang w:val="en-US" w:eastAsia="zh-CN"/>
              </w:rPr>
              <w:t>m处，监测结果见下表。</w:t>
            </w:r>
          </w:p>
          <w:p w14:paraId="38A4F2D9">
            <w:pPr>
              <w:pStyle w:val="44"/>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kern w:val="0"/>
                <w:sz w:val="24"/>
                <w:szCs w:val="24"/>
                <w:highlight w:val="none"/>
                <w:lang w:val="en-US" w:eastAsia="zh-CN" w:bidi="ar-SA"/>
              </w:rPr>
              <w:t>表3-1</w:t>
            </w:r>
            <w:r>
              <w:rPr>
                <w:rFonts w:hint="eastAsia" w:ascii="Times New Roman" w:hAnsi="Times New Roman" w:eastAsia="宋体" w:cs="Times New Roman"/>
                <w:b/>
                <w:bCs/>
                <w:color w:val="auto"/>
                <w:kern w:val="0"/>
                <w:sz w:val="24"/>
                <w:szCs w:val="24"/>
                <w:highlight w:val="none"/>
                <w:lang w:val="en-US" w:eastAsia="zh-CN" w:bidi="ar-SA"/>
              </w:rPr>
              <w:t xml:space="preserve">  </w:t>
            </w:r>
            <w:r>
              <w:rPr>
                <w:rFonts w:hint="default" w:ascii="Times New Roman" w:hAnsi="Times New Roman" w:eastAsia="宋体" w:cs="Times New Roman"/>
                <w:b/>
                <w:bCs/>
                <w:color w:val="auto"/>
                <w:szCs w:val="24"/>
                <w:highlight w:val="none"/>
              </w:rPr>
              <w:t>其他污染物环境质量现状监测结果表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2958"/>
              <w:gridCol w:w="1589"/>
              <w:gridCol w:w="2214"/>
              <w:gridCol w:w="968"/>
              <w:gridCol w:w="1369"/>
            </w:tblGrid>
            <w:tr w14:paraId="6038182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25" w:type="pct"/>
                  <w:vMerge w:val="restart"/>
                  <w:tcBorders>
                    <w:tl2br w:val="nil"/>
                    <w:tr2bl w:val="nil"/>
                  </w:tcBorders>
                  <w:vAlign w:val="center"/>
                </w:tcPr>
                <w:p w14:paraId="38E66C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监测点名称</w:t>
                  </w:r>
                </w:p>
              </w:tc>
              <w:tc>
                <w:tcPr>
                  <w:tcW w:w="873" w:type="pct"/>
                  <w:vMerge w:val="restart"/>
                  <w:tcBorders>
                    <w:tl2br w:val="nil"/>
                    <w:tr2bl w:val="nil"/>
                  </w:tcBorders>
                  <w:vAlign w:val="center"/>
                </w:tcPr>
                <w:p w14:paraId="23F243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监测因子</w:t>
                  </w:r>
                </w:p>
              </w:tc>
              <w:tc>
                <w:tcPr>
                  <w:tcW w:w="1216" w:type="pct"/>
                  <w:vMerge w:val="restart"/>
                  <w:tcBorders>
                    <w:tl2br w:val="nil"/>
                    <w:tr2bl w:val="nil"/>
                  </w:tcBorders>
                  <w:vAlign w:val="center"/>
                </w:tcPr>
                <w:p w14:paraId="2BC8BC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检测时段</w:t>
                  </w:r>
                </w:p>
              </w:tc>
              <w:tc>
                <w:tcPr>
                  <w:tcW w:w="532" w:type="pct"/>
                  <w:vMerge w:val="restart"/>
                  <w:tcBorders>
                    <w:tl2br w:val="nil"/>
                    <w:tr2bl w:val="nil"/>
                  </w:tcBorders>
                  <w:vAlign w:val="center"/>
                </w:tcPr>
                <w:p w14:paraId="646575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相对厂址方位</w:t>
                  </w:r>
                </w:p>
              </w:tc>
              <w:tc>
                <w:tcPr>
                  <w:tcW w:w="752" w:type="pct"/>
                  <w:vMerge w:val="restart"/>
                  <w:tcBorders>
                    <w:tl2br w:val="nil"/>
                    <w:tr2bl w:val="nil"/>
                  </w:tcBorders>
                  <w:vAlign w:val="center"/>
                </w:tcPr>
                <w:p w14:paraId="4CA6F0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相对厂界距离/m</w:t>
                  </w:r>
                </w:p>
              </w:tc>
            </w:tr>
            <w:tr w14:paraId="4F1659A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12" w:hRule="atLeast"/>
                <w:jc w:val="center"/>
              </w:trPr>
              <w:tc>
                <w:tcPr>
                  <w:tcW w:w="1625" w:type="pct"/>
                  <w:vMerge w:val="continue"/>
                  <w:tcBorders>
                    <w:tl2br w:val="nil"/>
                    <w:tr2bl w:val="nil"/>
                  </w:tcBorders>
                  <w:vAlign w:val="center"/>
                </w:tcPr>
                <w:p w14:paraId="46911D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873" w:type="pct"/>
                  <w:vMerge w:val="continue"/>
                  <w:tcBorders>
                    <w:tl2br w:val="nil"/>
                    <w:tr2bl w:val="nil"/>
                  </w:tcBorders>
                  <w:vAlign w:val="center"/>
                </w:tcPr>
                <w:p w14:paraId="58656F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1216" w:type="pct"/>
                  <w:vMerge w:val="continue"/>
                  <w:tcBorders>
                    <w:tl2br w:val="nil"/>
                    <w:tr2bl w:val="nil"/>
                  </w:tcBorders>
                  <w:vAlign w:val="center"/>
                </w:tcPr>
                <w:p w14:paraId="738E8C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532" w:type="pct"/>
                  <w:vMerge w:val="continue"/>
                  <w:tcBorders>
                    <w:tl2br w:val="nil"/>
                    <w:tr2bl w:val="nil"/>
                  </w:tcBorders>
                  <w:vAlign w:val="center"/>
                </w:tcPr>
                <w:p w14:paraId="1B586B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c>
                <w:tcPr>
                  <w:tcW w:w="752" w:type="pct"/>
                  <w:vMerge w:val="continue"/>
                  <w:tcBorders>
                    <w:tl2br w:val="nil"/>
                    <w:tr2bl w:val="nil"/>
                  </w:tcBorders>
                  <w:vAlign w:val="center"/>
                </w:tcPr>
                <w:p w14:paraId="021930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p>
              </w:tc>
            </w:tr>
            <w:tr w14:paraId="2A0B865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1625" w:type="pct"/>
                  <w:tcBorders>
                    <w:tl2br w:val="nil"/>
                    <w:tr2bl w:val="nil"/>
                  </w:tcBorders>
                  <w:vAlign w:val="center"/>
                </w:tcPr>
                <w:p w14:paraId="45938B6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敦南科技（无锡）有限公司</w:t>
                  </w:r>
                </w:p>
              </w:tc>
              <w:tc>
                <w:tcPr>
                  <w:tcW w:w="873" w:type="pct"/>
                  <w:tcBorders>
                    <w:tl2br w:val="nil"/>
                    <w:tr2bl w:val="nil"/>
                  </w:tcBorders>
                  <w:vAlign w:val="center"/>
                </w:tcPr>
                <w:p w14:paraId="427402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非甲烷总烃</w:t>
                  </w:r>
                </w:p>
              </w:tc>
              <w:tc>
                <w:tcPr>
                  <w:tcW w:w="1216" w:type="pct"/>
                  <w:tcBorders>
                    <w:tl2br w:val="nil"/>
                    <w:tr2bl w:val="nil"/>
                  </w:tcBorders>
                  <w:vAlign w:val="center"/>
                </w:tcPr>
                <w:p w14:paraId="34A2E8D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rPr>
                    <w:t>202</w:t>
                  </w:r>
                  <w:r>
                    <w:rPr>
                      <w:rFonts w:hint="eastAsia" w:ascii="Times New Roman" w:hAnsi="Times New Roman" w:eastAsia="宋体"/>
                      <w:color w:val="auto"/>
                      <w:sz w:val="21"/>
                      <w:szCs w:val="21"/>
                      <w:highlight w:val="none"/>
                      <w:lang w:val="en-US" w:eastAsia="zh-CN"/>
                    </w:rPr>
                    <w:t>3.8.10</w:t>
                  </w:r>
                  <w:r>
                    <w:rPr>
                      <w:rFonts w:hint="default" w:ascii="Times New Roman" w:hAnsi="Times New Roman" w:eastAsia="宋体"/>
                      <w:color w:val="auto"/>
                      <w:sz w:val="21"/>
                      <w:szCs w:val="21"/>
                      <w:highlight w:val="none"/>
                    </w:rPr>
                    <w:t>~202</w:t>
                  </w:r>
                  <w:r>
                    <w:rPr>
                      <w:rFonts w:hint="eastAsia" w:ascii="Times New Roman" w:hAnsi="Times New Roman" w:eastAsia="宋体"/>
                      <w:color w:val="auto"/>
                      <w:sz w:val="21"/>
                      <w:szCs w:val="21"/>
                      <w:highlight w:val="none"/>
                      <w:lang w:val="en-US" w:eastAsia="zh-CN"/>
                    </w:rPr>
                    <w:t>3.8.15</w:t>
                  </w:r>
                </w:p>
              </w:tc>
              <w:tc>
                <w:tcPr>
                  <w:tcW w:w="532" w:type="pct"/>
                  <w:tcBorders>
                    <w:tl2br w:val="nil"/>
                    <w:tr2bl w:val="nil"/>
                  </w:tcBorders>
                  <w:vAlign w:val="center"/>
                </w:tcPr>
                <w:p w14:paraId="16CB7BC2">
                  <w:pPr>
                    <w:pStyle w:val="9"/>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hint="eastAsia" w:ascii="Times New Roman" w:hAnsi="Times New Roman" w:eastAsia="宋体"/>
                      <w:color w:val="auto"/>
                      <w:sz w:val="21"/>
                      <w:szCs w:val="21"/>
                      <w:highlight w:val="none"/>
                    </w:rPr>
                    <w:t>E</w:t>
                  </w:r>
                </w:p>
              </w:tc>
              <w:tc>
                <w:tcPr>
                  <w:tcW w:w="752" w:type="pct"/>
                  <w:tcBorders>
                    <w:tl2br w:val="nil"/>
                    <w:tr2bl w:val="nil"/>
                  </w:tcBorders>
                  <w:vAlign w:val="center"/>
                </w:tcPr>
                <w:p w14:paraId="01F679D7">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1</w:t>
                  </w:r>
                  <w:r>
                    <w:rPr>
                      <w:rFonts w:hint="eastAsia"/>
                      <w:color w:val="auto"/>
                      <w:sz w:val="21"/>
                      <w:szCs w:val="21"/>
                      <w:highlight w:val="none"/>
                      <w:lang w:val="en-US" w:eastAsia="zh-CN"/>
                    </w:rPr>
                    <w:t>900</w:t>
                  </w:r>
                </w:p>
              </w:tc>
            </w:tr>
          </w:tbl>
          <w:p w14:paraId="5BEDBC23">
            <w:pPr>
              <w:pStyle w:val="44"/>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0"/>
                <w:sz w:val="24"/>
                <w:szCs w:val="24"/>
                <w:highlight w:val="none"/>
                <w:lang w:val="en-US" w:eastAsia="zh-CN" w:bidi="ar-SA"/>
              </w:rPr>
            </w:pPr>
          </w:p>
          <w:p w14:paraId="0ABCC36B">
            <w:pPr>
              <w:pStyle w:val="44"/>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0"/>
                <w:sz w:val="24"/>
                <w:szCs w:val="24"/>
                <w:highlight w:val="none"/>
                <w:lang w:val="en-US" w:eastAsia="zh-CN" w:bidi="ar-SA"/>
              </w:rPr>
            </w:pPr>
          </w:p>
          <w:p w14:paraId="68CF5E1D">
            <w:pPr>
              <w:pStyle w:val="44"/>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0"/>
                <w:sz w:val="24"/>
                <w:szCs w:val="24"/>
                <w:highlight w:val="none"/>
                <w:lang w:val="en-US" w:eastAsia="zh-CN" w:bidi="ar-SA"/>
              </w:rPr>
            </w:pPr>
          </w:p>
          <w:p w14:paraId="736994C8">
            <w:pPr>
              <w:pStyle w:val="44"/>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kern w:val="0"/>
                <w:sz w:val="24"/>
                <w:szCs w:val="24"/>
                <w:highlight w:val="none"/>
                <w:lang w:val="en-US" w:eastAsia="zh-CN" w:bidi="ar-SA"/>
              </w:rPr>
              <w:t>表3-2</w:t>
            </w:r>
            <w:r>
              <w:rPr>
                <w:rFonts w:hint="eastAsia" w:ascii="Times New Roman" w:hAnsi="Times New Roman" w:eastAsia="宋体" w:cs="Times New Roman"/>
                <w:b/>
                <w:bCs/>
                <w:color w:val="auto"/>
                <w:kern w:val="0"/>
                <w:sz w:val="24"/>
                <w:szCs w:val="24"/>
                <w:highlight w:val="none"/>
                <w:lang w:val="en-US" w:eastAsia="zh-CN" w:bidi="ar-SA"/>
              </w:rPr>
              <w:t xml:space="preserve">  </w:t>
            </w:r>
            <w:r>
              <w:rPr>
                <w:rFonts w:hint="default" w:ascii="Times New Roman" w:hAnsi="Times New Roman" w:eastAsia="宋体" w:cs="Times New Roman"/>
                <w:b/>
                <w:bCs/>
                <w:color w:val="auto"/>
                <w:szCs w:val="24"/>
                <w:highlight w:val="none"/>
              </w:rPr>
              <w:t>其他污染物环境质量现状表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1307"/>
              <w:gridCol w:w="950"/>
              <w:gridCol w:w="1127"/>
              <w:gridCol w:w="1329"/>
              <w:gridCol w:w="1103"/>
              <w:gridCol w:w="761"/>
              <w:gridCol w:w="795"/>
            </w:tblGrid>
            <w:tr w14:paraId="19BAE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restart"/>
                  <w:tcMar>
                    <w:top w:w="0" w:type="dxa"/>
                    <w:left w:w="51" w:type="dxa"/>
                    <w:bottom w:w="0" w:type="dxa"/>
                    <w:right w:w="51" w:type="dxa"/>
                  </w:tcMar>
                  <w:vAlign w:val="center"/>
                </w:tcPr>
                <w:p w14:paraId="45CEEE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监测点位</w:t>
                  </w:r>
                </w:p>
              </w:tc>
              <w:tc>
                <w:tcPr>
                  <w:tcW w:w="718" w:type="pct"/>
                  <w:vMerge w:val="restart"/>
                  <w:tcMar>
                    <w:top w:w="0" w:type="dxa"/>
                    <w:left w:w="51" w:type="dxa"/>
                    <w:bottom w:w="0" w:type="dxa"/>
                    <w:right w:w="51" w:type="dxa"/>
                  </w:tcMar>
                  <w:vAlign w:val="center"/>
                </w:tcPr>
                <w:p w14:paraId="6CD344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b/>
                      <w:color w:val="auto"/>
                      <w:szCs w:val="21"/>
                      <w:highlight w:val="none"/>
                    </w:rPr>
                    <w:t>污染物</w:t>
                  </w:r>
                </w:p>
              </w:tc>
              <w:tc>
                <w:tcPr>
                  <w:tcW w:w="522" w:type="pct"/>
                  <w:vMerge w:val="restart"/>
                  <w:tcMar>
                    <w:top w:w="0" w:type="dxa"/>
                    <w:left w:w="51" w:type="dxa"/>
                    <w:bottom w:w="0" w:type="dxa"/>
                    <w:right w:w="51" w:type="dxa"/>
                  </w:tcMar>
                  <w:vAlign w:val="center"/>
                </w:tcPr>
                <w:p w14:paraId="65808D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平均</w:t>
                  </w:r>
                </w:p>
                <w:p w14:paraId="40CA5B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时间</w:t>
                  </w:r>
                </w:p>
              </w:tc>
              <w:tc>
                <w:tcPr>
                  <w:tcW w:w="619" w:type="pct"/>
                  <w:vMerge w:val="restart"/>
                  <w:tcMar>
                    <w:top w:w="0" w:type="dxa"/>
                    <w:left w:w="51" w:type="dxa"/>
                    <w:bottom w:w="0" w:type="dxa"/>
                    <w:right w:w="51" w:type="dxa"/>
                  </w:tcMar>
                  <w:vAlign w:val="center"/>
                </w:tcPr>
                <w:p w14:paraId="529548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评价标准mg/m</w:t>
                  </w:r>
                  <w:r>
                    <w:rPr>
                      <w:rFonts w:hint="default" w:ascii="Times New Roman" w:hAnsi="Times New Roman" w:eastAsia="宋体"/>
                      <w:b/>
                      <w:color w:val="auto"/>
                      <w:szCs w:val="21"/>
                      <w:highlight w:val="none"/>
                      <w:vertAlign w:val="superscript"/>
                    </w:rPr>
                    <w:t>3</w:t>
                  </w:r>
                </w:p>
              </w:tc>
              <w:tc>
                <w:tcPr>
                  <w:tcW w:w="730" w:type="pct"/>
                  <w:vMerge w:val="restart"/>
                  <w:tcMar>
                    <w:top w:w="0" w:type="dxa"/>
                    <w:left w:w="51" w:type="dxa"/>
                    <w:bottom w:w="0" w:type="dxa"/>
                    <w:right w:w="51" w:type="dxa"/>
                  </w:tcMar>
                  <w:vAlign w:val="center"/>
                </w:tcPr>
                <w:p w14:paraId="2128CF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监测浓度</w:t>
                  </w:r>
                </w:p>
                <w:p w14:paraId="704F12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范围mg/m</w:t>
                  </w:r>
                  <w:r>
                    <w:rPr>
                      <w:rFonts w:hint="default" w:ascii="Times New Roman" w:hAnsi="Times New Roman" w:eastAsia="宋体"/>
                      <w:b/>
                      <w:color w:val="auto"/>
                      <w:szCs w:val="21"/>
                      <w:highlight w:val="none"/>
                      <w:vertAlign w:val="superscript"/>
                    </w:rPr>
                    <w:t>3</w:t>
                  </w:r>
                </w:p>
              </w:tc>
              <w:tc>
                <w:tcPr>
                  <w:tcW w:w="606" w:type="pct"/>
                  <w:vMerge w:val="restart"/>
                  <w:tcMar>
                    <w:top w:w="0" w:type="dxa"/>
                    <w:left w:w="51" w:type="dxa"/>
                    <w:bottom w:w="0" w:type="dxa"/>
                    <w:right w:w="51" w:type="dxa"/>
                  </w:tcMar>
                  <w:vAlign w:val="center"/>
                </w:tcPr>
                <w:p w14:paraId="4A262E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最大浓度占标率%</w:t>
                  </w:r>
                </w:p>
              </w:tc>
              <w:tc>
                <w:tcPr>
                  <w:tcW w:w="418" w:type="pct"/>
                  <w:vMerge w:val="restart"/>
                  <w:tcMar>
                    <w:top w:w="0" w:type="dxa"/>
                    <w:left w:w="51" w:type="dxa"/>
                    <w:bottom w:w="0" w:type="dxa"/>
                    <w:right w:w="51" w:type="dxa"/>
                  </w:tcMar>
                  <w:vAlign w:val="center"/>
                </w:tcPr>
                <w:p w14:paraId="394326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超标率%</w:t>
                  </w:r>
                </w:p>
              </w:tc>
              <w:tc>
                <w:tcPr>
                  <w:tcW w:w="436" w:type="pct"/>
                  <w:vMerge w:val="restart"/>
                  <w:tcMar>
                    <w:top w:w="0" w:type="dxa"/>
                    <w:left w:w="51" w:type="dxa"/>
                    <w:bottom w:w="0" w:type="dxa"/>
                    <w:right w:w="51" w:type="dxa"/>
                  </w:tcMar>
                  <w:vAlign w:val="center"/>
                </w:tcPr>
                <w:p w14:paraId="67D3A0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r>
                    <w:rPr>
                      <w:rFonts w:hint="default" w:ascii="Times New Roman" w:hAnsi="Times New Roman" w:eastAsia="宋体"/>
                      <w:b/>
                      <w:color w:val="auto"/>
                      <w:szCs w:val="21"/>
                      <w:highlight w:val="none"/>
                    </w:rPr>
                    <w:t>达标情况</w:t>
                  </w:r>
                </w:p>
              </w:tc>
            </w:tr>
            <w:tr w14:paraId="6464D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vMerge w:val="continue"/>
                  <w:tcMar>
                    <w:top w:w="0" w:type="dxa"/>
                    <w:left w:w="51" w:type="dxa"/>
                    <w:bottom w:w="0" w:type="dxa"/>
                    <w:right w:w="51" w:type="dxa"/>
                  </w:tcMar>
                  <w:vAlign w:val="center"/>
                </w:tcPr>
                <w:p w14:paraId="628370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718" w:type="pct"/>
                  <w:vMerge w:val="continue"/>
                  <w:tcBorders>
                    <w:bottom w:val="single" w:color="auto" w:sz="4" w:space="0"/>
                  </w:tcBorders>
                  <w:tcMar>
                    <w:top w:w="0" w:type="dxa"/>
                    <w:left w:w="51" w:type="dxa"/>
                    <w:bottom w:w="0" w:type="dxa"/>
                    <w:right w:w="51" w:type="dxa"/>
                  </w:tcMar>
                  <w:vAlign w:val="center"/>
                </w:tcPr>
                <w:p w14:paraId="21DE38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p>
              </w:tc>
              <w:tc>
                <w:tcPr>
                  <w:tcW w:w="522" w:type="pct"/>
                  <w:vMerge w:val="continue"/>
                  <w:tcBorders>
                    <w:bottom w:val="single" w:color="auto" w:sz="4" w:space="0"/>
                  </w:tcBorders>
                  <w:tcMar>
                    <w:top w:w="0" w:type="dxa"/>
                    <w:left w:w="51" w:type="dxa"/>
                    <w:bottom w:w="0" w:type="dxa"/>
                    <w:right w:w="51" w:type="dxa"/>
                  </w:tcMar>
                  <w:vAlign w:val="center"/>
                </w:tcPr>
                <w:p w14:paraId="7EB138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619" w:type="pct"/>
                  <w:vMerge w:val="continue"/>
                  <w:tcMar>
                    <w:top w:w="0" w:type="dxa"/>
                    <w:left w:w="51" w:type="dxa"/>
                    <w:bottom w:w="0" w:type="dxa"/>
                    <w:right w:w="51" w:type="dxa"/>
                  </w:tcMar>
                  <w:vAlign w:val="center"/>
                </w:tcPr>
                <w:p w14:paraId="726AC4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730" w:type="pct"/>
                  <w:vMerge w:val="continue"/>
                  <w:tcMar>
                    <w:top w:w="0" w:type="dxa"/>
                    <w:left w:w="51" w:type="dxa"/>
                    <w:bottom w:w="0" w:type="dxa"/>
                    <w:right w:w="51" w:type="dxa"/>
                  </w:tcMar>
                  <w:vAlign w:val="center"/>
                </w:tcPr>
                <w:p w14:paraId="3D32FC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606" w:type="pct"/>
                  <w:vMerge w:val="continue"/>
                  <w:tcMar>
                    <w:top w:w="0" w:type="dxa"/>
                    <w:left w:w="51" w:type="dxa"/>
                    <w:bottom w:w="0" w:type="dxa"/>
                    <w:right w:w="51" w:type="dxa"/>
                  </w:tcMar>
                  <w:vAlign w:val="center"/>
                </w:tcPr>
                <w:p w14:paraId="609C61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418" w:type="pct"/>
                  <w:vMerge w:val="continue"/>
                  <w:tcMar>
                    <w:top w:w="0" w:type="dxa"/>
                    <w:left w:w="51" w:type="dxa"/>
                    <w:bottom w:w="0" w:type="dxa"/>
                    <w:right w:w="51" w:type="dxa"/>
                  </w:tcMar>
                  <w:vAlign w:val="center"/>
                </w:tcPr>
                <w:p w14:paraId="2FC5E2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c>
                <w:tcPr>
                  <w:tcW w:w="436" w:type="pct"/>
                  <w:vMerge w:val="continue"/>
                  <w:tcMar>
                    <w:top w:w="0" w:type="dxa"/>
                    <w:left w:w="51" w:type="dxa"/>
                    <w:bottom w:w="0" w:type="dxa"/>
                    <w:right w:w="51" w:type="dxa"/>
                  </w:tcMar>
                  <w:vAlign w:val="center"/>
                </w:tcPr>
                <w:p w14:paraId="561E1E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color w:val="auto"/>
                      <w:szCs w:val="21"/>
                      <w:highlight w:val="none"/>
                    </w:rPr>
                  </w:pPr>
                </w:p>
              </w:tc>
            </w:tr>
            <w:tr w14:paraId="5960B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8" w:type="pct"/>
                  <w:tcMar>
                    <w:top w:w="0" w:type="dxa"/>
                    <w:left w:w="51" w:type="dxa"/>
                    <w:bottom w:w="0" w:type="dxa"/>
                    <w:right w:w="51" w:type="dxa"/>
                  </w:tcMar>
                  <w:vAlign w:val="center"/>
                </w:tcPr>
                <w:p w14:paraId="1F7144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color w:val="auto"/>
                      <w:sz w:val="21"/>
                      <w:szCs w:val="21"/>
                      <w:highlight w:val="none"/>
                      <w:lang w:val="en-US" w:eastAsia="zh-CN"/>
                    </w:rPr>
                    <w:t>敦南科技（无锡）有限公司</w:t>
                  </w:r>
                </w:p>
              </w:tc>
              <w:tc>
                <w:tcPr>
                  <w:tcW w:w="718" w:type="pct"/>
                  <w:tcMar>
                    <w:top w:w="0" w:type="dxa"/>
                    <w:left w:w="51" w:type="dxa"/>
                    <w:bottom w:w="0" w:type="dxa"/>
                    <w:right w:w="51" w:type="dxa"/>
                  </w:tcMar>
                  <w:vAlign w:val="center"/>
                </w:tcPr>
                <w:p w14:paraId="1557D5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非甲烷总烃</w:t>
                  </w:r>
                </w:p>
              </w:tc>
              <w:tc>
                <w:tcPr>
                  <w:tcW w:w="522" w:type="pct"/>
                  <w:tcMar>
                    <w:top w:w="0" w:type="dxa"/>
                    <w:left w:w="51" w:type="dxa"/>
                    <w:bottom w:w="0" w:type="dxa"/>
                    <w:right w:w="51" w:type="dxa"/>
                  </w:tcMar>
                  <w:vAlign w:val="center"/>
                </w:tcPr>
                <w:p w14:paraId="5F95E7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1小时平均值</w:t>
                  </w:r>
                </w:p>
              </w:tc>
              <w:tc>
                <w:tcPr>
                  <w:tcW w:w="619" w:type="pct"/>
                  <w:tcMar>
                    <w:top w:w="0" w:type="dxa"/>
                    <w:left w:w="51" w:type="dxa"/>
                    <w:bottom w:w="0" w:type="dxa"/>
                    <w:right w:w="51" w:type="dxa"/>
                  </w:tcMar>
                  <w:vAlign w:val="center"/>
                </w:tcPr>
                <w:p w14:paraId="51AB58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2.0</w:t>
                  </w:r>
                </w:p>
              </w:tc>
              <w:tc>
                <w:tcPr>
                  <w:tcW w:w="730" w:type="pct"/>
                  <w:tcMar>
                    <w:top w:w="0" w:type="dxa"/>
                    <w:left w:w="51" w:type="dxa"/>
                    <w:bottom w:w="0" w:type="dxa"/>
                    <w:right w:w="51" w:type="dxa"/>
                  </w:tcMar>
                  <w:vAlign w:val="center"/>
                </w:tcPr>
                <w:p w14:paraId="0EB40E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lang w:val="en-US" w:eastAsia="zh-CN"/>
                    </w:rPr>
                  </w:pPr>
                  <w:r>
                    <w:rPr>
                      <w:rFonts w:hint="eastAsia" w:ascii="Times New Roman" w:hAnsi="Times New Roman" w:eastAsia="宋体"/>
                      <w:color w:val="auto"/>
                      <w:spacing w:val="2"/>
                      <w:szCs w:val="21"/>
                      <w:highlight w:val="none"/>
                      <w:lang w:val="en-US" w:eastAsia="zh-CN"/>
                    </w:rPr>
                    <w:t>0.09~0.63</w:t>
                  </w:r>
                </w:p>
              </w:tc>
              <w:tc>
                <w:tcPr>
                  <w:tcW w:w="606" w:type="pct"/>
                  <w:tcMar>
                    <w:top w:w="0" w:type="dxa"/>
                    <w:left w:w="51" w:type="dxa"/>
                    <w:bottom w:w="0" w:type="dxa"/>
                    <w:right w:w="51" w:type="dxa"/>
                  </w:tcMar>
                  <w:vAlign w:val="center"/>
                </w:tcPr>
                <w:p w14:paraId="7FF796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lang w:val="en-US" w:eastAsia="zh-CN"/>
                    </w:rPr>
                  </w:pPr>
                  <w:r>
                    <w:rPr>
                      <w:rFonts w:hint="eastAsia" w:ascii="Times New Roman" w:hAnsi="Times New Roman" w:eastAsia="宋体"/>
                      <w:color w:val="auto"/>
                      <w:spacing w:val="2"/>
                      <w:szCs w:val="21"/>
                      <w:highlight w:val="none"/>
                      <w:lang w:val="en-US" w:eastAsia="zh-CN"/>
                    </w:rPr>
                    <w:t>31.5</w:t>
                  </w:r>
                </w:p>
              </w:tc>
              <w:tc>
                <w:tcPr>
                  <w:tcW w:w="418" w:type="pct"/>
                  <w:tcMar>
                    <w:top w:w="0" w:type="dxa"/>
                    <w:left w:w="51" w:type="dxa"/>
                    <w:bottom w:w="0" w:type="dxa"/>
                    <w:right w:w="51" w:type="dxa"/>
                  </w:tcMar>
                  <w:vAlign w:val="center"/>
                </w:tcPr>
                <w:p w14:paraId="073DD5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pacing w:val="2"/>
                      <w:szCs w:val="21"/>
                      <w:highlight w:val="none"/>
                    </w:rPr>
                  </w:pPr>
                  <w:r>
                    <w:rPr>
                      <w:rFonts w:hint="default" w:ascii="Times New Roman" w:hAnsi="Times New Roman" w:eastAsia="宋体"/>
                      <w:color w:val="auto"/>
                      <w:spacing w:val="2"/>
                      <w:szCs w:val="21"/>
                      <w:highlight w:val="none"/>
                    </w:rPr>
                    <w:t>0</w:t>
                  </w:r>
                </w:p>
              </w:tc>
              <w:tc>
                <w:tcPr>
                  <w:tcW w:w="436" w:type="pct"/>
                  <w:tcMar>
                    <w:top w:w="0" w:type="dxa"/>
                    <w:left w:w="51" w:type="dxa"/>
                    <w:bottom w:w="0" w:type="dxa"/>
                    <w:right w:w="51" w:type="dxa"/>
                  </w:tcMar>
                  <w:vAlign w:val="center"/>
                </w:tcPr>
                <w:p w14:paraId="634D86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达标</w:t>
                  </w:r>
                </w:p>
              </w:tc>
            </w:tr>
          </w:tbl>
          <w:p w14:paraId="7A706ECB">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360" w:lineRule="auto"/>
              <w:ind w:left="0" w:right="0" w:firstLine="480" w:firstLineChars="200"/>
              <w:textAlignment w:val="auto"/>
              <w:rPr>
                <w:rFonts w:hint="eastAsia" w:ascii="Times New Roman" w:hAnsi="Times New Roman" w:eastAsia="宋体"/>
                <w:color w:val="auto"/>
                <w:sz w:val="24"/>
                <w:highlight w:val="none"/>
                <w:lang w:eastAsia="zh-CN"/>
              </w:rPr>
            </w:pPr>
            <w:r>
              <w:rPr>
                <w:rFonts w:hint="default" w:ascii="Times New Roman" w:hAnsi="Times New Roman" w:eastAsia="宋体"/>
                <w:color w:val="auto"/>
                <w:sz w:val="24"/>
                <w:highlight w:val="none"/>
              </w:rPr>
              <w:t>从上表可见，项目所在地非甲烷总烃满足《大气污染物综合排放标准详解》中</w:t>
            </w:r>
            <w:r>
              <w:rPr>
                <w:rFonts w:hint="eastAsia" w:ascii="Times New Roman" w:hAnsi="Times New Roman" w:eastAsia="宋体"/>
                <w:color w:val="auto"/>
                <w:sz w:val="24"/>
                <w:highlight w:val="none"/>
              </w:rPr>
              <w:t>推荐值</w:t>
            </w:r>
            <w:r>
              <w:rPr>
                <w:rFonts w:hint="eastAsia" w:ascii="Times New Roman" w:hAnsi="Times New Roman" w:eastAsia="宋体"/>
                <w:color w:val="auto"/>
                <w:sz w:val="24"/>
                <w:highlight w:val="none"/>
                <w:lang w:val="en-US" w:eastAsia="zh-CN"/>
              </w:rPr>
              <w:t>标准。</w:t>
            </w:r>
          </w:p>
          <w:p w14:paraId="4EC7EA1A">
            <w:pPr>
              <w:keepNext w:val="0"/>
              <w:keepLines w:val="0"/>
              <w:suppressLineNumbers w:val="0"/>
              <w:adjustRightInd w:val="0"/>
              <w:snapToGrid w:val="0"/>
              <w:spacing w:before="0" w:beforeAutospacing="0" w:after="0" w:afterAutospacing="0" w:line="360" w:lineRule="auto"/>
              <w:ind w:left="0" w:right="0"/>
              <w:jc w:val="left"/>
              <w:rPr>
                <w:rFonts w:hint="default"/>
                <w:color w:val="auto"/>
                <w:highlight w:val="none"/>
                <w:lang w:val="en-US" w:eastAsia="zh-CN"/>
              </w:rPr>
            </w:pPr>
            <w:r>
              <w:rPr>
                <w:rFonts w:hint="default" w:ascii="Times New Roman" w:hAnsi="Times New Roman" w:eastAsia="宋体"/>
                <w:b/>
                <w:bCs/>
                <w:color w:val="auto"/>
                <w:kern w:val="0"/>
                <w:sz w:val="24"/>
                <w:highlight w:val="none"/>
              </w:rPr>
              <w:t>2</w:t>
            </w:r>
            <w:r>
              <w:rPr>
                <w:rFonts w:hint="eastAsia" w:ascii="Times New Roman" w:hAnsi="Times New Roman" w:eastAsia="宋体"/>
                <w:b/>
                <w:bCs/>
                <w:color w:val="auto"/>
                <w:kern w:val="0"/>
                <w:sz w:val="24"/>
                <w:highlight w:val="none"/>
              </w:rPr>
              <w:t>、</w:t>
            </w:r>
            <w:r>
              <w:rPr>
                <w:rFonts w:hint="default" w:ascii="Times New Roman" w:hAnsi="Times New Roman" w:eastAsia="宋体"/>
                <w:b/>
                <w:bCs/>
                <w:color w:val="auto"/>
                <w:kern w:val="0"/>
                <w:sz w:val="24"/>
                <w:highlight w:val="none"/>
              </w:rPr>
              <w:t>地表水环境</w:t>
            </w:r>
          </w:p>
          <w:p w14:paraId="3CA84319">
            <w:pPr>
              <w:pStyle w:val="16"/>
              <w:keepNext w:val="0"/>
              <w:keepLines w:val="0"/>
              <w:suppressLineNumbers w:val="0"/>
              <w:adjustRightInd w:val="0"/>
              <w:snapToGrid w:val="0"/>
              <w:spacing w:beforeAutospacing="0" w:after="0" w:afterAutospacing="0" w:line="360" w:lineRule="auto"/>
              <w:ind w:left="0"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根据《无锡市生态环境状况公报（2024年度）》：“2.1国省考断面：25个国考断面中，年均水质达到或优于《地表水环境质量标准》（GB 3838-2002）Ⅲ类标准的断面比例为92.0%，较2023年改善4.0个百分点，无劣Ⅴ类断面。71个省考断面中，年均水质达到或优于Ⅲ类标准的断面比例为97.2%，较2023年改善1.4个百分点，无劣Ⅴ类断面。”</w:t>
            </w:r>
          </w:p>
          <w:p w14:paraId="038F1422">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eastAsia="宋体"/>
                <w:color w:val="auto"/>
                <w:kern w:val="0"/>
                <w:sz w:val="24"/>
                <w:highlight w:val="none"/>
              </w:rPr>
            </w:pPr>
            <w:r>
              <w:rPr>
                <w:rFonts w:hint="default" w:ascii="Times New Roman" w:hAnsi="Times New Roman" w:eastAsia="宋体"/>
                <w:b/>
                <w:bCs/>
                <w:color w:val="auto"/>
                <w:kern w:val="0"/>
                <w:sz w:val="24"/>
                <w:highlight w:val="none"/>
              </w:rPr>
              <w:t>3、声环境</w:t>
            </w:r>
          </w:p>
          <w:p w14:paraId="5FCF41BB">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Cs w:val="24"/>
                <w:highlight w:val="none"/>
              </w:rPr>
            </w:pPr>
            <w:r>
              <w:rPr>
                <w:rFonts w:hint="eastAsia" w:ascii="Times New Roman" w:hAnsi="Times New Roman" w:eastAsia="宋体"/>
                <w:color w:val="auto"/>
                <w:szCs w:val="32"/>
                <w:highlight w:val="none"/>
              </w:rPr>
              <w:t>根据《无锡市生态环境状况公报（202</w:t>
            </w:r>
            <w:r>
              <w:rPr>
                <w:rFonts w:hint="eastAsia" w:ascii="Times New Roman" w:hAnsi="Times New Roman"/>
                <w:color w:val="auto"/>
                <w:szCs w:val="32"/>
                <w:highlight w:val="none"/>
                <w:lang w:val="en-US" w:eastAsia="zh-CN"/>
              </w:rPr>
              <w:t>4</w:t>
            </w:r>
            <w:r>
              <w:rPr>
                <w:rFonts w:hint="eastAsia" w:ascii="Times New Roman" w:hAnsi="Times New Roman" w:eastAsia="宋体"/>
                <w:color w:val="auto"/>
                <w:szCs w:val="32"/>
                <w:highlight w:val="none"/>
              </w:rPr>
              <w:t>年度）》，2024年，全市声环境质量总体较好，昼间声环境质量保持稳定。</w:t>
            </w:r>
          </w:p>
          <w:p w14:paraId="5D6F4F4C">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4、生态环境</w:t>
            </w:r>
          </w:p>
          <w:p w14:paraId="5164BF0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color w:val="auto"/>
                <w:sz w:val="24"/>
                <w:highlight w:val="none"/>
              </w:rPr>
              <w:t>本项目位于</w:t>
            </w:r>
            <w:r>
              <w:rPr>
                <w:rFonts w:hint="eastAsia" w:ascii="Times New Roman" w:hAnsi="Times New Roman" w:eastAsia="宋体"/>
                <w:color w:val="auto"/>
                <w:sz w:val="24"/>
                <w:highlight w:val="none"/>
                <w:lang w:val="en-US" w:eastAsia="zh-CN"/>
              </w:rPr>
              <w:t>无锡市新吴区观山路36号</w:t>
            </w:r>
            <w:r>
              <w:rPr>
                <w:rFonts w:hint="default" w:ascii="Times New Roman" w:hAnsi="Times New Roman" w:eastAsia="宋体"/>
                <w:color w:val="auto"/>
                <w:sz w:val="24"/>
                <w:highlight w:val="none"/>
              </w:rPr>
              <w:t>，范围内不涉及生态环境保护目标，不开展生态环境现状调查。</w:t>
            </w:r>
          </w:p>
          <w:p w14:paraId="24FE50DE">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b/>
                <w:bCs/>
                <w:color w:val="auto"/>
                <w:sz w:val="24"/>
                <w:highlight w:val="none"/>
              </w:rPr>
            </w:pPr>
            <w:r>
              <w:rPr>
                <w:rFonts w:hint="eastAsia" w:ascii="Times New Roman" w:hAnsi="Times New Roman" w:eastAsia="宋体"/>
                <w:b/>
                <w:bCs/>
                <w:color w:val="auto"/>
                <w:sz w:val="24"/>
                <w:highlight w:val="none"/>
              </w:rPr>
              <w:t>5、电磁辐射</w:t>
            </w:r>
          </w:p>
          <w:p w14:paraId="60FF90B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eastAsia" w:ascii="Times New Roman" w:hAnsi="Times New Roman" w:eastAsia="宋体"/>
                <w:color w:val="auto"/>
                <w:sz w:val="24"/>
                <w:highlight w:val="none"/>
                <w:lang w:eastAsia="zh-CN"/>
              </w:rPr>
              <w:t>本项目不涉及电磁辐射</w:t>
            </w:r>
            <w:r>
              <w:rPr>
                <w:rFonts w:hint="default" w:ascii="Times New Roman" w:hAnsi="Times New Roman" w:eastAsia="宋体"/>
                <w:bCs/>
                <w:color w:val="auto"/>
                <w:sz w:val="24"/>
                <w:highlight w:val="none"/>
              </w:rPr>
              <w:t>，不开展电磁辐射现状监测与评价。</w:t>
            </w:r>
          </w:p>
          <w:p w14:paraId="2D5B5050">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bCs/>
                <w:color w:val="auto"/>
                <w:sz w:val="24"/>
                <w:highlight w:val="none"/>
              </w:rPr>
            </w:pPr>
            <w:r>
              <w:rPr>
                <w:rFonts w:hint="eastAsia" w:ascii="Times New Roman" w:hAnsi="Times New Roman" w:eastAsia="宋体"/>
                <w:b/>
                <w:bCs/>
                <w:color w:val="auto"/>
                <w:sz w:val="24"/>
                <w:highlight w:val="none"/>
              </w:rPr>
              <w:t>6</w:t>
            </w:r>
            <w:r>
              <w:rPr>
                <w:rFonts w:hint="default" w:ascii="Times New Roman" w:hAnsi="Times New Roman" w:eastAsia="宋体"/>
                <w:b/>
                <w:bCs/>
                <w:color w:val="auto"/>
                <w:sz w:val="24"/>
                <w:highlight w:val="none"/>
              </w:rPr>
              <w:t>、</w:t>
            </w:r>
            <w:r>
              <w:rPr>
                <w:rFonts w:hint="eastAsia" w:ascii="Times New Roman" w:hAnsi="Times New Roman" w:eastAsia="宋体"/>
                <w:b/>
                <w:bCs/>
                <w:color w:val="auto"/>
                <w:sz w:val="24"/>
                <w:highlight w:val="none"/>
              </w:rPr>
              <w:t>地下水、</w:t>
            </w:r>
            <w:r>
              <w:rPr>
                <w:rFonts w:hint="default" w:ascii="Times New Roman" w:hAnsi="Times New Roman" w:eastAsia="宋体"/>
                <w:b/>
                <w:bCs/>
                <w:color w:val="auto"/>
                <w:sz w:val="24"/>
                <w:highlight w:val="none"/>
              </w:rPr>
              <w:t>土壤环境</w:t>
            </w:r>
          </w:p>
          <w:p w14:paraId="62B27E30">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bCs/>
                <w:color w:val="auto"/>
                <w:sz w:val="24"/>
                <w:highlight w:val="none"/>
              </w:rPr>
            </w:pPr>
            <w:r>
              <w:rPr>
                <w:rFonts w:hint="eastAsia" w:ascii="Times New Roman" w:hAnsi="Times New Roman" w:eastAsia="宋体"/>
                <w:bCs/>
                <w:color w:val="auto"/>
                <w:sz w:val="24"/>
                <w:highlight w:val="none"/>
                <w:lang w:val="en-US" w:eastAsia="zh-CN"/>
              </w:rPr>
              <w:t>根据《建设项目环境影响报告表编制技术指南（污染影响类）（试行）》：原则上不开展环境质量现状调查</w:t>
            </w:r>
            <w:r>
              <w:rPr>
                <w:rFonts w:hint="eastAsia" w:ascii="Times New Roman" w:hAnsi="Times New Roman" w:eastAsia="宋体"/>
                <w:bCs/>
                <w:color w:val="auto"/>
                <w:sz w:val="24"/>
                <w:highlight w:val="none"/>
              </w:rPr>
              <w:t>。</w:t>
            </w:r>
            <w:r>
              <w:rPr>
                <w:rFonts w:hint="eastAsia" w:ascii="Times New Roman" w:hAnsi="Times New Roman" w:eastAsia="宋体"/>
                <w:bCs/>
                <w:color w:val="auto"/>
                <w:sz w:val="24"/>
                <w:highlight w:val="none"/>
                <w:lang w:eastAsia="zh-CN"/>
              </w:rPr>
              <w:t>生产车间、</w:t>
            </w:r>
            <w:r>
              <w:rPr>
                <w:rFonts w:hint="eastAsia" w:ascii="Times New Roman" w:hAnsi="Times New Roman"/>
                <w:bCs/>
                <w:color w:val="auto"/>
                <w:sz w:val="24"/>
                <w:highlight w:val="none"/>
                <w:lang w:eastAsia="zh-CN"/>
              </w:rPr>
              <w:t>危险废物</w:t>
            </w:r>
            <w:r>
              <w:rPr>
                <w:rFonts w:hint="eastAsia" w:ascii="Times New Roman" w:hAnsi="Times New Roman" w:eastAsia="宋体"/>
                <w:bCs/>
                <w:color w:val="auto"/>
                <w:sz w:val="24"/>
                <w:highlight w:val="none"/>
                <w:lang w:eastAsia="zh-CN"/>
              </w:rPr>
              <w:t>仓库等采取</w:t>
            </w:r>
            <w:r>
              <w:rPr>
                <w:rFonts w:hint="eastAsia" w:ascii="Times New Roman" w:hAnsi="Times New Roman" w:eastAsia="宋体"/>
                <w:bCs/>
                <w:color w:val="auto"/>
                <w:sz w:val="24"/>
                <w:highlight w:val="none"/>
              </w:rPr>
              <w:t>合理的分区防渗措施</w:t>
            </w:r>
            <w:r>
              <w:rPr>
                <w:rFonts w:hint="eastAsia" w:ascii="Times New Roman" w:hAnsi="Times New Roman" w:eastAsia="宋体"/>
                <w:bCs/>
                <w:color w:val="auto"/>
                <w:sz w:val="24"/>
                <w:highlight w:val="none"/>
                <w:lang w:eastAsia="zh-CN"/>
              </w:rPr>
              <w:t>，</w:t>
            </w:r>
            <w:r>
              <w:rPr>
                <w:rFonts w:hint="eastAsia" w:ascii="Times New Roman" w:hAnsi="Times New Roman" w:eastAsia="宋体"/>
                <w:bCs/>
                <w:color w:val="auto"/>
                <w:sz w:val="24"/>
                <w:highlight w:val="none"/>
              </w:rPr>
              <w:t>正常运营工况下无地下水、土壤污染途径，不开展地下水、土壤环境现状调查</w:t>
            </w:r>
            <w:r>
              <w:rPr>
                <w:rFonts w:hint="default" w:ascii="Times New Roman" w:hAnsi="Times New Roman" w:eastAsia="宋体"/>
                <w:bCs/>
                <w:color w:val="auto"/>
                <w:sz w:val="24"/>
                <w:highlight w:val="none"/>
              </w:rPr>
              <w:t>。</w:t>
            </w:r>
          </w:p>
          <w:p w14:paraId="18B5DBDE">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bCs/>
                <w:color w:val="auto"/>
                <w:sz w:val="24"/>
                <w:highlight w:val="none"/>
              </w:rPr>
            </w:pPr>
          </w:p>
          <w:p w14:paraId="3693DCCE">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bCs/>
                <w:color w:val="auto"/>
                <w:sz w:val="24"/>
                <w:highlight w:val="none"/>
              </w:rPr>
            </w:pPr>
          </w:p>
          <w:p w14:paraId="472ACFF0">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bCs/>
                <w:color w:val="auto"/>
                <w:sz w:val="24"/>
                <w:highlight w:val="none"/>
              </w:rPr>
            </w:pPr>
          </w:p>
          <w:p w14:paraId="22C652EA">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bCs/>
                <w:color w:val="auto"/>
                <w:sz w:val="24"/>
                <w:highlight w:val="none"/>
              </w:rPr>
            </w:pPr>
          </w:p>
          <w:p w14:paraId="1C1BD377">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bCs/>
                <w:color w:val="auto"/>
                <w:sz w:val="24"/>
                <w:highlight w:val="none"/>
              </w:rPr>
            </w:pPr>
          </w:p>
          <w:p w14:paraId="1CE00101">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bCs/>
                <w:color w:val="auto"/>
                <w:sz w:val="24"/>
                <w:highlight w:val="none"/>
              </w:rPr>
            </w:pPr>
          </w:p>
        </w:tc>
      </w:tr>
      <w:tr w14:paraId="089D3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4" w:hRule="atLeast"/>
          <w:jc w:val="center"/>
        </w:trPr>
        <w:tc>
          <w:tcPr>
            <w:tcW w:w="468" w:type="dxa"/>
            <w:vAlign w:val="center"/>
          </w:tcPr>
          <w:p w14:paraId="5024BE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环境</w:t>
            </w:r>
          </w:p>
          <w:p w14:paraId="16B855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保护</w:t>
            </w:r>
          </w:p>
          <w:p w14:paraId="618859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highlight w:val="none"/>
              </w:rPr>
              <w:t>目标</w:t>
            </w:r>
          </w:p>
        </w:tc>
        <w:tc>
          <w:tcPr>
            <w:tcW w:w="9227" w:type="dxa"/>
            <w:vAlign w:val="center"/>
          </w:tcPr>
          <w:p w14:paraId="6304AD50">
            <w:pPr>
              <w:keepNext w:val="0"/>
              <w:keepLines w:val="0"/>
              <w:numPr>
                <w:ilvl w:val="0"/>
                <w:numId w:val="0"/>
              </w:numPr>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lang w:val="en-US" w:eastAsia="zh-CN"/>
              </w:rPr>
              <w:t>1、</w:t>
            </w:r>
            <w:r>
              <w:rPr>
                <w:rFonts w:hint="default" w:ascii="Times New Roman" w:hAnsi="Times New Roman" w:eastAsia="宋体" w:cs="Times New Roman"/>
                <w:b/>
                <w:bCs/>
                <w:color w:val="auto"/>
                <w:sz w:val="24"/>
                <w:szCs w:val="32"/>
                <w:highlight w:val="none"/>
              </w:rPr>
              <w:t>大气环境</w:t>
            </w:r>
          </w:p>
          <w:p w14:paraId="5DDC1863">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建设项目位于</w:t>
            </w:r>
            <w:r>
              <w:rPr>
                <w:rFonts w:hint="default" w:ascii="Times New Roman" w:hAnsi="Times New Roman" w:eastAsia="宋体" w:cs="Times New Roman"/>
                <w:snapToGrid w:val="0"/>
                <w:color w:val="auto"/>
                <w:szCs w:val="24"/>
                <w:highlight w:val="none"/>
              </w:rPr>
              <w:t>无锡市新吴区观山路36号</w:t>
            </w:r>
            <w:r>
              <w:rPr>
                <w:rFonts w:hint="default" w:ascii="Times New Roman" w:hAnsi="Times New Roman" w:eastAsia="宋体" w:cs="Times New Roman"/>
                <w:color w:val="auto"/>
                <w:highlight w:val="none"/>
              </w:rPr>
              <w:t>，项目周边500米范围内</w:t>
            </w:r>
            <w:r>
              <w:rPr>
                <w:rFonts w:hint="default" w:ascii="Times New Roman" w:hAnsi="Times New Roman" w:eastAsia="宋体" w:cs="Times New Roman"/>
                <w:color w:val="auto"/>
                <w:highlight w:val="none"/>
                <w:lang w:val="en-US" w:eastAsia="zh-CN"/>
              </w:rPr>
              <w:t>无</w:t>
            </w:r>
            <w:r>
              <w:rPr>
                <w:rFonts w:hint="default" w:ascii="Times New Roman" w:hAnsi="Times New Roman" w:eastAsia="宋体" w:cs="Times New Roman"/>
                <w:color w:val="auto"/>
                <w:highlight w:val="none"/>
              </w:rPr>
              <w:t>大气环境保护目标。</w:t>
            </w:r>
          </w:p>
          <w:p w14:paraId="57BE0453">
            <w:pPr>
              <w:pStyle w:val="9"/>
              <w:keepNext w:val="0"/>
              <w:keepLines w:val="0"/>
              <w:suppressLineNumbers w:val="0"/>
              <w:spacing w:before="0" w:beforeAutospacing="0" w:after="0" w:afterAutospacing="0"/>
              <w:ind w:left="0" w:right="0"/>
              <w:jc w:val="center"/>
              <w:rPr>
                <w:rFonts w:hint="default" w:ascii="Times New Roman" w:hAnsi="Times New Roman" w:eastAsia="宋体"/>
                <w:b/>
                <w:color w:val="auto"/>
                <w:sz w:val="24"/>
                <w:szCs w:val="24"/>
                <w:highlight w:val="none"/>
              </w:rPr>
            </w:pPr>
            <w:r>
              <w:rPr>
                <w:rFonts w:hint="default" w:ascii="Times New Roman" w:hAnsi="Times New Roman" w:eastAsia="宋体"/>
                <w:b/>
                <w:color w:val="auto"/>
                <w:sz w:val="24"/>
                <w:szCs w:val="24"/>
                <w:highlight w:val="none"/>
              </w:rPr>
              <w:t>表3-</w:t>
            </w:r>
            <w:r>
              <w:rPr>
                <w:rFonts w:hint="eastAsia"/>
                <w:b/>
                <w:color w:val="auto"/>
                <w:sz w:val="24"/>
                <w:szCs w:val="24"/>
                <w:highlight w:val="none"/>
                <w:lang w:val="en-US" w:eastAsia="zh-CN"/>
              </w:rPr>
              <w:t>3</w:t>
            </w:r>
            <w:r>
              <w:rPr>
                <w:rFonts w:hint="default" w:ascii="Times New Roman" w:hAnsi="Times New Roman" w:eastAsia="宋体"/>
                <w:b/>
                <w:color w:val="auto"/>
                <w:sz w:val="24"/>
                <w:szCs w:val="24"/>
                <w:highlight w:val="none"/>
              </w:rPr>
              <w:t xml:space="preserve"> </w:t>
            </w:r>
            <w:r>
              <w:rPr>
                <w:rFonts w:hint="eastAsia" w:ascii="Times New Roman" w:hAnsi="Times New Roman" w:eastAsia="宋体"/>
                <w:b/>
                <w:color w:val="auto"/>
                <w:sz w:val="24"/>
                <w:szCs w:val="24"/>
                <w:highlight w:val="none"/>
                <w:lang w:val="en-US" w:eastAsia="zh-CN"/>
              </w:rPr>
              <w:t xml:space="preserve">  </w:t>
            </w:r>
            <w:r>
              <w:rPr>
                <w:rFonts w:hint="default" w:ascii="Times New Roman" w:hAnsi="Times New Roman" w:eastAsia="宋体"/>
                <w:b/>
                <w:color w:val="auto"/>
                <w:sz w:val="24"/>
                <w:szCs w:val="24"/>
                <w:highlight w:val="none"/>
              </w:rPr>
              <w:t>大气环境保护目标一览表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659"/>
              <w:gridCol w:w="859"/>
              <w:gridCol w:w="875"/>
              <w:gridCol w:w="781"/>
              <w:gridCol w:w="843"/>
              <w:gridCol w:w="1012"/>
              <w:gridCol w:w="1258"/>
              <w:gridCol w:w="1165"/>
              <w:gridCol w:w="1016"/>
            </w:tblGrid>
            <w:tr w14:paraId="00B59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4" w:type="pct"/>
                  <w:vMerge w:val="restart"/>
                  <w:noWrap w:val="0"/>
                  <w:vAlign w:val="center"/>
                </w:tcPr>
                <w:p w14:paraId="2F118D2E">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62" w:type="pct"/>
                  <w:vMerge w:val="restart"/>
                  <w:noWrap w:val="0"/>
                  <w:vAlign w:val="center"/>
                </w:tcPr>
                <w:p w14:paraId="158D1739">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53" w:type="pct"/>
                  <w:gridSpan w:val="2"/>
                  <w:noWrap w:val="0"/>
                  <w:vAlign w:val="center"/>
                </w:tcPr>
                <w:p w14:paraId="54742805">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坐标/m</w:t>
                  </w:r>
                </w:p>
              </w:tc>
              <w:tc>
                <w:tcPr>
                  <w:tcW w:w="429" w:type="pct"/>
                  <w:vMerge w:val="restart"/>
                  <w:noWrap w:val="0"/>
                  <w:vAlign w:val="center"/>
                </w:tcPr>
                <w:p w14:paraId="137DE9D0">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463" w:type="pct"/>
                  <w:vMerge w:val="restart"/>
                  <w:noWrap w:val="0"/>
                  <w:vAlign w:val="center"/>
                </w:tcPr>
                <w:p w14:paraId="3DB5F3DA">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556" w:type="pct"/>
                  <w:vMerge w:val="restart"/>
                  <w:noWrap w:val="0"/>
                  <w:vAlign w:val="center"/>
                </w:tcPr>
                <w:p w14:paraId="08255BEA">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w:t>
                  </w:r>
                </w:p>
              </w:tc>
              <w:tc>
                <w:tcPr>
                  <w:tcW w:w="691" w:type="pct"/>
                  <w:noWrap w:val="0"/>
                  <w:vAlign w:val="center"/>
                </w:tcPr>
                <w:p w14:paraId="1E90CC1A">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规模</w:t>
                  </w:r>
                </w:p>
              </w:tc>
              <w:tc>
                <w:tcPr>
                  <w:tcW w:w="640" w:type="pct"/>
                  <w:vMerge w:val="restart"/>
                  <w:noWrap w:val="0"/>
                  <w:vAlign w:val="center"/>
                </w:tcPr>
                <w:p w14:paraId="6453AAC9">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558" w:type="pct"/>
                  <w:vMerge w:val="restart"/>
                  <w:noWrap w:val="0"/>
                  <w:vAlign w:val="center"/>
                </w:tcPr>
                <w:p w14:paraId="3C2D29AD">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w:t>
                  </w:r>
                  <w:r>
                    <w:rPr>
                      <w:rFonts w:hint="eastAsia" w:ascii="Times New Roman" w:hAnsi="Times New Roman" w:eastAsia="宋体" w:cs="Times New Roman"/>
                      <w:b/>
                      <w:bCs/>
                      <w:color w:val="auto"/>
                      <w:sz w:val="21"/>
                      <w:szCs w:val="21"/>
                      <w:highlight w:val="none"/>
                      <w:lang w:val="en-US" w:eastAsia="zh-CN"/>
                    </w:rPr>
                    <w:t>厂界</w:t>
                  </w:r>
                  <w:r>
                    <w:rPr>
                      <w:rFonts w:hint="default" w:ascii="Times New Roman" w:hAnsi="Times New Roman" w:eastAsia="宋体" w:cs="Times New Roman"/>
                      <w:b/>
                      <w:bCs/>
                      <w:color w:val="auto"/>
                      <w:sz w:val="21"/>
                      <w:szCs w:val="21"/>
                      <w:highlight w:val="none"/>
                    </w:rPr>
                    <w:t>距离/m</w:t>
                  </w:r>
                </w:p>
              </w:tc>
            </w:tr>
            <w:tr w14:paraId="0769E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4" w:type="pct"/>
                  <w:vMerge w:val="continue"/>
                  <w:noWrap w:val="0"/>
                  <w:vAlign w:val="center"/>
                </w:tcPr>
                <w:p w14:paraId="4E4AD27F">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362" w:type="pct"/>
                  <w:vMerge w:val="continue"/>
                  <w:noWrap w:val="0"/>
                  <w:vAlign w:val="center"/>
                </w:tcPr>
                <w:p w14:paraId="5A997C17">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72" w:type="pct"/>
                  <w:noWrap w:val="0"/>
                  <w:vAlign w:val="center"/>
                </w:tcPr>
                <w:p w14:paraId="2C181286">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480" w:type="pct"/>
                  <w:noWrap w:val="0"/>
                  <w:vAlign w:val="center"/>
                </w:tcPr>
                <w:p w14:paraId="19F4577C">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429" w:type="pct"/>
                  <w:vMerge w:val="continue"/>
                  <w:noWrap w:val="0"/>
                  <w:vAlign w:val="center"/>
                </w:tcPr>
                <w:p w14:paraId="52D1E96C">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463" w:type="pct"/>
                  <w:vMerge w:val="continue"/>
                  <w:noWrap w:val="0"/>
                  <w:vAlign w:val="center"/>
                </w:tcPr>
                <w:p w14:paraId="34333E5D">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556" w:type="pct"/>
                  <w:vMerge w:val="continue"/>
                  <w:noWrap w:val="0"/>
                  <w:vAlign w:val="center"/>
                </w:tcPr>
                <w:p w14:paraId="2E94104C">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691" w:type="pct"/>
                  <w:noWrap w:val="0"/>
                  <w:vAlign w:val="center"/>
                </w:tcPr>
                <w:p w14:paraId="2C7165DB">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户数/人数</w:t>
                  </w:r>
                </w:p>
              </w:tc>
              <w:tc>
                <w:tcPr>
                  <w:tcW w:w="640" w:type="pct"/>
                  <w:vMerge w:val="continue"/>
                  <w:noWrap w:val="0"/>
                  <w:vAlign w:val="center"/>
                </w:tcPr>
                <w:p w14:paraId="3FF36E04">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558" w:type="pct"/>
                  <w:vMerge w:val="continue"/>
                  <w:noWrap w:val="0"/>
                  <w:vAlign w:val="center"/>
                </w:tcPr>
                <w:p w14:paraId="1B2ECB8F">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r>
            <w:tr w14:paraId="22263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4" w:type="pct"/>
                  <w:noWrap w:val="0"/>
                  <w:vAlign w:val="center"/>
                </w:tcPr>
                <w:p w14:paraId="5AF14A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w:t>
                  </w:r>
                </w:p>
              </w:tc>
              <w:tc>
                <w:tcPr>
                  <w:tcW w:w="629" w:type="dxa"/>
                  <w:noWrap w:val="0"/>
                  <w:vAlign w:val="center"/>
                </w:tcPr>
                <w:p w14:paraId="7A6C02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820" w:type="dxa"/>
                  <w:noWrap w:val="0"/>
                  <w:vAlign w:val="center"/>
                </w:tcPr>
                <w:p w14:paraId="4EF30D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837" w:type="dxa"/>
                  <w:noWrap w:val="0"/>
                  <w:vAlign w:val="center"/>
                </w:tcPr>
                <w:p w14:paraId="0D7682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746" w:type="dxa"/>
                  <w:noWrap w:val="0"/>
                  <w:vAlign w:val="center"/>
                </w:tcPr>
                <w:p w14:paraId="503996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805" w:type="dxa"/>
                  <w:noWrap w:val="0"/>
                  <w:vAlign w:val="center"/>
                </w:tcPr>
                <w:p w14:paraId="247604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967" w:type="dxa"/>
                  <w:noWrap w:val="0"/>
                  <w:vAlign w:val="center"/>
                </w:tcPr>
                <w:p w14:paraId="242D71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1202" w:type="dxa"/>
                  <w:noWrap w:val="0"/>
                  <w:vAlign w:val="center"/>
                </w:tcPr>
                <w:p w14:paraId="274A92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1113" w:type="dxa"/>
                  <w:noWrap w:val="0"/>
                  <w:vAlign w:val="center"/>
                </w:tcPr>
                <w:p w14:paraId="535EE3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c>
                <w:tcPr>
                  <w:tcW w:w="971" w:type="dxa"/>
                  <w:noWrap w:val="0"/>
                  <w:vAlign w:val="center"/>
                </w:tcPr>
                <w:p w14:paraId="7A3C7C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w:t>
                  </w:r>
                </w:p>
              </w:tc>
            </w:tr>
          </w:tbl>
          <w:p w14:paraId="574F7137">
            <w:pPr>
              <w:pStyle w:val="23"/>
              <w:keepNext w:val="0"/>
              <w:keepLines w:val="0"/>
              <w:suppressLineNumbers w:val="0"/>
              <w:autoSpaceDE w:val="0"/>
              <w:autoSpaceDN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水环境</w:t>
            </w:r>
          </w:p>
          <w:p w14:paraId="66E3E7FD">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项目周边水环境保护目标如下：</w:t>
            </w:r>
          </w:p>
          <w:p w14:paraId="41088BCB">
            <w:pPr>
              <w:keepNext w:val="0"/>
              <w:keepLines w:val="0"/>
              <w:numPr>
                <w:ilvl w:val="0"/>
                <w:numId w:val="0"/>
              </w:numPr>
              <w:suppressLineNumbers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表3-</w:t>
            </w: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color w:val="auto"/>
                <w:sz w:val="24"/>
                <w:highlight w:val="none"/>
              </w:rPr>
              <w:t>水环境保护目标一览表</w:t>
            </w:r>
          </w:p>
          <w:tbl>
            <w:tblPr>
              <w:tblStyle w:val="24"/>
              <w:tblW w:w="491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
              <w:gridCol w:w="3"/>
              <w:gridCol w:w="871"/>
              <w:gridCol w:w="1746"/>
              <w:gridCol w:w="489"/>
              <w:gridCol w:w="1008"/>
              <w:gridCol w:w="903"/>
              <w:gridCol w:w="434"/>
              <w:gridCol w:w="652"/>
              <w:gridCol w:w="1008"/>
              <w:gridCol w:w="903"/>
              <w:gridCol w:w="710"/>
            </w:tblGrid>
            <w:tr w14:paraId="40C2C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 w:type="pct"/>
                  <w:vMerge w:val="restart"/>
                  <w:tcMar>
                    <w:top w:w="0" w:type="dxa"/>
                    <w:left w:w="0" w:type="dxa"/>
                    <w:bottom w:w="0" w:type="dxa"/>
                    <w:right w:w="0" w:type="dxa"/>
                  </w:tcMar>
                  <w:vAlign w:val="center"/>
                </w:tcPr>
                <w:p w14:paraId="377317DF">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序号</w:t>
                  </w:r>
                </w:p>
              </w:tc>
              <w:tc>
                <w:tcPr>
                  <w:tcW w:w="538" w:type="pct"/>
                  <w:gridSpan w:val="2"/>
                  <w:vMerge w:val="restart"/>
                  <w:tcMar>
                    <w:top w:w="0" w:type="dxa"/>
                    <w:left w:w="0" w:type="dxa"/>
                    <w:bottom w:w="0" w:type="dxa"/>
                    <w:right w:w="0" w:type="dxa"/>
                  </w:tcMar>
                  <w:vAlign w:val="center"/>
                </w:tcPr>
                <w:p w14:paraId="377EFDA5">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保护</w:t>
                  </w:r>
                </w:p>
                <w:p w14:paraId="6EDFFE4B">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对象</w:t>
                  </w:r>
                </w:p>
              </w:tc>
              <w:tc>
                <w:tcPr>
                  <w:tcW w:w="998" w:type="pct"/>
                  <w:vMerge w:val="restart"/>
                  <w:tcMar>
                    <w:top w:w="0" w:type="dxa"/>
                    <w:left w:w="0" w:type="dxa"/>
                    <w:bottom w:w="0" w:type="dxa"/>
                    <w:right w:w="0" w:type="dxa"/>
                  </w:tcMar>
                  <w:vAlign w:val="center"/>
                </w:tcPr>
                <w:p w14:paraId="2753A895">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保护要求</w:t>
                  </w:r>
                </w:p>
              </w:tc>
              <w:tc>
                <w:tcPr>
                  <w:tcW w:w="1561" w:type="pct"/>
                  <w:gridSpan w:val="4"/>
                  <w:tcMar>
                    <w:top w:w="0" w:type="dxa"/>
                    <w:left w:w="0" w:type="dxa"/>
                    <w:bottom w:w="0" w:type="dxa"/>
                    <w:right w:w="0" w:type="dxa"/>
                  </w:tcMar>
                  <w:vAlign w:val="center"/>
                </w:tcPr>
                <w:p w14:paraId="73511CBA">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相对厂界</w:t>
                  </w:r>
                </w:p>
              </w:tc>
              <w:tc>
                <w:tcPr>
                  <w:tcW w:w="1342" w:type="pct"/>
                  <w:gridSpan w:val="3"/>
                  <w:tcMar>
                    <w:top w:w="0" w:type="dxa"/>
                    <w:left w:w="0" w:type="dxa"/>
                    <w:bottom w:w="0" w:type="dxa"/>
                    <w:right w:w="0" w:type="dxa"/>
                  </w:tcMar>
                  <w:vAlign w:val="center"/>
                </w:tcPr>
                <w:p w14:paraId="400FCC1A">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相对排放口</w:t>
                  </w:r>
                </w:p>
              </w:tc>
              <w:tc>
                <w:tcPr>
                  <w:tcW w:w="419" w:type="pct"/>
                  <w:vMerge w:val="restart"/>
                  <w:tcMar>
                    <w:top w:w="0" w:type="dxa"/>
                    <w:left w:w="0" w:type="dxa"/>
                    <w:bottom w:w="0" w:type="dxa"/>
                    <w:right w:w="0" w:type="dxa"/>
                  </w:tcMar>
                  <w:vAlign w:val="center"/>
                </w:tcPr>
                <w:p w14:paraId="5E98F876">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与本项目的水力联系</w:t>
                  </w:r>
                </w:p>
              </w:tc>
            </w:tr>
            <w:tr w14:paraId="39888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 w:type="pct"/>
                  <w:vMerge w:val="continue"/>
                  <w:tcMar>
                    <w:top w:w="0" w:type="dxa"/>
                    <w:left w:w="0" w:type="dxa"/>
                    <w:bottom w:w="0" w:type="dxa"/>
                    <w:right w:w="0" w:type="dxa"/>
                  </w:tcMar>
                  <w:vAlign w:val="center"/>
                </w:tcPr>
                <w:p w14:paraId="4A71C14E">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p>
              </w:tc>
              <w:tc>
                <w:tcPr>
                  <w:tcW w:w="538" w:type="pct"/>
                  <w:gridSpan w:val="2"/>
                  <w:vMerge w:val="continue"/>
                  <w:tcMar>
                    <w:top w:w="0" w:type="dxa"/>
                    <w:left w:w="0" w:type="dxa"/>
                    <w:bottom w:w="0" w:type="dxa"/>
                    <w:right w:w="0" w:type="dxa"/>
                  </w:tcMar>
                  <w:vAlign w:val="center"/>
                </w:tcPr>
                <w:p w14:paraId="469EA9A2">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p>
              </w:tc>
              <w:tc>
                <w:tcPr>
                  <w:tcW w:w="998" w:type="pct"/>
                  <w:vMerge w:val="continue"/>
                  <w:tcMar>
                    <w:top w:w="0" w:type="dxa"/>
                    <w:left w:w="0" w:type="dxa"/>
                    <w:bottom w:w="0" w:type="dxa"/>
                    <w:right w:w="0" w:type="dxa"/>
                  </w:tcMar>
                  <w:vAlign w:val="center"/>
                </w:tcPr>
                <w:p w14:paraId="71636666">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highlight w:val="none"/>
                    </w:rPr>
                  </w:pPr>
                </w:p>
              </w:tc>
              <w:tc>
                <w:tcPr>
                  <w:tcW w:w="220" w:type="pct"/>
                  <w:vMerge w:val="restart"/>
                  <w:tcMar>
                    <w:top w:w="0" w:type="dxa"/>
                    <w:left w:w="0" w:type="dxa"/>
                    <w:bottom w:w="0" w:type="dxa"/>
                    <w:right w:w="0" w:type="dxa"/>
                  </w:tcMar>
                  <w:vAlign w:val="center"/>
                </w:tcPr>
                <w:p w14:paraId="4397F3CF">
                  <w:pPr>
                    <w:pStyle w:val="18"/>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距离</w:t>
                  </w:r>
                </w:p>
              </w:tc>
              <w:tc>
                <w:tcPr>
                  <w:tcW w:w="1058" w:type="pct"/>
                  <w:gridSpan w:val="2"/>
                  <w:tcMar>
                    <w:top w:w="0" w:type="dxa"/>
                    <w:left w:w="0" w:type="dxa"/>
                    <w:bottom w:w="0" w:type="dxa"/>
                    <w:right w:w="0" w:type="dxa"/>
                  </w:tcMar>
                  <w:vAlign w:val="center"/>
                </w:tcPr>
                <w:p w14:paraId="0E4A7701">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经纬度坐标</w:t>
                  </w:r>
                </w:p>
              </w:tc>
              <w:tc>
                <w:tcPr>
                  <w:tcW w:w="283" w:type="pct"/>
                  <w:vMerge w:val="restart"/>
                  <w:tcMar>
                    <w:top w:w="0" w:type="dxa"/>
                    <w:left w:w="0" w:type="dxa"/>
                    <w:bottom w:w="0" w:type="dxa"/>
                    <w:right w:w="0" w:type="dxa"/>
                  </w:tcMar>
                  <w:vAlign w:val="center"/>
                </w:tcPr>
                <w:p w14:paraId="5B9B3E2E">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高差</w:t>
                  </w:r>
                </w:p>
              </w:tc>
              <w:tc>
                <w:tcPr>
                  <w:tcW w:w="387" w:type="pct"/>
                  <w:vMerge w:val="restart"/>
                  <w:tcMar>
                    <w:top w:w="0" w:type="dxa"/>
                    <w:left w:w="0" w:type="dxa"/>
                    <w:bottom w:w="0" w:type="dxa"/>
                    <w:right w:w="0" w:type="dxa"/>
                  </w:tcMar>
                  <w:vAlign w:val="center"/>
                </w:tcPr>
                <w:p w14:paraId="738E9069">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距离</w:t>
                  </w:r>
                </w:p>
              </w:tc>
              <w:tc>
                <w:tcPr>
                  <w:tcW w:w="954" w:type="pct"/>
                  <w:gridSpan w:val="2"/>
                  <w:tcMar>
                    <w:top w:w="0" w:type="dxa"/>
                    <w:left w:w="0" w:type="dxa"/>
                    <w:bottom w:w="0" w:type="dxa"/>
                    <w:right w:w="0" w:type="dxa"/>
                  </w:tcMar>
                  <w:vAlign w:val="center"/>
                </w:tcPr>
                <w:p w14:paraId="5D50C825">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经纬度坐标</w:t>
                  </w:r>
                </w:p>
              </w:tc>
              <w:tc>
                <w:tcPr>
                  <w:tcW w:w="419" w:type="pct"/>
                  <w:vMerge w:val="continue"/>
                  <w:tcMar>
                    <w:top w:w="0" w:type="dxa"/>
                    <w:left w:w="0" w:type="dxa"/>
                    <w:bottom w:w="0" w:type="dxa"/>
                    <w:right w:w="0" w:type="dxa"/>
                  </w:tcMar>
                  <w:vAlign w:val="center"/>
                </w:tcPr>
                <w:p w14:paraId="5E9D09DC">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p>
              </w:tc>
            </w:tr>
            <w:tr w14:paraId="0E5A2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 w:type="pct"/>
                  <w:vMerge w:val="continue"/>
                  <w:tcMar>
                    <w:top w:w="0" w:type="dxa"/>
                    <w:left w:w="0" w:type="dxa"/>
                    <w:bottom w:w="0" w:type="dxa"/>
                    <w:right w:w="0" w:type="dxa"/>
                  </w:tcMar>
                  <w:vAlign w:val="center"/>
                </w:tcPr>
                <w:p w14:paraId="4E00F12D">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p>
              </w:tc>
              <w:tc>
                <w:tcPr>
                  <w:tcW w:w="538" w:type="pct"/>
                  <w:gridSpan w:val="2"/>
                  <w:vMerge w:val="continue"/>
                  <w:tcMar>
                    <w:top w:w="0" w:type="dxa"/>
                    <w:left w:w="0" w:type="dxa"/>
                    <w:bottom w:w="0" w:type="dxa"/>
                    <w:right w:w="0" w:type="dxa"/>
                  </w:tcMar>
                  <w:vAlign w:val="center"/>
                </w:tcPr>
                <w:p w14:paraId="44DF29D1">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p>
              </w:tc>
              <w:tc>
                <w:tcPr>
                  <w:tcW w:w="998" w:type="pct"/>
                  <w:vMerge w:val="continue"/>
                  <w:tcMar>
                    <w:top w:w="0" w:type="dxa"/>
                    <w:left w:w="0" w:type="dxa"/>
                    <w:bottom w:w="0" w:type="dxa"/>
                    <w:right w:w="0" w:type="dxa"/>
                  </w:tcMar>
                  <w:vAlign w:val="center"/>
                </w:tcPr>
                <w:p w14:paraId="5E4508AA">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p>
              </w:tc>
              <w:tc>
                <w:tcPr>
                  <w:tcW w:w="220" w:type="pct"/>
                  <w:vMerge w:val="continue"/>
                  <w:tcMar>
                    <w:top w:w="0" w:type="dxa"/>
                    <w:left w:w="0" w:type="dxa"/>
                    <w:bottom w:w="0" w:type="dxa"/>
                    <w:right w:w="0" w:type="dxa"/>
                  </w:tcMar>
                  <w:vAlign w:val="center"/>
                </w:tcPr>
                <w:p w14:paraId="0BDC42D5">
                  <w:pPr>
                    <w:pStyle w:val="18"/>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550" w:type="pct"/>
                  <w:tcMar>
                    <w:top w:w="0" w:type="dxa"/>
                    <w:left w:w="0" w:type="dxa"/>
                    <w:bottom w:w="0" w:type="dxa"/>
                    <w:right w:w="0" w:type="dxa"/>
                  </w:tcMar>
                  <w:vAlign w:val="center"/>
                </w:tcPr>
                <w:p w14:paraId="761D39DF">
                  <w:pPr>
                    <w:pStyle w:val="18"/>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507" w:type="pct"/>
                  <w:tcMar>
                    <w:top w:w="0" w:type="dxa"/>
                    <w:left w:w="0" w:type="dxa"/>
                    <w:bottom w:w="0" w:type="dxa"/>
                    <w:right w:w="0" w:type="dxa"/>
                  </w:tcMar>
                  <w:vAlign w:val="center"/>
                </w:tcPr>
                <w:p w14:paraId="21F0F16D">
                  <w:pPr>
                    <w:pStyle w:val="18"/>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283" w:type="pct"/>
                  <w:vMerge w:val="continue"/>
                  <w:tcMar>
                    <w:top w:w="0" w:type="dxa"/>
                    <w:left w:w="0" w:type="dxa"/>
                    <w:bottom w:w="0" w:type="dxa"/>
                    <w:right w:w="0" w:type="dxa"/>
                  </w:tcMar>
                  <w:vAlign w:val="center"/>
                </w:tcPr>
                <w:p w14:paraId="764625B4">
                  <w:pPr>
                    <w:pStyle w:val="18"/>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387" w:type="pct"/>
                  <w:vMerge w:val="continue"/>
                  <w:tcMar>
                    <w:top w:w="0" w:type="dxa"/>
                    <w:left w:w="0" w:type="dxa"/>
                    <w:bottom w:w="0" w:type="dxa"/>
                    <w:right w:w="0" w:type="dxa"/>
                  </w:tcMar>
                  <w:vAlign w:val="center"/>
                </w:tcPr>
                <w:p w14:paraId="2AD7E7F1">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p>
              </w:tc>
              <w:tc>
                <w:tcPr>
                  <w:tcW w:w="501" w:type="pct"/>
                  <w:tcMar>
                    <w:top w:w="0" w:type="dxa"/>
                    <w:left w:w="0" w:type="dxa"/>
                    <w:bottom w:w="0" w:type="dxa"/>
                    <w:right w:w="0" w:type="dxa"/>
                  </w:tcMar>
                  <w:vAlign w:val="center"/>
                </w:tcPr>
                <w:p w14:paraId="762FB21B">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X</w:t>
                  </w:r>
                </w:p>
              </w:tc>
              <w:tc>
                <w:tcPr>
                  <w:tcW w:w="452" w:type="pct"/>
                  <w:tcMar>
                    <w:top w:w="0" w:type="dxa"/>
                    <w:left w:w="0" w:type="dxa"/>
                    <w:bottom w:w="0" w:type="dxa"/>
                    <w:right w:w="0" w:type="dxa"/>
                  </w:tcMar>
                  <w:vAlign w:val="center"/>
                </w:tcPr>
                <w:p w14:paraId="7D48452A">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Y</w:t>
                  </w:r>
                </w:p>
              </w:tc>
              <w:tc>
                <w:tcPr>
                  <w:tcW w:w="419" w:type="pct"/>
                  <w:vMerge w:val="continue"/>
                  <w:tcMar>
                    <w:top w:w="0" w:type="dxa"/>
                    <w:left w:w="0" w:type="dxa"/>
                    <w:bottom w:w="0" w:type="dxa"/>
                    <w:right w:w="0" w:type="dxa"/>
                  </w:tcMar>
                  <w:vAlign w:val="center"/>
                </w:tcPr>
                <w:p w14:paraId="0D85604E">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p>
              </w:tc>
            </w:tr>
            <w:tr w14:paraId="46FB6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 w:type="pct"/>
                  <w:tcMar>
                    <w:top w:w="0" w:type="dxa"/>
                    <w:left w:w="0" w:type="dxa"/>
                    <w:bottom w:w="0" w:type="dxa"/>
                    <w:right w:w="0" w:type="dxa"/>
                  </w:tcMar>
                  <w:vAlign w:val="center"/>
                </w:tcPr>
                <w:p w14:paraId="3440D359">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538" w:type="pct"/>
                  <w:gridSpan w:val="2"/>
                  <w:tcMar>
                    <w:top w:w="0" w:type="dxa"/>
                    <w:left w:w="0" w:type="dxa"/>
                    <w:bottom w:w="0" w:type="dxa"/>
                    <w:right w:w="0" w:type="dxa"/>
                  </w:tcMar>
                  <w:vAlign w:val="center"/>
                </w:tcPr>
                <w:p w14:paraId="0554470E">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京杭运河</w:t>
                  </w:r>
                </w:p>
              </w:tc>
              <w:tc>
                <w:tcPr>
                  <w:tcW w:w="998" w:type="pct"/>
                  <w:tcMar>
                    <w:top w:w="0" w:type="dxa"/>
                    <w:left w:w="0" w:type="dxa"/>
                    <w:bottom w:w="0" w:type="dxa"/>
                    <w:right w:w="0" w:type="dxa"/>
                  </w:tcMar>
                  <w:vAlign w:val="center"/>
                </w:tcPr>
                <w:p w14:paraId="635EE611">
                  <w:pPr>
                    <w:keepNext w:val="0"/>
                    <w:keepLines w:val="0"/>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《地表水环境质量标准》（GB3838-2002）中的</w:t>
                  </w:r>
                  <w:r>
                    <w:rPr>
                      <w:rFonts w:hint="eastAsia" w:ascii="宋体" w:hAnsi="宋体" w:eastAsia="宋体" w:cs="宋体"/>
                      <w:color w:val="auto"/>
                      <w:szCs w:val="21"/>
                      <w:highlight w:val="none"/>
                    </w:rPr>
                    <w:t>Ⅲ</w:t>
                  </w:r>
                  <w:r>
                    <w:rPr>
                      <w:rFonts w:hint="default" w:ascii="Times New Roman" w:hAnsi="Times New Roman" w:eastAsia="宋体" w:cs="Times New Roman"/>
                      <w:color w:val="auto"/>
                      <w:szCs w:val="21"/>
                      <w:highlight w:val="none"/>
                      <w:shd w:val="clear" w:color="auto" w:fill="FFFFFF"/>
                    </w:rPr>
                    <w:t>类</w:t>
                  </w:r>
                </w:p>
              </w:tc>
              <w:tc>
                <w:tcPr>
                  <w:tcW w:w="220" w:type="pct"/>
                  <w:tcMar>
                    <w:top w:w="0" w:type="dxa"/>
                    <w:left w:w="0" w:type="dxa"/>
                    <w:bottom w:w="0" w:type="dxa"/>
                    <w:right w:w="0" w:type="dxa"/>
                  </w:tcMar>
                  <w:vAlign w:val="center"/>
                </w:tcPr>
                <w:p w14:paraId="06D0E886">
                  <w:pPr>
                    <w:pStyle w:val="18"/>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765</w:t>
                  </w:r>
                  <w:r>
                    <w:rPr>
                      <w:rFonts w:hint="default" w:ascii="Times New Roman" w:hAnsi="Times New Roman" w:eastAsia="宋体" w:cs="Times New Roman"/>
                      <w:color w:val="auto"/>
                      <w:sz w:val="21"/>
                      <w:szCs w:val="21"/>
                      <w:highlight w:val="none"/>
                    </w:rPr>
                    <w:t>m</w:t>
                  </w:r>
                </w:p>
              </w:tc>
              <w:tc>
                <w:tcPr>
                  <w:tcW w:w="550" w:type="pct"/>
                  <w:tcMar>
                    <w:top w:w="0" w:type="dxa"/>
                    <w:left w:w="0" w:type="dxa"/>
                    <w:bottom w:w="0" w:type="dxa"/>
                    <w:right w:w="0" w:type="dxa"/>
                  </w:tcMar>
                  <w:vAlign w:val="center"/>
                </w:tcPr>
                <w:p w14:paraId="7067B71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120.361716</w:t>
                  </w:r>
                </w:p>
              </w:tc>
              <w:tc>
                <w:tcPr>
                  <w:tcW w:w="507" w:type="pct"/>
                  <w:tcMar>
                    <w:top w:w="0" w:type="dxa"/>
                    <w:left w:w="0" w:type="dxa"/>
                    <w:bottom w:w="0" w:type="dxa"/>
                    <w:right w:w="0" w:type="dxa"/>
                  </w:tcMar>
                  <w:vAlign w:val="center"/>
                </w:tcPr>
                <w:p w14:paraId="2F7E32E8">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31.51120</w:t>
                  </w:r>
                  <w:r>
                    <w:rPr>
                      <w:rFonts w:hint="default" w:ascii="Times New Roman" w:hAnsi="Times New Roman" w:eastAsia="宋体" w:cs="Times New Roman"/>
                      <w:color w:val="auto"/>
                      <w:highlight w:val="none"/>
                      <w:lang w:val="en-US" w:eastAsia="zh-CN"/>
                    </w:rPr>
                    <w:t>2</w:t>
                  </w:r>
                </w:p>
              </w:tc>
              <w:tc>
                <w:tcPr>
                  <w:tcW w:w="283" w:type="pct"/>
                  <w:tcMar>
                    <w:top w:w="0" w:type="dxa"/>
                    <w:left w:w="0" w:type="dxa"/>
                    <w:bottom w:w="0" w:type="dxa"/>
                    <w:right w:w="0" w:type="dxa"/>
                  </w:tcMar>
                  <w:vAlign w:val="center"/>
                </w:tcPr>
                <w:p w14:paraId="79CBAC49">
                  <w:pPr>
                    <w:pStyle w:val="18"/>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387" w:type="pct"/>
                  <w:tcMar>
                    <w:top w:w="0" w:type="dxa"/>
                    <w:left w:w="0" w:type="dxa"/>
                    <w:bottom w:w="0" w:type="dxa"/>
                    <w:right w:w="0" w:type="dxa"/>
                  </w:tcMar>
                  <w:vAlign w:val="center"/>
                </w:tcPr>
                <w:p w14:paraId="130D22AF">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900</w:t>
                  </w:r>
                  <w:r>
                    <w:rPr>
                      <w:rFonts w:hint="default" w:ascii="Times New Roman" w:hAnsi="Times New Roman" w:eastAsia="宋体" w:cs="Times New Roman"/>
                      <w:color w:val="auto"/>
                      <w:szCs w:val="21"/>
                      <w:highlight w:val="none"/>
                    </w:rPr>
                    <w:t>m</w:t>
                  </w:r>
                </w:p>
              </w:tc>
              <w:tc>
                <w:tcPr>
                  <w:tcW w:w="501" w:type="pct"/>
                  <w:tcMar>
                    <w:top w:w="0" w:type="dxa"/>
                    <w:left w:w="0" w:type="dxa"/>
                    <w:bottom w:w="0" w:type="dxa"/>
                    <w:right w:w="0" w:type="dxa"/>
                  </w:tcMar>
                  <w:vAlign w:val="center"/>
                </w:tcPr>
                <w:p w14:paraId="0622D05D">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120.360737</w:t>
                  </w:r>
                </w:p>
              </w:tc>
              <w:tc>
                <w:tcPr>
                  <w:tcW w:w="452" w:type="pct"/>
                  <w:tcMar>
                    <w:top w:w="0" w:type="dxa"/>
                    <w:left w:w="0" w:type="dxa"/>
                    <w:bottom w:w="0" w:type="dxa"/>
                    <w:right w:w="0" w:type="dxa"/>
                  </w:tcMar>
                  <w:vAlign w:val="center"/>
                </w:tcPr>
                <w:p w14:paraId="0FA7B37F">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31.512103</w:t>
                  </w:r>
                </w:p>
              </w:tc>
              <w:tc>
                <w:tcPr>
                  <w:tcW w:w="419" w:type="pct"/>
                  <w:tcMar>
                    <w:top w:w="0" w:type="dxa"/>
                    <w:left w:w="0" w:type="dxa"/>
                    <w:bottom w:w="0" w:type="dxa"/>
                    <w:right w:w="0" w:type="dxa"/>
                  </w:tcMar>
                  <w:vAlign w:val="center"/>
                </w:tcPr>
                <w:p w14:paraId="37D54C3B">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纳污河流</w:t>
                  </w:r>
                </w:p>
              </w:tc>
            </w:tr>
            <w:tr w14:paraId="3DE51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 w:type="pct"/>
                  <w:gridSpan w:val="2"/>
                  <w:tcMar>
                    <w:top w:w="0" w:type="dxa"/>
                    <w:left w:w="0" w:type="dxa"/>
                    <w:bottom w:w="0" w:type="dxa"/>
                    <w:right w:w="0" w:type="dxa"/>
                  </w:tcMar>
                  <w:vAlign w:val="center"/>
                </w:tcPr>
                <w:p w14:paraId="6EC0C7B4">
                  <w:pPr>
                    <w:pStyle w:val="40"/>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531" w:type="pct"/>
                  <w:tcMar>
                    <w:top w:w="0" w:type="dxa"/>
                    <w:left w:w="0" w:type="dxa"/>
                    <w:bottom w:w="0" w:type="dxa"/>
                    <w:right w:w="0" w:type="dxa"/>
                  </w:tcMar>
                  <w:vAlign w:val="center"/>
                </w:tcPr>
                <w:p w14:paraId="2960A538">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兴源河</w:t>
                  </w:r>
                </w:p>
              </w:tc>
              <w:tc>
                <w:tcPr>
                  <w:tcW w:w="998" w:type="pct"/>
                  <w:tcMar>
                    <w:top w:w="0" w:type="dxa"/>
                    <w:left w:w="0" w:type="dxa"/>
                    <w:bottom w:w="0" w:type="dxa"/>
                    <w:right w:w="0" w:type="dxa"/>
                  </w:tcMar>
                  <w:vAlign w:val="center"/>
                </w:tcPr>
                <w:p w14:paraId="221DEB87">
                  <w:pPr>
                    <w:keepNext w:val="0"/>
                    <w:keepLines w:val="0"/>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《地表水环境质量标准》（GB3838-2002）中的</w:t>
                  </w:r>
                  <w:r>
                    <w:rPr>
                      <w:rFonts w:hint="eastAsia" w:ascii="宋体" w:hAnsi="宋体" w:eastAsia="宋体" w:cs="宋体"/>
                      <w:color w:val="auto"/>
                      <w:szCs w:val="21"/>
                      <w:highlight w:val="none"/>
                    </w:rPr>
                    <w:t>Ⅲ</w:t>
                  </w:r>
                  <w:r>
                    <w:rPr>
                      <w:rFonts w:hint="default" w:ascii="Times New Roman" w:hAnsi="Times New Roman" w:eastAsia="宋体" w:cs="Times New Roman"/>
                      <w:color w:val="auto"/>
                      <w:szCs w:val="21"/>
                      <w:highlight w:val="none"/>
                      <w:shd w:val="clear" w:color="auto" w:fill="FFFFFF"/>
                    </w:rPr>
                    <w:t>类</w:t>
                  </w:r>
                </w:p>
              </w:tc>
              <w:tc>
                <w:tcPr>
                  <w:tcW w:w="220" w:type="pct"/>
                  <w:tcMar>
                    <w:top w:w="0" w:type="dxa"/>
                    <w:left w:w="0" w:type="dxa"/>
                    <w:bottom w:w="0" w:type="dxa"/>
                    <w:right w:w="0" w:type="dxa"/>
                  </w:tcMar>
                  <w:vAlign w:val="center"/>
                </w:tcPr>
                <w:p w14:paraId="2A8F5DAD">
                  <w:pPr>
                    <w:pStyle w:val="18"/>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80m</w:t>
                  </w:r>
                </w:p>
              </w:tc>
              <w:tc>
                <w:tcPr>
                  <w:tcW w:w="550" w:type="pct"/>
                  <w:tcMar>
                    <w:top w:w="0" w:type="dxa"/>
                    <w:left w:w="0" w:type="dxa"/>
                    <w:bottom w:w="0" w:type="dxa"/>
                    <w:right w:w="0" w:type="dxa"/>
                  </w:tcMar>
                  <w:vAlign w:val="center"/>
                </w:tcPr>
                <w:p w14:paraId="07AA0326">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120.356077</w:t>
                  </w:r>
                </w:p>
              </w:tc>
              <w:tc>
                <w:tcPr>
                  <w:tcW w:w="507" w:type="pct"/>
                  <w:tcMar>
                    <w:top w:w="0" w:type="dxa"/>
                    <w:left w:w="0" w:type="dxa"/>
                    <w:bottom w:w="0" w:type="dxa"/>
                    <w:right w:w="0" w:type="dxa"/>
                  </w:tcMar>
                  <w:vAlign w:val="center"/>
                </w:tcPr>
                <w:p w14:paraId="51547F85">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31.507307</w:t>
                  </w:r>
                </w:p>
              </w:tc>
              <w:tc>
                <w:tcPr>
                  <w:tcW w:w="283" w:type="pct"/>
                  <w:tcMar>
                    <w:top w:w="0" w:type="dxa"/>
                    <w:left w:w="0" w:type="dxa"/>
                    <w:bottom w:w="0" w:type="dxa"/>
                    <w:right w:w="0" w:type="dxa"/>
                  </w:tcMar>
                  <w:vAlign w:val="center"/>
                </w:tcPr>
                <w:p w14:paraId="79EE40AD">
                  <w:pPr>
                    <w:pStyle w:val="18"/>
                    <w:keepNext w:val="0"/>
                    <w:keepLines w:val="0"/>
                    <w:pageBreakBefore w:val="0"/>
                    <w:suppressLineNumbers w:val="0"/>
                    <w:kinsoku/>
                    <w:overflowPunct/>
                    <w:topLinePunct w:val="0"/>
                    <w:autoSpaceDE/>
                    <w:autoSpaceDN/>
                    <w:bidi w:val="0"/>
                    <w:snapToGrid w:val="0"/>
                    <w:spacing w:before="0" w:beforeAutospacing="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387" w:type="pct"/>
                  <w:tcMar>
                    <w:top w:w="0" w:type="dxa"/>
                    <w:left w:w="0" w:type="dxa"/>
                    <w:bottom w:w="0" w:type="dxa"/>
                    <w:right w:w="0" w:type="dxa"/>
                  </w:tcMar>
                  <w:vAlign w:val="center"/>
                </w:tcPr>
                <w:p w14:paraId="58576177">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220m</w:t>
                  </w:r>
                </w:p>
              </w:tc>
              <w:tc>
                <w:tcPr>
                  <w:tcW w:w="501" w:type="pct"/>
                  <w:tcMar>
                    <w:top w:w="0" w:type="dxa"/>
                    <w:left w:w="0" w:type="dxa"/>
                    <w:bottom w:w="0" w:type="dxa"/>
                    <w:right w:w="0" w:type="dxa"/>
                  </w:tcMar>
                  <w:vAlign w:val="center"/>
                </w:tcPr>
                <w:p w14:paraId="69CC7198">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120.355247</w:t>
                  </w:r>
                </w:p>
              </w:tc>
              <w:tc>
                <w:tcPr>
                  <w:tcW w:w="452" w:type="pct"/>
                  <w:tcMar>
                    <w:top w:w="0" w:type="dxa"/>
                    <w:left w:w="0" w:type="dxa"/>
                    <w:bottom w:w="0" w:type="dxa"/>
                    <w:right w:w="0" w:type="dxa"/>
                  </w:tcMar>
                  <w:vAlign w:val="center"/>
                </w:tcPr>
                <w:p w14:paraId="61ACE38D">
                  <w:pPr>
                    <w:keepNext w:val="0"/>
                    <w:keepLines w:val="0"/>
                    <w:pageBreakBefore w:val="0"/>
                    <w:suppressLineNumbers w:val="0"/>
                    <w:kinsoku/>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31.508169</w:t>
                  </w:r>
                </w:p>
              </w:tc>
              <w:tc>
                <w:tcPr>
                  <w:tcW w:w="419" w:type="pct"/>
                  <w:tcMar>
                    <w:top w:w="0" w:type="dxa"/>
                    <w:left w:w="0" w:type="dxa"/>
                    <w:bottom w:w="0" w:type="dxa"/>
                    <w:right w:w="0" w:type="dxa"/>
                  </w:tcMar>
                  <w:vAlign w:val="center"/>
                </w:tcPr>
                <w:p w14:paraId="58319886">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附近</w:t>
                  </w:r>
                </w:p>
                <w:p w14:paraId="0110D0A0">
                  <w:pPr>
                    <w:keepNext w:val="0"/>
                    <w:keepLines w:val="0"/>
                    <w:pageBreakBefore w:val="0"/>
                    <w:suppressLineNumbers w:val="0"/>
                    <w:kinsoku/>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河流</w:t>
                  </w:r>
                </w:p>
              </w:tc>
            </w:tr>
          </w:tbl>
          <w:p w14:paraId="495D8C33">
            <w:pPr>
              <w:pStyle w:val="9"/>
              <w:keepNext w:val="0"/>
              <w:keepLines w:val="0"/>
              <w:numPr>
                <w:ilvl w:val="0"/>
                <w:numId w:val="0"/>
              </w:numPr>
              <w:suppressLineNumbers w:val="0"/>
              <w:snapToGrid w:val="0"/>
              <w:spacing w:before="159" w:beforeLines="50" w:beforeAutospacing="0" w:after="0" w:afterAutospacing="0" w:line="360" w:lineRule="auto"/>
              <w:ind w:left="0" w:right="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声环境</w:t>
            </w:r>
          </w:p>
          <w:p w14:paraId="2DBC1278">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建设项目位于</w:t>
            </w:r>
            <w:r>
              <w:rPr>
                <w:rFonts w:hint="default" w:ascii="Times New Roman" w:hAnsi="Times New Roman" w:eastAsia="宋体" w:cs="Times New Roman"/>
                <w:snapToGrid w:val="0"/>
                <w:color w:val="auto"/>
                <w:sz w:val="24"/>
                <w:szCs w:val="24"/>
                <w:highlight w:val="none"/>
              </w:rPr>
              <w:t>江苏省无锡市</w:t>
            </w:r>
            <w:r>
              <w:rPr>
                <w:rFonts w:hint="eastAsia" w:ascii="Times New Roman" w:hAnsi="Times New Roman" w:eastAsia="宋体" w:cs="Times New Roman"/>
                <w:snapToGrid w:val="0"/>
                <w:color w:val="auto"/>
                <w:sz w:val="24"/>
                <w:szCs w:val="24"/>
                <w:highlight w:val="none"/>
                <w:lang w:val="en-US" w:eastAsia="zh-CN"/>
              </w:rPr>
              <w:t>新吴区观山路36号</w:t>
            </w:r>
            <w:r>
              <w:rPr>
                <w:rFonts w:hint="default" w:ascii="Times New Roman" w:hAnsi="Times New Roman" w:eastAsia="宋体" w:cs="Times New Roman"/>
                <w:color w:val="auto"/>
                <w:sz w:val="24"/>
                <w:szCs w:val="24"/>
                <w:highlight w:val="none"/>
              </w:rPr>
              <w:t>，项目周边50米范围内无声环境敏感目标。</w:t>
            </w:r>
          </w:p>
          <w:p w14:paraId="232E087A">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地下水环境</w:t>
            </w:r>
          </w:p>
          <w:p w14:paraId="7490EECE">
            <w:pPr>
              <w:pStyle w:val="23"/>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olor w:val="auto"/>
                <w:sz w:val="24"/>
                <w:highlight w:val="none"/>
              </w:rPr>
              <w:t>本项目厂界外 500 米范围内无地下水集中式饮用水水源和热水、矿泉水、温泉等特殊地下水资源。</w:t>
            </w:r>
          </w:p>
          <w:p w14:paraId="142C2E23">
            <w:pPr>
              <w:pStyle w:val="9"/>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生态环境</w:t>
            </w:r>
          </w:p>
          <w:p w14:paraId="2A604C7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本项目位于无锡（太湖）国际科技园，且不新增用地，项目用地范围内不涉及生态环境保护目标。</w:t>
            </w:r>
          </w:p>
          <w:p w14:paraId="3D86B41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 w:val="0"/>
                <w:bCs/>
                <w:color w:val="auto"/>
                <w:sz w:val="24"/>
                <w:highlight w:val="none"/>
                <w:lang w:val="en-US" w:eastAsia="zh-CN"/>
              </w:rPr>
            </w:pPr>
          </w:p>
          <w:p w14:paraId="5750539A">
            <w:pPr>
              <w:keepNext w:val="0"/>
              <w:keepLines w:val="0"/>
              <w:numPr>
                <w:ilvl w:val="0"/>
                <w:numId w:val="0"/>
              </w:numPr>
              <w:suppressLineNumbers w:val="0"/>
              <w:snapToGrid w:val="0"/>
              <w:spacing w:before="0" w:beforeAutospacing="0" w:after="0" w:afterAutospacing="0"/>
              <w:ind w:left="0" w:leftChars="0" w:right="0"/>
              <w:jc w:val="both"/>
              <w:rPr>
                <w:rFonts w:hint="default" w:ascii="Times New Roman" w:hAnsi="Times New Roman" w:eastAsia="宋体" w:cs="Times New Roman"/>
                <w:b/>
                <w:color w:val="auto"/>
                <w:sz w:val="24"/>
                <w:highlight w:val="none"/>
              </w:rPr>
            </w:pPr>
          </w:p>
          <w:p w14:paraId="0E363323">
            <w:pPr>
              <w:pStyle w:val="23"/>
              <w:keepNext w:val="0"/>
              <w:keepLines w:val="0"/>
              <w:suppressLineNumbers w:val="0"/>
              <w:autoSpaceDE w:val="0"/>
              <w:autoSpaceDN w:val="0"/>
              <w:adjustRightInd w:val="0"/>
              <w:snapToGrid w:val="0"/>
              <w:spacing w:before="0" w:beforeAutospacing="0" w:after="0" w:afterAutospacing="0" w:line="360" w:lineRule="auto"/>
              <w:ind w:left="0" w:leftChars="0" w:right="0" w:rightChars="0"/>
              <w:jc w:val="both"/>
              <w:rPr>
                <w:rFonts w:hint="default" w:ascii="Times New Roman" w:hAnsi="Times New Roman" w:eastAsia="宋体" w:cs="Times New Roman"/>
                <w:color w:val="auto"/>
                <w:highlight w:val="none"/>
              </w:rPr>
            </w:pPr>
          </w:p>
          <w:p w14:paraId="2B32E65C">
            <w:pPr>
              <w:pStyle w:val="23"/>
              <w:keepNext w:val="0"/>
              <w:keepLines w:val="0"/>
              <w:suppressLineNumbers w:val="0"/>
              <w:autoSpaceDE w:val="0"/>
              <w:autoSpaceDN w:val="0"/>
              <w:adjustRightInd w:val="0"/>
              <w:snapToGrid w:val="0"/>
              <w:spacing w:before="0" w:beforeAutospacing="0" w:after="0" w:afterAutospacing="0" w:line="360" w:lineRule="auto"/>
              <w:ind w:left="0" w:leftChars="0" w:right="0" w:rightChars="0"/>
              <w:jc w:val="both"/>
              <w:rPr>
                <w:rFonts w:hint="default" w:ascii="Times New Roman" w:hAnsi="Times New Roman" w:eastAsia="宋体" w:cs="Times New Roman"/>
                <w:color w:val="auto"/>
                <w:highlight w:val="none"/>
              </w:rPr>
            </w:pPr>
          </w:p>
          <w:p w14:paraId="1CC1D451">
            <w:pPr>
              <w:pStyle w:val="23"/>
              <w:keepNext w:val="0"/>
              <w:keepLines w:val="0"/>
              <w:suppressLineNumbers w:val="0"/>
              <w:autoSpaceDE w:val="0"/>
              <w:autoSpaceDN w:val="0"/>
              <w:adjustRightInd w:val="0"/>
              <w:snapToGrid w:val="0"/>
              <w:spacing w:before="0" w:beforeAutospacing="0" w:after="0" w:afterAutospacing="0" w:line="360" w:lineRule="auto"/>
              <w:ind w:left="0" w:leftChars="0" w:right="0" w:rightChars="0"/>
              <w:jc w:val="both"/>
              <w:rPr>
                <w:rFonts w:hint="default" w:ascii="Times New Roman" w:hAnsi="Times New Roman" w:eastAsia="宋体" w:cs="Times New Roman"/>
                <w:color w:val="auto"/>
                <w:highlight w:val="none"/>
              </w:rPr>
            </w:pPr>
          </w:p>
          <w:p w14:paraId="2275DEEB">
            <w:pPr>
              <w:pStyle w:val="23"/>
              <w:keepNext w:val="0"/>
              <w:keepLines w:val="0"/>
              <w:suppressLineNumbers w:val="0"/>
              <w:autoSpaceDE w:val="0"/>
              <w:autoSpaceDN w:val="0"/>
              <w:adjustRightInd w:val="0"/>
              <w:snapToGrid w:val="0"/>
              <w:spacing w:before="0" w:beforeAutospacing="0" w:after="0" w:afterAutospacing="0" w:line="360" w:lineRule="auto"/>
              <w:ind w:left="0" w:leftChars="0" w:right="0" w:rightChars="0"/>
              <w:jc w:val="both"/>
              <w:rPr>
                <w:rFonts w:hint="default" w:ascii="Times New Roman" w:hAnsi="Times New Roman" w:eastAsia="宋体" w:cs="Times New Roman"/>
                <w:color w:val="auto"/>
                <w:highlight w:val="none"/>
              </w:rPr>
            </w:pPr>
          </w:p>
        </w:tc>
      </w:tr>
      <w:tr w14:paraId="1966F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5" w:hRule="atLeast"/>
          <w:jc w:val="center"/>
        </w:trPr>
        <w:tc>
          <w:tcPr>
            <w:tcW w:w="468" w:type="dxa"/>
            <w:tcMar>
              <w:left w:w="28" w:type="dxa"/>
              <w:right w:w="28" w:type="dxa"/>
            </w:tcMar>
            <w:vAlign w:val="center"/>
          </w:tcPr>
          <w:p w14:paraId="640533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污染</w:t>
            </w:r>
          </w:p>
          <w:p w14:paraId="3B78C8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物排</w:t>
            </w:r>
          </w:p>
          <w:p w14:paraId="3AA982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放控</w:t>
            </w:r>
          </w:p>
          <w:p w14:paraId="3787CC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0"/>
                <w:sz w:val="24"/>
                <w:highlight w:val="none"/>
              </w:rPr>
            </w:pPr>
            <w:r>
              <w:rPr>
                <w:rFonts w:hint="default" w:ascii="Times New Roman" w:hAnsi="Times New Roman" w:eastAsia="宋体"/>
                <w:color w:val="auto"/>
                <w:kern w:val="0"/>
                <w:sz w:val="24"/>
                <w:highlight w:val="none"/>
              </w:rPr>
              <w:t>制标</w:t>
            </w:r>
          </w:p>
          <w:p w14:paraId="745275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olor w:val="auto"/>
                <w:kern w:val="0"/>
                <w:szCs w:val="21"/>
                <w:highlight w:val="none"/>
              </w:rPr>
            </w:pPr>
            <w:r>
              <w:rPr>
                <w:rFonts w:hint="default" w:ascii="Times New Roman" w:hAnsi="Times New Roman" w:eastAsia="宋体"/>
                <w:color w:val="auto"/>
                <w:kern w:val="0"/>
                <w:sz w:val="24"/>
                <w:highlight w:val="none"/>
              </w:rPr>
              <w:t>准</w:t>
            </w:r>
          </w:p>
        </w:tc>
        <w:tc>
          <w:tcPr>
            <w:tcW w:w="9227" w:type="dxa"/>
            <w:vAlign w:val="center"/>
          </w:tcPr>
          <w:p w14:paraId="6D03E414">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一、环境质量标准</w:t>
            </w:r>
          </w:p>
          <w:p w14:paraId="376838C9">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b/>
                <w:bCs/>
                <w:color w:val="auto"/>
                <w:sz w:val="24"/>
                <w:highlight w:val="none"/>
              </w:rPr>
            </w:pPr>
            <w:r>
              <w:rPr>
                <w:rFonts w:hint="default" w:ascii="Times New Roman" w:hAnsi="Times New Roman" w:eastAsia="宋体"/>
                <w:b/>
                <w:bCs/>
                <w:color w:val="auto"/>
                <w:sz w:val="24"/>
                <w:highlight w:val="none"/>
              </w:rPr>
              <w:t>1、大气环境质量标准</w:t>
            </w:r>
          </w:p>
          <w:p w14:paraId="0476DB2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olor w:val="auto"/>
                <w:sz w:val="24"/>
                <w:highlight w:val="none"/>
              </w:rPr>
            </w:pPr>
            <w:r>
              <w:rPr>
                <w:rFonts w:hint="default" w:ascii="Times New Roman" w:hAnsi="Times New Roman" w:eastAsia="宋体"/>
                <w:snapToGrid w:val="0"/>
                <w:color w:val="auto"/>
                <w:kern w:val="0"/>
                <w:sz w:val="24"/>
                <w:highlight w:val="none"/>
              </w:rPr>
              <w:t>根据《市政府办公室关于转发市环保局无锡市环境空气质量功能区划的通知》（锡政办</w:t>
            </w:r>
            <w:r>
              <w:rPr>
                <w:rFonts w:hint="eastAsia" w:ascii="Times New Roman" w:hAnsi="Times New Roman" w:eastAsia="宋体"/>
                <w:snapToGrid w:val="0"/>
                <w:color w:val="auto"/>
                <w:kern w:val="0"/>
                <w:sz w:val="24"/>
                <w:highlight w:val="none"/>
                <w:lang w:eastAsia="zh-CN"/>
              </w:rPr>
              <w:t>〔2011〕300号</w:t>
            </w:r>
            <w:r>
              <w:rPr>
                <w:rFonts w:hint="default" w:ascii="Times New Roman" w:hAnsi="Times New Roman" w:eastAsia="宋体"/>
                <w:snapToGrid w:val="0"/>
                <w:color w:val="auto"/>
                <w:kern w:val="0"/>
                <w:sz w:val="24"/>
                <w:highlight w:val="none"/>
              </w:rPr>
              <w:t>），</w:t>
            </w:r>
            <w:r>
              <w:rPr>
                <w:rFonts w:hint="default" w:ascii="Times New Roman" w:hAnsi="Times New Roman" w:eastAsia="宋体"/>
                <w:color w:val="auto"/>
                <w:sz w:val="24"/>
                <w:highlight w:val="none"/>
              </w:rPr>
              <w:t>本项目所在地空气质量功能区为二类区。SO</w:t>
            </w:r>
            <w:r>
              <w:rPr>
                <w:rFonts w:hint="default" w:ascii="Times New Roman" w:hAnsi="Times New Roman" w:eastAsia="宋体"/>
                <w:color w:val="auto"/>
                <w:sz w:val="24"/>
                <w:highlight w:val="none"/>
                <w:vertAlign w:val="subscript"/>
              </w:rPr>
              <w:t>2</w:t>
            </w:r>
            <w:r>
              <w:rPr>
                <w:rFonts w:hint="default" w:ascii="Times New Roman" w:hAnsi="Times New Roman" w:eastAsia="宋体"/>
                <w:color w:val="auto"/>
                <w:sz w:val="24"/>
                <w:highlight w:val="none"/>
              </w:rPr>
              <w:t>、NO</w:t>
            </w:r>
            <w:r>
              <w:rPr>
                <w:rFonts w:hint="default" w:ascii="Times New Roman" w:hAnsi="Times New Roman" w:eastAsia="宋体"/>
                <w:color w:val="auto"/>
                <w:sz w:val="24"/>
                <w:highlight w:val="none"/>
                <w:vertAlign w:val="subscript"/>
              </w:rPr>
              <w:t>2</w:t>
            </w:r>
            <w:r>
              <w:rPr>
                <w:rFonts w:hint="default" w:ascii="Times New Roman" w:hAnsi="Times New Roman" w:eastAsia="宋体"/>
                <w:color w:val="auto"/>
                <w:sz w:val="24"/>
                <w:highlight w:val="none"/>
              </w:rPr>
              <w:t>、PM</w:t>
            </w:r>
            <w:r>
              <w:rPr>
                <w:rFonts w:hint="default" w:ascii="Times New Roman" w:hAnsi="Times New Roman" w:eastAsia="宋体"/>
                <w:color w:val="auto"/>
                <w:sz w:val="24"/>
                <w:highlight w:val="none"/>
                <w:vertAlign w:val="subscript"/>
              </w:rPr>
              <w:t>10</w:t>
            </w:r>
            <w:r>
              <w:rPr>
                <w:rFonts w:hint="default" w:ascii="Times New Roman" w:hAnsi="Times New Roman" w:eastAsia="宋体"/>
                <w:color w:val="auto"/>
                <w:sz w:val="24"/>
                <w:highlight w:val="none"/>
              </w:rPr>
              <w:t>、PM</w:t>
            </w:r>
            <w:r>
              <w:rPr>
                <w:rFonts w:hint="default" w:ascii="Times New Roman" w:hAnsi="Times New Roman" w:eastAsia="宋体"/>
                <w:color w:val="auto"/>
                <w:sz w:val="24"/>
                <w:highlight w:val="none"/>
                <w:vertAlign w:val="subscript"/>
              </w:rPr>
              <w:t>2.5</w:t>
            </w:r>
            <w:r>
              <w:rPr>
                <w:rFonts w:hint="default" w:ascii="Times New Roman" w:hAnsi="Times New Roman" w:eastAsia="宋体"/>
                <w:color w:val="auto"/>
                <w:sz w:val="24"/>
                <w:highlight w:val="none"/>
              </w:rPr>
              <w:t>、O</w:t>
            </w:r>
            <w:r>
              <w:rPr>
                <w:rFonts w:hint="default" w:ascii="Times New Roman" w:hAnsi="Times New Roman" w:eastAsia="宋体"/>
                <w:color w:val="auto"/>
                <w:sz w:val="24"/>
                <w:highlight w:val="none"/>
                <w:vertAlign w:val="subscript"/>
              </w:rPr>
              <w:t>3</w:t>
            </w:r>
            <w:r>
              <w:rPr>
                <w:rFonts w:hint="default" w:ascii="Times New Roman" w:hAnsi="Times New Roman" w:eastAsia="宋体"/>
                <w:color w:val="auto"/>
                <w:sz w:val="24"/>
                <w:highlight w:val="none"/>
              </w:rPr>
              <w:t>、CO执行《环境空气质量标准》（GB3095-2012）中二级标准</w:t>
            </w:r>
            <w:r>
              <w:rPr>
                <w:rFonts w:hint="eastAsia" w:ascii="Times New Roman" w:hAnsi="Times New Roman" w:eastAsia="宋体"/>
                <w:color w:val="auto"/>
                <w:sz w:val="24"/>
                <w:highlight w:val="none"/>
                <w:lang w:eastAsia="zh-CN"/>
              </w:rPr>
              <w:t>；</w:t>
            </w:r>
            <w:r>
              <w:rPr>
                <w:rFonts w:hint="default" w:ascii="Times New Roman" w:hAnsi="Times New Roman" w:eastAsia="宋体" w:cs="Times New Roman"/>
                <w:color w:val="auto"/>
                <w:sz w:val="24"/>
                <w:szCs w:val="24"/>
                <w:highlight w:val="none"/>
              </w:rPr>
              <w:t>非甲烷总烃执行《大气污染物综合排放标准详解》中的推荐值</w:t>
            </w:r>
            <w:r>
              <w:rPr>
                <w:rFonts w:hint="default" w:ascii="Times New Roman" w:hAnsi="Times New Roman" w:eastAsia="宋体"/>
                <w:color w:val="auto"/>
                <w:sz w:val="24"/>
                <w:highlight w:val="none"/>
              </w:rPr>
              <w:t>。具体数值见</w:t>
            </w:r>
            <w:r>
              <w:rPr>
                <w:rFonts w:hint="eastAsia" w:ascii="Times New Roman" w:hAnsi="Times New Roman" w:eastAsia="宋体"/>
                <w:color w:val="auto"/>
                <w:sz w:val="24"/>
                <w:highlight w:val="none"/>
                <w:lang w:eastAsia="zh-CN"/>
              </w:rPr>
              <w:t>下表</w:t>
            </w:r>
            <w:r>
              <w:rPr>
                <w:rFonts w:hint="default" w:ascii="Times New Roman" w:hAnsi="Times New Roman" w:eastAsia="宋体"/>
                <w:color w:val="auto"/>
                <w:sz w:val="24"/>
                <w:highlight w:val="none"/>
              </w:rPr>
              <w:t>。</w:t>
            </w:r>
          </w:p>
          <w:p w14:paraId="556CAD23">
            <w:pPr>
              <w:pStyle w:val="9"/>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highlight w:val="none"/>
              </w:rPr>
            </w:pPr>
            <w:r>
              <w:rPr>
                <w:rFonts w:hint="default" w:ascii="Times New Roman" w:hAnsi="Times New Roman" w:eastAsia="宋体" w:cs="Times New Roman"/>
                <w:b/>
                <w:bCs/>
                <w:color w:val="auto"/>
                <w:kern w:val="0"/>
                <w:sz w:val="24"/>
                <w:szCs w:val="20"/>
                <w:highlight w:val="none"/>
                <w:lang w:val="en-US" w:eastAsia="zh-CN" w:bidi="ar-SA"/>
              </w:rPr>
              <w:t>表3-</w:t>
            </w:r>
            <w:r>
              <w:rPr>
                <w:rFonts w:hint="eastAsia" w:cs="Times New Roman"/>
                <w:b/>
                <w:bCs/>
                <w:color w:val="auto"/>
                <w:kern w:val="0"/>
                <w:sz w:val="24"/>
                <w:szCs w:val="20"/>
                <w:highlight w:val="none"/>
                <w:lang w:val="en-US" w:eastAsia="zh-CN" w:bidi="ar-SA"/>
              </w:rPr>
              <w:t>5</w:t>
            </w:r>
            <w:r>
              <w:rPr>
                <w:rFonts w:hint="eastAsia" w:ascii="Times New Roman" w:hAnsi="Times New Roman" w:eastAsia="宋体" w:cs="Times New Roman"/>
                <w:b/>
                <w:bCs/>
                <w:color w:val="auto"/>
                <w:kern w:val="0"/>
                <w:sz w:val="24"/>
                <w:szCs w:val="20"/>
                <w:highlight w:val="none"/>
                <w:lang w:val="en-US" w:eastAsia="zh-CN" w:bidi="ar-SA"/>
              </w:rPr>
              <w:t xml:space="preserve">  </w:t>
            </w:r>
            <w:r>
              <w:rPr>
                <w:rFonts w:hint="eastAsia" w:ascii="Times New Roman" w:hAnsi="Times New Roman" w:eastAsia="宋体"/>
                <w:b/>
                <w:bCs/>
                <w:color w:val="auto"/>
                <w:highlight w:val="none"/>
              </w:rPr>
              <w:t>环境空气质量标准</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1999"/>
              <w:gridCol w:w="1271"/>
              <w:gridCol w:w="1180"/>
              <w:gridCol w:w="3142"/>
            </w:tblGrid>
            <w:tr w14:paraId="40750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noWrap w:val="0"/>
                  <w:vAlign w:val="center"/>
                </w:tcPr>
                <w:p w14:paraId="2D2871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污染物名称</w:t>
                  </w:r>
                </w:p>
              </w:tc>
              <w:tc>
                <w:tcPr>
                  <w:tcW w:w="1099" w:type="pct"/>
                  <w:noWrap w:val="0"/>
                  <w:vAlign w:val="center"/>
                </w:tcPr>
                <w:p w14:paraId="67DE81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取值标准</w:t>
                  </w:r>
                </w:p>
              </w:tc>
              <w:tc>
                <w:tcPr>
                  <w:tcW w:w="699" w:type="pct"/>
                  <w:noWrap w:val="0"/>
                  <w:vAlign w:val="center"/>
                </w:tcPr>
                <w:p w14:paraId="59CFAD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浓度限值</w:t>
                  </w:r>
                </w:p>
              </w:tc>
              <w:tc>
                <w:tcPr>
                  <w:tcW w:w="649" w:type="pct"/>
                  <w:noWrap w:val="0"/>
                  <w:vAlign w:val="center"/>
                </w:tcPr>
                <w:p w14:paraId="7527ED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单位</w:t>
                  </w:r>
                </w:p>
              </w:tc>
              <w:tc>
                <w:tcPr>
                  <w:tcW w:w="1727" w:type="pct"/>
                  <w:noWrap w:val="0"/>
                  <w:vAlign w:val="center"/>
                </w:tcPr>
                <w:p w14:paraId="352220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标准来源</w:t>
                  </w:r>
                </w:p>
              </w:tc>
            </w:tr>
            <w:tr w14:paraId="20B51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restart"/>
                  <w:noWrap w:val="0"/>
                  <w:vAlign w:val="center"/>
                </w:tcPr>
                <w:p w14:paraId="3916FC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SO</w:t>
                  </w:r>
                  <w:r>
                    <w:rPr>
                      <w:rFonts w:hint="default" w:ascii="Times New Roman" w:hAnsi="Times New Roman" w:eastAsia="宋体"/>
                      <w:color w:val="auto"/>
                      <w:szCs w:val="21"/>
                      <w:highlight w:val="none"/>
                      <w:vertAlign w:val="subscript"/>
                    </w:rPr>
                    <w:t>2</w:t>
                  </w:r>
                </w:p>
              </w:tc>
              <w:tc>
                <w:tcPr>
                  <w:tcW w:w="1099" w:type="pct"/>
                  <w:noWrap w:val="0"/>
                  <w:vAlign w:val="center"/>
                </w:tcPr>
                <w:p w14:paraId="16948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年平均</w:t>
                  </w:r>
                </w:p>
              </w:tc>
              <w:tc>
                <w:tcPr>
                  <w:tcW w:w="699" w:type="pct"/>
                  <w:noWrap w:val="0"/>
                  <w:vAlign w:val="center"/>
                </w:tcPr>
                <w:p w14:paraId="6848FAF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60</w:t>
                  </w:r>
                </w:p>
              </w:tc>
              <w:tc>
                <w:tcPr>
                  <w:tcW w:w="649" w:type="pct"/>
                  <w:vMerge w:val="restart"/>
                  <w:noWrap w:val="0"/>
                  <w:vAlign w:val="center"/>
                </w:tcPr>
                <w:p w14:paraId="316EB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μg/Nm</w:t>
                  </w:r>
                  <w:r>
                    <w:rPr>
                      <w:rFonts w:hint="default" w:ascii="Times New Roman" w:hAnsi="Times New Roman" w:eastAsia="宋体"/>
                      <w:color w:val="auto"/>
                      <w:szCs w:val="21"/>
                      <w:highlight w:val="none"/>
                      <w:vertAlign w:val="superscript"/>
                    </w:rPr>
                    <w:t>3</w:t>
                  </w:r>
                </w:p>
              </w:tc>
              <w:tc>
                <w:tcPr>
                  <w:tcW w:w="1727" w:type="pct"/>
                  <w:vMerge w:val="restart"/>
                  <w:noWrap w:val="0"/>
                  <w:vAlign w:val="center"/>
                </w:tcPr>
                <w:p w14:paraId="56DFA6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《环境空气质量标准》（GB3095-2012）</w:t>
                  </w:r>
                </w:p>
              </w:tc>
            </w:tr>
            <w:tr w14:paraId="58631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continue"/>
                  <w:noWrap w:val="0"/>
                  <w:vAlign w:val="center"/>
                </w:tcPr>
                <w:p w14:paraId="7F9512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099" w:type="pct"/>
                  <w:noWrap w:val="0"/>
                  <w:vAlign w:val="center"/>
                </w:tcPr>
                <w:p w14:paraId="1E6EB0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24小时平均</w:t>
                  </w:r>
                </w:p>
              </w:tc>
              <w:tc>
                <w:tcPr>
                  <w:tcW w:w="699" w:type="pct"/>
                  <w:noWrap w:val="0"/>
                  <w:vAlign w:val="center"/>
                </w:tcPr>
                <w:p w14:paraId="12F3FF8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150</w:t>
                  </w:r>
                </w:p>
              </w:tc>
              <w:tc>
                <w:tcPr>
                  <w:tcW w:w="649" w:type="pct"/>
                  <w:vMerge w:val="continue"/>
                  <w:noWrap w:val="0"/>
                  <w:vAlign w:val="center"/>
                </w:tcPr>
                <w:p w14:paraId="550A16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522406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310EB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continue"/>
                  <w:noWrap w:val="0"/>
                  <w:vAlign w:val="center"/>
                </w:tcPr>
                <w:p w14:paraId="0C73B5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099" w:type="pct"/>
                  <w:noWrap w:val="0"/>
                  <w:vAlign w:val="center"/>
                </w:tcPr>
                <w:p w14:paraId="6D8257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1小时平均</w:t>
                  </w:r>
                </w:p>
              </w:tc>
              <w:tc>
                <w:tcPr>
                  <w:tcW w:w="699" w:type="pct"/>
                  <w:noWrap w:val="0"/>
                  <w:vAlign w:val="center"/>
                </w:tcPr>
                <w:p w14:paraId="46D36D8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500</w:t>
                  </w:r>
                </w:p>
              </w:tc>
              <w:tc>
                <w:tcPr>
                  <w:tcW w:w="649" w:type="pct"/>
                  <w:vMerge w:val="continue"/>
                  <w:noWrap w:val="0"/>
                  <w:vAlign w:val="center"/>
                </w:tcPr>
                <w:p w14:paraId="797944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0617A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6C43E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restart"/>
                  <w:noWrap w:val="0"/>
                  <w:vAlign w:val="center"/>
                </w:tcPr>
                <w:p w14:paraId="34D9EF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NO</w:t>
                  </w:r>
                  <w:r>
                    <w:rPr>
                      <w:rFonts w:hint="default" w:ascii="Times New Roman" w:hAnsi="Times New Roman" w:eastAsia="宋体"/>
                      <w:color w:val="auto"/>
                      <w:szCs w:val="21"/>
                      <w:highlight w:val="none"/>
                      <w:vertAlign w:val="subscript"/>
                    </w:rPr>
                    <w:t>2</w:t>
                  </w:r>
                </w:p>
              </w:tc>
              <w:tc>
                <w:tcPr>
                  <w:tcW w:w="1099" w:type="pct"/>
                  <w:noWrap w:val="0"/>
                  <w:vAlign w:val="center"/>
                </w:tcPr>
                <w:p w14:paraId="54679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年平均</w:t>
                  </w:r>
                </w:p>
              </w:tc>
              <w:tc>
                <w:tcPr>
                  <w:tcW w:w="699" w:type="pct"/>
                  <w:noWrap w:val="0"/>
                  <w:vAlign w:val="center"/>
                </w:tcPr>
                <w:p w14:paraId="7C53506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40</w:t>
                  </w:r>
                </w:p>
              </w:tc>
              <w:tc>
                <w:tcPr>
                  <w:tcW w:w="649" w:type="pct"/>
                  <w:vMerge w:val="continue"/>
                  <w:noWrap w:val="0"/>
                  <w:vAlign w:val="center"/>
                </w:tcPr>
                <w:p w14:paraId="1D3E06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345BAE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487F3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823" w:type="pct"/>
                  <w:vMerge w:val="continue"/>
                  <w:noWrap w:val="0"/>
                  <w:vAlign w:val="center"/>
                </w:tcPr>
                <w:p w14:paraId="4A232D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099" w:type="pct"/>
                  <w:noWrap w:val="0"/>
                  <w:vAlign w:val="center"/>
                </w:tcPr>
                <w:p w14:paraId="335B07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24小时平均</w:t>
                  </w:r>
                </w:p>
              </w:tc>
              <w:tc>
                <w:tcPr>
                  <w:tcW w:w="699" w:type="pct"/>
                  <w:noWrap w:val="0"/>
                  <w:vAlign w:val="center"/>
                </w:tcPr>
                <w:p w14:paraId="7AE4A80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80</w:t>
                  </w:r>
                </w:p>
              </w:tc>
              <w:tc>
                <w:tcPr>
                  <w:tcW w:w="649" w:type="pct"/>
                  <w:vMerge w:val="continue"/>
                  <w:noWrap w:val="0"/>
                  <w:vAlign w:val="center"/>
                </w:tcPr>
                <w:p w14:paraId="49BE00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3B545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1D23F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continue"/>
                  <w:noWrap w:val="0"/>
                  <w:vAlign w:val="center"/>
                </w:tcPr>
                <w:p w14:paraId="3920AA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099" w:type="pct"/>
                  <w:noWrap w:val="0"/>
                  <w:vAlign w:val="center"/>
                </w:tcPr>
                <w:p w14:paraId="252288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1小时平均</w:t>
                  </w:r>
                </w:p>
              </w:tc>
              <w:tc>
                <w:tcPr>
                  <w:tcW w:w="699" w:type="pct"/>
                  <w:noWrap w:val="0"/>
                  <w:vAlign w:val="center"/>
                </w:tcPr>
                <w:p w14:paraId="33DA9F6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200</w:t>
                  </w:r>
                </w:p>
              </w:tc>
              <w:tc>
                <w:tcPr>
                  <w:tcW w:w="649" w:type="pct"/>
                  <w:vMerge w:val="continue"/>
                  <w:noWrap w:val="0"/>
                  <w:vAlign w:val="center"/>
                </w:tcPr>
                <w:p w14:paraId="02D2D2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3659A7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1FAD4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restart"/>
                  <w:noWrap w:val="0"/>
                  <w:vAlign w:val="center"/>
                </w:tcPr>
                <w:p w14:paraId="2C9FB7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PM</w:t>
                  </w:r>
                  <w:r>
                    <w:rPr>
                      <w:rFonts w:hint="default" w:ascii="Times New Roman" w:hAnsi="Times New Roman" w:eastAsia="宋体"/>
                      <w:color w:val="auto"/>
                      <w:szCs w:val="21"/>
                      <w:highlight w:val="none"/>
                      <w:vertAlign w:val="subscript"/>
                    </w:rPr>
                    <w:t>10</w:t>
                  </w:r>
                </w:p>
              </w:tc>
              <w:tc>
                <w:tcPr>
                  <w:tcW w:w="1099" w:type="pct"/>
                  <w:noWrap w:val="0"/>
                  <w:vAlign w:val="center"/>
                </w:tcPr>
                <w:p w14:paraId="700769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年平均</w:t>
                  </w:r>
                </w:p>
              </w:tc>
              <w:tc>
                <w:tcPr>
                  <w:tcW w:w="699" w:type="pct"/>
                  <w:noWrap w:val="0"/>
                  <w:vAlign w:val="center"/>
                </w:tcPr>
                <w:p w14:paraId="6ECE0BA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70</w:t>
                  </w:r>
                </w:p>
              </w:tc>
              <w:tc>
                <w:tcPr>
                  <w:tcW w:w="649" w:type="pct"/>
                  <w:vMerge w:val="continue"/>
                  <w:noWrap w:val="0"/>
                  <w:vAlign w:val="center"/>
                </w:tcPr>
                <w:p w14:paraId="50DE9C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08FD62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0E106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continue"/>
                  <w:noWrap w:val="0"/>
                  <w:vAlign w:val="center"/>
                </w:tcPr>
                <w:p w14:paraId="7591F4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099" w:type="pct"/>
                  <w:noWrap w:val="0"/>
                  <w:vAlign w:val="center"/>
                </w:tcPr>
                <w:p w14:paraId="1835A5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24小时平均</w:t>
                  </w:r>
                </w:p>
              </w:tc>
              <w:tc>
                <w:tcPr>
                  <w:tcW w:w="699" w:type="pct"/>
                  <w:noWrap w:val="0"/>
                  <w:vAlign w:val="center"/>
                </w:tcPr>
                <w:p w14:paraId="7983A9B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150</w:t>
                  </w:r>
                </w:p>
              </w:tc>
              <w:tc>
                <w:tcPr>
                  <w:tcW w:w="649" w:type="pct"/>
                  <w:vMerge w:val="continue"/>
                  <w:noWrap w:val="0"/>
                  <w:vAlign w:val="center"/>
                </w:tcPr>
                <w:p w14:paraId="1415FC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26D9EF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65FED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continue"/>
                  <w:noWrap w:val="0"/>
                  <w:vAlign w:val="center"/>
                </w:tcPr>
                <w:p w14:paraId="7C6A3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099" w:type="pct"/>
                  <w:noWrap w:val="0"/>
                  <w:vAlign w:val="center"/>
                </w:tcPr>
                <w:p w14:paraId="29C1B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1小时平均</w:t>
                  </w:r>
                  <w:r>
                    <w:rPr>
                      <w:rFonts w:hint="eastAsia" w:ascii="Times New Roman" w:hAnsi="Times New Roman" w:eastAsia="宋体"/>
                      <w:color w:val="auto"/>
                      <w:szCs w:val="21"/>
                      <w:highlight w:val="none"/>
                      <w:lang w:val="en-US" w:eastAsia="zh-CN"/>
                    </w:rPr>
                    <w:t>*</w:t>
                  </w:r>
                </w:p>
              </w:tc>
              <w:tc>
                <w:tcPr>
                  <w:tcW w:w="699" w:type="pct"/>
                  <w:noWrap w:val="0"/>
                  <w:vAlign w:val="center"/>
                </w:tcPr>
                <w:p w14:paraId="1578179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450</w:t>
                  </w:r>
                </w:p>
              </w:tc>
              <w:tc>
                <w:tcPr>
                  <w:tcW w:w="649" w:type="pct"/>
                  <w:vMerge w:val="continue"/>
                  <w:noWrap w:val="0"/>
                  <w:vAlign w:val="center"/>
                </w:tcPr>
                <w:p w14:paraId="53750A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7A9E13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40F04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823" w:type="pct"/>
                  <w:vMerge w:val="restart"/>
                  <w:noWrap w:val="0"/>
                  <w:vAlign w:val="center"/>
                </w:tcPr>
                <w:p w14:paraId="23C28C31">
                  <w:pPr>
                    <w:pStyle w:val="41"/>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PM</w:t>
                  </w:r>
                  <w:r>
                    <w:rPr>
                      <w:rFonts w:hint="default" w:ascii="Times New Roman" w:hAnsi="Times New Roman" w:eastAsia="宋体"/>
                      <w:color w:val="auto"/>
                      <w:szCs w:val="21"/>
                      <w:highlight w:val="none"/>
                      <w:vertAlign w:val="subscript"/>
                    </w:rPr>
                    <w:t>2.5</w:t>
                  </w:r>
                </w:p>
              </w:tc>
              <w:tc>
                <w:tcPr>
                  <w:tcW w:w="1099" w:type="pct"/>
                  <w:noWrap w:val="0"/>
                  <w:vAlign w:val="center"/>
                </w:tcPr>
                <w:p w14:paraId="10B39A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bCs/>
                      <w:color w:val="auto"/>
                      <w:kern w:val="0"/>
                      <w:szCs w:val="21"/>
                      <w:highlight w:val="none"/>
                    </w:rPr>
                    <w:t>年平均</w:t>
                  </w:r>
                </w:p>
              </w:tc>
              <w:tc>
                <w:tcPr>
                  <w:tcW w:w="699" w:type="pct"/>
                  <w:noWrap w:val="0"/>
                  <w:vAlign w:val="center"/>
                </w:tcPr>
                <w:p w14:paraId="6E31F69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bCs/>
                      <w:color w:val="auto"/>
                      <w:szCs w:val="21"/>
                      <w:highlight w:val="none"/>
                    </w:rPr>
                    <w:t>35</w:t>
                  </w:r>
                </w:p>
              </w:tc>
              <w:tc>
                <w:tcPr>
                  <w:tcW w:w="649" w:type="pct"/>
                  <w:vMerge w:val="continue"/>
                  <w:noWrap w:val="0"/>
                  <w:vAlign w:val="center"/>
                </w:tcPr>
                <w:p w14:paraId="02404E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1D4F96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423E1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continue"/>
                  <w:noWrap w:val="0"/>
                  <w:vAlign w:val="center"/>
                </w:tcPr>
                <w:p w14:paraId="3E8944D4">
                  <w:pPr>
                    <w:pStyle w:val="41"/>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hAnsi="Times New Roman" w:eastAsia="宋体"/>
                      <w:color w:val="auto"/>
                      <w:szCs w:val="21"/>
                      <w:highlight w:val="none"/>
                    </w:rPr>
                  </w:pPr>
                </w:p>
              </w:tc>
              <w:tc>
                <w:tcPr>
                  <w:tcW w:w="1099" w:type="pct"/>
                  <w:noWrap w:val="0"/>
                  <w:vAlign w:val="center"/>
                </w:tcPr>
                <w:p w14:paraId="21827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bCs/>
                      <w:color w:val="auto"/>
                      <w:kern w:val="0"/>
                      <w:szCs w:val="21"/>
                      <w:highlight w:val="none"/>
                    </w:rPr>
                    <w:t>24小时平均</w:t>
                  </w:r>
                </w:p>
              </w:tc>
              <w:tc>
                <w:tcPr>
                  <w:tcW w:w="699" w:type="pct"/>
                  <w:noWrap w:val="0"/>
                  <w:vAlign w:val="center"/>
                </w:tcPr>
                <w:p w14:paraId="10F58B4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bCs/>
                      <w:color w:val="auto"/>
                      <w:szCs w:val="21"/>
                      <w:highlight w:val="none"/>
                    </w:rPr>
                    <w:t>75</w:t>
                  </w:r>
                </w:p>
              </w:tc>
              <w:tc>
                <w:tcPr>
                  <w:tcW w:w="649" w:type="pct"/>
                  <w:vMerge w:val="continue"/>
                  <w:noWrap w:val="0"/>
                  <w:vAlign w:val="center"/>
                </w:tcPr>
                <w:p w14:paraId="550366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0551D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272C4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restart"/>
                  <w:noWrap w:val="0"/>
                  <w:vAlign w:val="center"/>
                </w:tcPr>
                <w:p w14:paraId="17576E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bCs/>
                      <w:color w:val="auto"/>
                      <w:szCs w:val="21"/>
                      <w:highlight w:val="none"/>
                    </w:rPr>
                    <w:t>O</w:t>
                  </w:r>
                  <w:r>
                    <w:rPr>
                      <w:rFonts w:hint="default" w:ascii="Times New Roman" w:hAnsi="Times New Roman" w:eastAsia="宋体"/>
                      <w:bCs/>
                      <w:color w:val="auto"/>
                      <w:szCs w:val="21"/>
                      <w:highlight w:val="none"/>
                      <w:vertAlign w:val="subscript"/>
                    </w:rPr>
                    <w:t>3</w:t>
                  </w:r>
                </w:p>
              </w:tc>
              <w:tc>
                <w:tcPr>
                  <w:tcW w:w="1099" w:type="pct"/>
                  <w:noWrap w:val="0"/>
                  <w:vAlign w:val="center"/>
                </w:tcPr>
                <w:p w14:paraId="52EF68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bCs/>
                      <w:color w:val="auto"/>
                      <w:kern w:val="0"/>
                      <w:szCs w:val="21"/>
                      <w:highlight w:val="none"/>
                    </w:rPr>
                    <w:t>日最大8小时平均</w:t>
                  </w:r>
                </w:p>
              </w:tc>
              <w:tc>
                <w:tcPr>
                  <w:tcW w:w="699" w:type="pct"/>
                  <w:noWrap w:val="0"/>
                  <w:vAlign w:val="center"/>
                </w:tcPr>
                <w:p w14:paraId="3877C88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160</w:t>
                  </w:r>
                </w:p>
              </w:tc>
              <w:tc>
                <w:tcPr>
                  <w:tcW w:w="649" w:type="pct"/>
                  <w:vMerge w:val="continue"/>
                  <w:noWrap w:val="0"/>
                  <w:vAlign w:val="center"/>
                </w:tcPr>
                <w:p w14:paraId="6EF204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526B1C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15765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continue"/>
                  <w:noWrap w:val="0"/>
                  <w:vAlign w:val="center"/>
                </w:tcPr>
                <w:p w14:paraId="2B0EFA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Cs/>
                      <w:color w:val="auto"/>
                      <w:szCs w:val="21"/>
                      <w:highlight w:val="none"/>
                    </w:rPr>
                  </w:pPr>
                </w:p>
              </w:tc>
              <w:tc>
                <w:tcPr>
                  <w:tcW w:w="1099" w:type="pct"/>
                  <w:noWrap w:val="0"/>
                  <w:vAlign w:val="center"/>
                </w:tcPr>
                <w:p w14:paraId="6B5761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Cs/>
                      <w:color w:val="auto"/>
                      <w:kern w:val="0"/>
                      <w:szCs w:val="21"/>
                      <w:highlight w:val="none"/>
                    </w:rPr>
                  </w:pPr>
                  <w:r>
                    <w:rPr>
                      <w:rFonts w:hint="default" w:ascii="Times New Roman" w:hAnsi="Times New Roman" w:eastAsia="宋体"/>
                      <w:bCs/>
                      <w:color w:val="auto"/>
                      <w:kern w:val="0"/>
                      <w:szCs w:val="21"/>
                      <w:highlight w:val="none"/>
                    </w:rPr>
                    <w:t>1小时平均</w:t>
                  </w:r>
                </w:p>
              </w:tc>
              <w:tc>
                <w:tcPr>
                  <w:tcW w:w="699" w:type="pct"/>
                  <w:noWrap w:val="0"/>
                  <w:vAlign w:val="center"/>
                </w:tcPr>
                <w:p w14:paraId="7AFAB34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bCs/>
                      <w:color w:val="auto"/>
                      <w:szCs w:val="21"/>
                      <w:highlight w:val="none"/>
                    </w:rPr>
                  </w:pPr>
                  <w:r>
                    <w:rPr>
                      <w:rFonts w:hint="default" w:ascii="Times New Roman" w:hAnsi="Times New Roman" w:eastAsia="宋体"/>
                      <w:bCs/>
                      <w:color w:val="auto"/>
                      <w:szCs w:val="21"/>
                      <w:highlight w:val="none"/>
                    </w:rPr>
                    <w:t>200</w:t>
                  </w:r>
                </w:p>
              </w:tc>
              <w:tc>
                <w:tcPr>
                  <w:tcW w:w="649" w:type="pct"/>
                  <w:vMerge w:val="continue"/>
                  <w:noWrap w:val="0"/>
                  <w:vAlign w:val="center"/>
                </w:tcPr>
                <w:p w14:paraId="68B189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148027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3C18D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pct"/>
                  <w:vMerge w:val="restart"/>
                  <w:noWrap w:val="0"/>
                  <w:vAlign w:val="center"/>
                </w:tcPr>
                <w:p w14:paraId="318B4D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bCs/>
                      <w:color w:val="auto"/>
                      <w:szCs w:val="21"/>
                      <w:highlight w:val="none"/>
                    </w:rPr>
                    <w:t>CO</w:t>
                  </w:r>
                </w:p>
              </w:tc>
              <w:tc>
                <w:tcPr>
                  <w:tcW w:w="1099" w:type="pct"/>
                  <w:noWrap w:val="0"/>
                  <w:vAlign w:val="center"/>
                </w:tcPr>
                <w:p w14:paraId="789B4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bCs/>
                      <w:color w:val="auto"/>
                      <w:kern w:val="0"/>
                      <w:szCs w:val="21"/>
                      <w:highlight w:val="none"/>
                    </w:rPr>
                    <w:t>24小时平均</w:t>
                  </w:r>
                </w:p>
              </w:tc>
              <w:tc>
                <w:tcPr>
                  <w:tcW w:w="699" w:type="pct"/>
                  <w:noWrap w:val="0"/>
                  <w:vAlign w:val="center"/>
                </w:tcPr>
                <w:p w14:paraId="58E1891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bCs/>
                      <w:color w:val="auto"/>
                      <w:szCs w:val="21"/>
                      <w:highlight w:val="none"/>
                    </w:rPr>
                    <w:t>4</w:t>
                  </w:r>
                </w:p>
              </w:tc>
              <w:tc>
                <w:tcPr>
                  <w:tcW w:w="649" w:type="pct"/>
                  <w:vMerge w:val="restart"/>
                  <w:noWrap w:val="0"/>
                  <w:vAlign w:val="center"/>
                </w:tcPr>
                <w:p w14:paraId="6A0D0F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olor w:val="auto"/>
                      <w:szCs w:val="21"/>
                      <w:highlight w:val="none"/>
                    </w:rPr>
                    <w:t>mg/Nm</w:t>
                  </w:r>
                  <w:r>
                    <w:rPr>
                      <w:rFonts w:hint="default" w:ascii="Times New Roman" w:hAnsi="Times New Roman" w:eastAsia="宋体"/>
                      <w:color w:val="auto"/>
                      <w:szCs w:val="21"/>
                      <w:highlight w:val="none"/>
                      <w:vertAlign w:val="superscript"/>
                    </w:rPr>
                    <w:t>3</w:t>
                  </w:r>
                </w:p>
              </w:tc>
              <w:tc>
                <w:tcPr>
                  <w:tcW w:w="1727" w:type="pct"/>
                  <w:vMerge w:val="continue"/>
                  <w:noWrap w:val="0"/>
                  <w:vAlign w:val="center"/>
                </w:tcPr>
                <w:p w14:paraId="2587EA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5AF8D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continue"/>
                  <w:noWrap w:val="0"/>
                  <w:vAlign w:val="center"/>
                </w:tcPr>
                <w:p w14:paraId="0872E0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Cs/>
                      <w:color w:val="auto"/>
                      <w:szCs w:val="21"/>
                      <w:highlight w:val="none"/>
                    </w:rPr>
                  </w:pPr>
                </w:p>
              </w:tc>
              <w:tc>
                <w:tcPr>
                  <w:tcW w:w="1099" w:type="pct"/>
                  <w:noWrap w:val="0"/>
                  <w:vAlign w:val="center"/>
                </w:tcPr>
                <w:p w14:paraId="579978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Cs/>
                      <w:color w:val="auto"/>
                      <w:kern w:val="0"/>
                      <w:szCs w:val="21"/>
                      <w:highlight w:val="none"/>
                    </w:rPr>
                  </w:pPr>
                  <w:r>
                    <w:rPr>
                      <w:rFonts w:hint="default" w:ascii="Times New Roman" w:hAnsi="Times New Roman" w:eastAsia="宋体"/>
                      <w:bCs/>
                      <w:color w:val="auto"/>
                      <w:kern w:val="0"/>
                      <w:szCs w:val="21"/>
                      <w:highlight w:val="none"/>
                    </w:rPr>
                    <w:t>1小时平均</w:t>
                  </w:r>
                </w:p>
              </w:tc>
              <w:tc>
                <w:tcPr>
                  <w:tcW w:w="699" w:type="pct"/>
                  <w:noWrap w:val="0"/>
                  <w:vAlign w:val="center"/>
                </w:tcPr>
                <w:p w14:paraId="409413D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bCs/>
                      <w:color w:val="auto"/>
                      <w:szCs w:val="21"/>
                      <w:highlight w:val="none"/>
                    </w:rPr>
                  </w:pPr>
                  <w:r>
                    <w:rPr>
                      <w:rFonts w:hint="default" w:ascii="Times New Roman" w:hAnsi="Times New Roman" w:eastAsia="宋体"/>
                      <w:bCs/>
                      <w:color w:val="auto"/>
                      <w:szCs w:val="21"/>
                      <w:highlight w:val="none"/>
                    </w:rPr>
                    <w:t>10</w:t>
                  </w:r>
                </w:p>
              </w:tc>
              <w:tc>
                <w:tcPr>
                  <w:tcW w:w="649" w:type="pct"/>
                  <w:vMerge w:val="continue"/>
                  <w:noWrap w:val="0"/>
                  <w:vAlign w:val="center"/>
                </w:tcPr>
                <w:p w14:paraId="537778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c>
                <w:tcPr>
                  <w:tcW w:w="1727" w:type="pct"/>
                  <w:vMerge w:val="continue"/>
                  <w:noWrap w:val="0"/>
                  <w:vAlign w:val="center"/>
                </w:tcPr>
                <w:p w14:paraId="077B4A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p>
              </w:tc>
            </w:tr>
            <w:tr w14:paraId="333BB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noWrap w:val="0"/>
                  <w:vAlign w:val="center"/>
                </w:tcPr>
                <w:p w14:paraId="5F2A73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Cs/>
                      <w:color w:val="auto"/>
                      <w:szCs w:val="21"/>
                      <w:highlight w:val="none"/>
                    </w:rPr>
                  </w:pPr>
                  <w:r>
                    <w:rPr>
                      <w:rFonts w:hint="eastAsia" w:ascii="Times New Roman" w:hAnsi="Times New Roman" w:eastAsia="宋体"/>
                      <w:color w:val="auto"/>
                      <w:szCs w:val="21"/>
                      <w:highlight w:val="none"/>
                      <w:lang w:val="en-US" w:eastAsia="zh-CN"/>
                    </w:rPr>
                    <w:t>非甲烷总烃</w:t>
                  </w:r>
                </w:p>
              </w:tc>
              <w:tc>
                <w:tcPr>
                  <w:tcW w:w="1099" w:type="pct"/>
                  <w:noWrap w:val="0"/>
                  <w:vAlign w:val="center"/>
                </w:tcPr>
                <w:p w14:paraId="20929B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Cs/>
                      <w:color w:val="auto"/>
                      <w:kern w:val="0"/>
                      <w:szCs w:val="21"/>
                      <w:highlight w:val="none"/>
                    </w:rPr>
                  </w:pPr>
                  <w:r>
                    <w:rPr>
                      <w:rFonts w:hint="default" w:ascii="Times New Roman" w:hAnsi="Times New Roman" w:eastAsia="宋体"/>
                      <w:color w:val="auto"/>
                      <w:szCs w:val="21"/>
                      <w:highlight w:val="none"/>
                    </w:rPr>
                    <w:t>1</w:t>
                  </w:r>
                  <w:r>
                    <w:rPr>
                      <w:rFonts w:hint="eastAsia" w:ascii="Times New Roman" w:hAnsi="Times New Roman" w:eastAsia="宋体"/>
                      <w:color w:val="auto"/>
                      <w:szCs w:val="21"/>
                      <w:highlight w:val="none"/>
                    </w:rPr>
                    <w:t>小时平均</w:t>
                  </w:r>
                </w:p>
              </w:tc>
              <w:tc>
                <w:tcPr>
                  <w:tcW w:w="699" w:type="pct"/>
                  <w:noWrap w:val="0"/>
                  <w:vAlign w:val="center"/>
                </w:tcPr>
                <w:p w14:paraId="344852D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default" w:ascii="Times New Roman" w:hAnsi="Times New Roman" w:eastAsia="宋体"/>
                      <w:bCs/>
                      <w:color w:val="auto"/>
                      <w:szCs w:val="21"/>
                      <w:highlight w:val="none"/>
                    </w:rPr>
                  </w:pPr>
                  <w:r>
                    <w:rPr>
                      <w:rFonts w:hint="default" w:ascii="Times New Roman" w:hAnsi="Times New Roman" w:eastAsia="宋体" w:cs="Times New Roman"/>
                      <w:color w:val="auto"/>
                      <w:kern w:val="0"/>
                      <w:sz w:val="21"/>
                      <w:szCs w:val="21"/>
                      <w:highlight w:val="none"/>
                      <w:lang w:val="en-US" w:eastAsia="zh-CN"/>
                    </w:rPr>
                    <w:t>2.0</w:t>
                  </w:r>
                </w:p>
              </w:tc>
              <w:tc>
                <w:tcPr>
                  <w:tcW w:w="649" w:type="pct"/>
                  <w:noWrap w:val="0"/>
                  <w:vAlign w:val="center"/>
                </w:tcPr>
                <w:p w14:paraId="27D2A3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1727" w:type="pct"/>
                  <w:noWrap w:val="0"/>
                  <w:vAlign w:val="center"/>
                </w:tcPr>
                <w:p w14:paraId="4FB802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Cs w:val="21"/>
                      <w:highlight w:val="none"/>
                    </w:rPr>
                  </w:pPr>
                  <w:r>
                    <w:rPr>
                      <w:rFonts w:hint="default" w:ascii="Times New Roman" w:hAnsi="Times New Roman" w:eastAsia="宋体" w:cs="Times New Roman"/>
                      <w:color w:val="auto"/>
                      <w:spacing w:val="-10"/>
                      <w:sz w:val="21"/>
                      <w:szCs w:val="21"/>
                      <w:highlight w:val="none"/>
                    </w:rPr>
                    <w:t>《大气污染物综合排放标准详解》</w:t>
                  </w:r>
                </w:p>
              </w:tc>
            </w:tr>
          </w:tbl>
          <w:p w14:paraId="081729EB">
            <w:pPr>
              <w:keepNext w:val="0"/>
              <w:keepLines w:val="0"/>
              <w:suppressLineNumbers w:val="0"/>
              <w:adjustRightInd w:val="0"/>
              <w:snapToGrid w:val="0"/>
              <w:spacing w:before="120" w:beforeLines="50" w:beforeAutospacing="0" w:after="0" w:afterAutospacing="0" w:line="360" w:lineRule="auto"/>
              <w:ind w:left="0" w:right="0"/>
              <w:rPr>
                <w:rFonts w:hint="default" w:eastAsia="宋体"/>
                <w:b/>
                <w:bCs/>
                <w:color w:val="auto"/>
                <w:sz w:val="24"/>
                <w:highlight w:val="none"/>
                <w:lang w:val="en-US" w:eastAsia="zh-CN"/>
              </w:rPr>
            </w:pPr>
            <w:r>
              <w:rPr>
                <w:rFonts w:hint="default"/>
                <w:b/>
                <w:bCs/>
                <w:color w:val="auto"/>
                <w:sz w:val="24"/>
                <w:highlight w:val="none"/>
              </w:rPr>
              <w:t>2、地表水</w:t>
            </w:r>
            <w:r>
              <w:rPr>
                <w:rFonts w:hint="eastAsia"/>
                <w:b/>
                <w:bCs/>
                <w:color w:val="auto"/>
                <w:sz w:val="24"/>
                <w:highlight w:val="none"/>
                <w:lang w:val="en-US" w:eastAsia="zh-CN"/>
              </w:rPr>
              <w:t>环境质量标准</w:t>
            </w:r>
          </w:p>
          <w:p w14:paraId="6D55F550">
            <w:pPr>
              <w:keepNext w:val="0"/>
              <w:keepLines w:val="0"/>
              <w:suppressLineNumbers w:val="0"/>
              <w:spacing w:before="0" w:beforeAutospacing="0" w:after="0" w:afterAutospacing="0" w:line="360" w:lineRule="auto"/>
              <w:ind w:left="0" w:right="0" w:firstLine="480" w:firstLineChars="200"/>
              <w:rPr>
                <w:rFonts w:hint="default"/>
                <w:color w:val="auto"/>
                <w:spacing w:val="6"/>
                <w:sz w:val="24"/>
                <w:szCs w:val="24"/>
                <w:highlight w:val="none"/>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eastAsia="zh-CN"/>
              </w:rPr>
              <w:t>无生产废水产生及排放</w:t>
            </w:r>
            <w:r>
              <w:rPr>
                <w:rFonts w:hint="eastAsia"/>
                <w:color w:val="auto"/>
                <w:highlight w:val="none"/>
                <w:lang w:eastAsia="zh-CN"/>
              </w:rPr>
              <w:t>，</w:t>
            </w:r>
            <w:r>
              <w:rPr>
                <w:rFonts w:hint="eastAsia"/>
                <w:color w:val="auto"/>
                <w:sz w:val="24"/>
                <w:highlight w:val="none"/>
              </w:rPr>
              <w:t>生活污水</w:t>
            </w:r>
            <w:r>
              <w:rPr>
                <w:rFonts w:hint="eastAsia"/>
                <w:color w:val="auto"/>
                <w:sz w:val="24"/>
                <w:highlight w:val="none"/>
                <w:lang w:eastAsia="zh-CN"/>
              </w:rPr>
              <w:t>经化粪池预处理后接管进太湖新城污水处理厂集中</w:t>
            </w:r>
            <w:r>
              <w:rPr>
                <w:rFonts w:hint="eastAsia"/>
                <w:color w:val="auto"/>
                <w:sz w:val="24"/>
                <w:highlight w:val="none"/>
              </w:rPr>
              <w:t>处理，尾水排入</w:t>
            </w:r>
            <w:r>
              <w:rPr>
                <w:rFonts w:hint="eastAsia"/>
                <w:color w:val="auto"/>
                <w:sz w:val="24"/>
                <w:highlight w:val="none"/>
                <w:lang w:eastAsia="zh-CN"/>
              </w:rPr>
              <w:t>京杭</w:t>
            </w:r>
            <w:r>
              <w:rPr>
                <w:rFonts w:hint="eastAsia"/>
                <w:color w:val="auto"/>
                <w:sz w:val="24"/>
                <w:highlight w:val="none"/>
              </w:rPr>
              <w:t>运河</w:t>
            </w:r>
            <w:r>
              <w:rPr>
                <w:rFonts w:hint="default"/>
                <w:color w:val="auto"/>
                <w:sz w:val="24"/>
                <w:highlight w:val="none"/>
              </w:rPr>
              <w:t>。根据江苏省水利厅和江苏省环境保护厅编制的《江苏省地表水(环境)功能区划》(苏环办[2022]82号)、《无锡市新一轮河道综合治理专项行动方案(2023-2025年)》，京杭运河水域功能目标类别为Ⅲ类，地表水环境质量执行《地表水环境质量标准》(GB 3838-2002)中的Ⅲ类水标准，</w:t>
            </w:r>
            <w:r>
              <w:rPr>
                <w:rFonts w:hint="default"/>
                <w:bCs/>
                <w:color w:val="auto"/>
                <w:sz w:val="24"/>
                <w:highlight w:val="none"/>
              </w:rPr>
              <w:t>具体标准值见</w:t>
            </w:r>
            <w:r>
              <w:rPr>
                <w:rFonts w:hint="eastAsia"/>
                <w:snapToGrid w:val="0"/>
                <w:color w:val="auto"/>
                <w:kern w:val="0"/>
                <w:sz w:val="24"/>
                <w:highlight w:val="none"/>
                <w:lang w:eastAsia="zh-CN"/>
              </w:rPr>
              <w:t>下表</w:t>
            </w:r>
            <w:r>
              <w:rPr>
                <w:rFonts w:hint="default"/>
                <w:snapToGrid w:val="0"/>
                <w:color w:val="auto"/>
                <w:kern w:val="0"/>
                <w:sz w:val="24"/>
                <w:highlight w:val="none"/>
              </w:rPr>
              <w:t>。</w:t>
            </w:r>
          </w:p>
          <w:p w14:paraId="5478E395">
            <w:pPr>
              <w:pStyle w:val="9"/>
              <w:keepNext w:val="0"/>
              <w:keepLines w:val="0"/>
              <w:numPr>
                <w:ilvl w:val="0"/>
                <w:numId w:val="0"/>
              </w:numPr>
              <w:suppressLineNumbers w:val="0"/>
              <w:spacing w:before="0" w:beforeAutospacing="0" w:after="0" w:afterAutospacing="0"/>
              <w:ind w:left="425" w:leftChars="0" w:right="0" w:hanging="425" w:firstLineChars="0"/>
              <w:jc w:val="center"/>
              <w:rPr>
                <w:rFonts w:hint="eastAsia" w:eastAsia="宋体"/>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SA"/>
              </w:rPr>
              <w:t>表3-</w:t>
            </w:r>
            <w:r>
              <w:rPr>
                <w:rFonts w:hint="eastAsia" w:cs="Times New Roman"/>
                <w:b/>
                <w:bCs/>
                <w:color w:val="auto"/>
                <w:kern w:val="0"/>
                <w:sz w:val="24"/>
                <w:szCs w:val="24"/>
                <w:highlight w:val="none"/>
                <w:lang w:val="en-US" w:eastAsia="zh-CN" w:bidi="ar-SA"/>
              </w:rPr>
              <w:t xml:space="preserve">6  </w:t>
            </w:r>
            <w:r>
              <w:rPr>
                <w:rFonts w:hint="eastAsia" w:eastAsia="宋体"/>
                <w:b/>
                <w:bCs/>
                <w:color w:val="auto"/>
                <w:sz w:val="24"/>
                <w:szCs w:val="24"/>
                <w:highlight w:val="none"/>
                <w:lang w:val="en-US" w:eastAsia="zh-CN"/>
              </w:rPr>
              <w:t>地表水环境质量标准</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113"/>
              <w:gridCol w:w="2449"/>
              <w:gridCol w:w="1454"/>
              <w:gridCol w:w="3393"/>
            </w:tblGrid>
            <w:tr w14:paraId="373BF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76" w:type="pct"/>
                  <w:tcBorders>
                    <w:tl2br w:val="nil"/>
                    <w:tr2bl w:val="nil"/>
                  </w:tcBorders>
                  <w:vAlign w:val="center"/>
                </w:tcPr>
                <w:p w14:paraId="4A4F96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b/>
                      <w:bCs/>
                      <w:color w:val="auto"/>
                      <w:sz w:val="21"/>
                      <w:szCs w:val="21"/>
                      <w:highlight w:val="none"/>
                    </w:rPr>
                  </w:pPr>
                  <w:r>
                    <w:rPr>
                      <w:rFonts w:hint="default"/>
                      <w:b/>
                      <w:bCs/>
                      <w:color w:val="auto"/>
                      <w:sz w:val="21"/>
                      <w:szCs w:val="21"/>
                      <w:highlight w:val="none"/>
                    </w:rPr>
                    <w:t>序号</w:t>
                  </w:r>
                </w:p>
              </w:tc>
              <w:tc>
                <w:tcPr>
                  <w:tcW w:w="612" w:type="pct"/>
                  <w:tcBorders>
                    <w:tl2br w:val="nil"/>
                    <w:tr2bl w:val="nil"/>
                  </w:tcBorders>
                  <w:vAlign w:val="center"/>
                </w:tcPr>
                <w:p w14:paraId="6820B3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b/>
                      <w:bCs/>
                      <w:color w:val="auto"/>
                      <w:sz w:val="21"/>
                      <w:szCs w:val="21"/>
                      <w:highlight w:val="none"/>
                    </w:rPr>
                  </w:pPr>
                  <w:r>
                    <w:rPr>
                      <w:rFonts w:hint="default"/>
                      <w:b/>
                      <w:bCs/>
                      <w:color w:val="auto"/>
                      <w:sz w:val="21"/>
                      <w:szCs w:val="21"/>
                      <w:highlight w:val="none"/>
                    </w:rPr>
                    <w:t>评价因子</w:t>
                  </w:r>
                </w:p>
              </w:tc>
              <w:tc>
                <w:tcPr>
                  <w:tcW w:w="1346" w:type="pct"/>
                  <w:tcBorders>
                    <w:tl2br w:val="nil"/>
                    <w:tr2bl w:val="nil"/>
                  </w:tcBorders>
                  <w:vAlign w:val="center"/>
                </w:tcPr>
                <w:p w14:paraId="093FB9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b/>
                      <w:bCs/>
                      <w:color w:val="auto"/>
                      <w:sz w:val="21"/>
                      <w:szCs w:val="21"/>
                      <w:highlight w:val="none"/>
                    </w:rPr>
                  </w:pPr>
                  <w:r>
                    <w:rPr>
                      <w:rFonts w:hint="default"/>
                      <w:b/>
                      <w:bCs/>
                      <w:color w:val="auto"/>
                      <w:sz w:val="21"/>
                      <w:szCs w:val="21"/>
                      <w:highlight w:val="none"/>
                    </w:rPr>
                    <w:t>Ⅲ类</w:t>
                  </w:r>
                  <w:r>
                    <w:rPr>
                      <w:rFonts w:hint="default" w:ascii="Times New Roman" w:hAnsi="Times New Roman" w:eastAsia="宋体" w:cs="Times New Roman"/>
                      <w:b/>
                      <w:bCs/>
                      <w:color w:val="auto"/>
                      <w:sz w:val="21"/>
                      <w:szCs w:val="21"/>
                      <w:highlight w:val="none"/>
                    </w:rPr>
                    <w:t>功能水域标准</w:t>
                  </w:r>
                </w:p>
              </w:tc>
              <w:tc>
                <w:tcPr>
                  <w:tcW w:w="799" w:type="pct"/>
                  <w:tcBorders>
                    <w:tl2br w:val="nil"/>
                    <w:tr2bl w:val="nil"/>
                  </w:tcBorders>
                  <w:vAlign w:val="center"/>
                </w:tcPr>
                <w:p w14:paraId="4356A6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b/>
                      <w:bCs/>
                      <w:color w:val="auto"/>
                      <w:sz w:val="21"/>
                      <w:szCs w:val="21"/>
                      <w:highlight w:val="none"/>
                    </w:rPr>
                  </w:pPr>
                  <w:r>
                    <w:rPr>
                      <w:rFonts w:hint="default"/>
                      <w:b/>
                      <w:bCs/>
                      <w:color w:val="auto"/>
                      <w:sz w:val="21"/>
                      <w:szCs w:val="21"/>
                      <w:highlight w:val="none"/>
                    </w:rPr>
                    <w:t>单位</w:t>
                  </w:r>
                </w:p>
              </w:tc>
              <w:tc>
                <w:tcPr>
                  <w:tcW w:w="1865" w:type="pct"/>
                  <w:tcBorders>
                    <w:tl2br w:val="nil"/>
                    <w:tr2bl w:val="nil"/>
                  </w:tcBorders>
                  <w:vAlign w:val="center"/>
                </w:tcPr>
                <w:p w14:paraId="1D986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b/>
                      <w:bCs/>
                      <w:color w:val="auto"/>
                      <w:sz w:val="21"/>
                      <w:szCs w:val="21"/>
                      <w:highlight w:val="none"/>
                    </w:rPr>
                  </w:pPr>
                  <w:r>
                    <w:rPr>
                      <w:rFonts w:hint="default"/>
                      <w:b/>
                      <w:bCs/>
                      <w:color w:val="auto"/>
                      <w:sz w:val="21"/>
                      <w:szCs w:val="21"/>
                      <w:highlight w:val="none"/>
                    </w:rPr>
                    <w:t>标准来源</w:t>
                  </w:r>
                </w:p>
              </w:tc>
            </w:tr>
            <w:tr w14:paraId="35AF2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tcBorders>
                    <w:tl2br w:val="nil"/>
                    <w:tr2bl w:val="nil"/>
                  </w:tcBorders>
                  <w:vAlign w:val="center"/>
                </w:tcPr>
                <w:p w14:paraId="33677F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1</w:t>
                  </w:r>
                </w:p>
              </w:tc>
              <w:tc>
                <w:tcPr>
                  <w:tcW w:w="612" w:type="pct"/>
                  <w:tcBorders>
                    <w:tl2br w:val="nil"/>
                    <w:tr2bl w:val="nil"/>
                  </w:tcBorders>
                  <w:vAlign w:val="center"/>
                </w:tcPr>
                <w:p w14:paraId="7B2216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pH</w:t>
                  </w:r>
                </w:p>
              </w:tc>
              <w:tc>
                <w:tcPr>
                  <w:tcW w:w="1346" w:type="pct"/>
                  <w:tcBorders>
                    <w:tl2br w:val="nil"/>
                    <w:tr2bl w:val="nil"/>
                  </w:tcBorders>
                  <w:shd w:val="clear" w:color="auto" w:fill="auto"/>
                  <w:vAlign w:val="center"/>
                </w:tcPr>
                <w:p w14:paraId="164A7C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6</w:t>
                  </w:r>
                  <w:r>
                    <w:rPr>
                      <w:rFonts w:hint="eastAsia"/>
                      <w:color w:val="auto"/>
                      <w:sz w:val="21"/>
                      <w:szCs w:val="21"/>
                      <w:highlight w:val="none"/>
                      <w:lang w:val="en-US" w:eastAsia="zh-CN"/>
                    </w:rPr>
                    <w:t>~</w:t>
                  </w:r>
                  <w:r>
                    <w:rPr>
                      <w:rFonts w:hint="default"/>
                      <w:color w:val="auto"/>
                      <w:sz w:val="21"/>
                      <w:szCs w:val="21"/>
                      <w:highlight w:val="none"/>
                    </w:rPr>
                    <w:t>9</w:t>
                  </w:r>
                </w:p>
              </w:tc>
              <w:tc>
                <w:tcPr>
                  <w:tcW w:w="799" w:type="pct"/>
                  <w:tcBorders>
                    <w:tl2br w:val="nil"/>
                    <w:tr2bl w:val="nil"/>
                  </w:tcBorders>
                  <w:vAlign w:val="center"/>
                </w:tcPr>
                <w:p w14:paraId="6936F0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无量纲</w:t>
                  </w:r>
                </w:p>
              </w:tc>
              <w:tc>
                <w:tcPr>
                  <w:tcW w:w="1865" w:type="pct"/>
                  <w:vMerge w:val="restart"/>
                  <w:tcBorders>
                    <w:tl2br w:val="nil"/>
                    <w:tr2bl w:val="nil"/>
                  </w:tcBorders>
                  <w:vAlign w:val="center"/>
                </w:tcPr>
                <w:p w14:paraId="6FE1A3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snapToGrid w:val="0"/>
                      <w:color w:val="auto"/>
                      <w:kern w:val="0"/>
                      <w:sz w:val="21"/>
                      <w:szCs w:val="21"/>
                      <w:highlight w:val="none"/>
                    </w:rPr>
                    <w:t>《地表水环境质量标准》（GB3838-2002）</w:t>
                  </w:r>
                </w:p>
              </w:tc>
            </w:tr>
            <w:tr w14:paraId="6B1C4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tcBorders>
                    <w:tl2br w:val="nil"/>
                    <w:tr2bl w:val="nil"/>
                  </w:tcBorders>
                  <w:vAlign w:val="center"/>
                </w:tcPr>
                <w:p w14:paraId="4C5005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2</w:t>
                  </w:r>
                </w:p>
              </w:tc>
              <w:tc>
                <w:tcPr>
                  <w:tcW w:w="612" w:type="pct"/>
                  <w:tcBorders>
                    <w:tl2br w:val="nil"/>
                    <w:tr2bl w:val="nil"/>
                  </w:tcBorders>
                  <w:vAlign w:val="center"/>
                </w:tcPr>
                <w:p w14:paraId="07CD93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snapToGrid w:val="0"/>
                      <w:color w:val="auto"/>
                      <w:sz w:val="21"/>
                      <w:szCs w:val="21"/>
                      <w:highlight w:val="none"/>
                    </w:rPr>
                    <w:t>COD</w:t>
                  </w:r>
                </w:p>
              </w:tc>
              <w:tc>
                <w:tcPr>
                  <w:tcW w:w="1346" w:type="pct"/>
                  <w:tcBorders>
                    <w:tl2br w:val="nil"/>
                    <w:tr2bl w:val="nil"/>
                  </w:tcBorders>
                  <w:shd w:val="clear" w:color="auto" w:fill="auto"/>
                  <w:vAlign w:val="center"/>
                </w:tcPr>
                <w:p w14:paraId="7154CF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w:t>
                  </w:r>
                  <w:r>
                    <w:rPr>
                      <w:rFonts w:hint="eastAsia"/>
                      <w:color w:val="auto"/>
                      <w:sz w:val="21"/>
                      <w:szCs w:val="21"/>
                      <w:highlight w:val="none"/>
                      <w:lang w:val="en-US" w:eastAsia="zh-CN"/>
                    </w:rPr>
                    <w:t>2</w:t>
                  </w:r>
                  <w:r>
                    <w:rPr>
                      <w:rFonts w:hint="eastAsia"/>
                      <w:color w:val="auto"/>
                      <w:sz w:val="21"/>
                      <w:szCs w:val="21"/>
                      <w:highlight w:val="none"/>
                    </w:rPr>
                    <w:t>0</w:t>
                  </w:r>
                </w:p>
              </w:tc>
              <w:tc>
                <w:tcPr>
                  <w:tcW w:w="799" w:type="pct"/>
                  <w:vMerge w:val="restart"/>
                  <w:tcBorders>
                    <w:tl2br w:val="nil"/>
                    <w:tr2bl w:val="nil"/>
                  </w:tcBorders>
                  <w:vAlign w:val="center"/>
                </w:tcPr>
                <w:p w14:paraId="0864CCAE">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mg/L</w:t>
                  </w:r>
                </w:p>
              </w:tc>
              <w:tc>
                <w:tcPr>
                  <w:tcW w:w="1865" w:type="pct"/>
                  <w:vMerge w:val="continue"/>
                  <w:tcBorders>
                    <w:tl2br w:val="nil"/>
                    <w:tr2bl w:val="nil"/>
                  </w:tcBorders>
                  <w:vAlign w:val="center"/>
                </w:tcPr>
                <w:p w14:paraId="61A9039B">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r>
            <w:tr w14:paraId="36AC2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6" w:type="pct"/>
                  <w:tcBorders>
                    <w:tl2br w:val="nil"/>
                    <w:tr2bl w:val="nil"/>
                  </w:tcBorders>
                  <w:vAlign w:val="center"/>
                </w:tcPr>
                <w:p w14:paraId="0DC576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3</w:t>
                  </w:r>
                </w:p>
              </w:tc>
              <w:tc>
                <w:tcPr>
                  <w:tcW w:w="612" w:type="pct"/>
                  <w:tcBorders>
                    <w:tl2br w:val="nil"/>
                    <w:tr2bl w:val="nil"/>
                  </w:tcBorders>
                  <w:vAlign w:val="center"/>
                </w:tcPr>
                <w:p w14:paraId="0F2FA6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snapToGrid w:val="0"/>
                      <w:color w:val="auto"/>
                      <w:sz w:val="21"/>
                      <w:szCs w:val="21"/>
                      <w:highlight w:val="none"/>
                    </w:rPr>
                    <w:t>NH</w:t>
                  </w:r>
                  <w:r>
                    <w:rPr>
                      <w:rFonts w:hint="default"/>
                      <w:snapToGrid w:val="0"/>
                      <w:color w:val="auto"/>
                      <w:sz w:val="21"/>
                      <w:szCs w:val="21"/>
                      <w:highlight w:val="none"/>
                      <w:vertAlign w:val="subscript"/>
                    </w:rPr>
                    <w:t>3</w:t>
                  </w:r>
                  <w:r>
                    <w:rPr>
                      <w:rFonts w:hint="default"/>
                      <w:snapToGrid w:val="0"/>
                      <w:color w:val="auto"/>
                      <w:sz w:val="21"/>
                      <w:szCs w:val="21"/>
                      <w:highlight w:val="none"/>
                    </w:rPr>
                    <w:t>-N</w:t>
                  </w:r>
                </w:p>
              </w:tc>
              <w:tc>
                <w:tcPr>
                  <w:tcW w:w="1346" w:type="pct"/>
                  <w:tcBorders>
                    <w:tl2br w:val="nil"/>
                    <w:tr2bl w:val="nil"/>
                  </w:tcBorders>
                  <w:shd w:val="clear" w:color="auto" w:fill="auto"/>
                  <w:vAlign w:val="center"/>
                </w:tcPr>
                <w:p w14:paraId="34B8C6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w:t>
                  </w:r>
                  <w:r>
                    <w:rPr>
                      <w:rFonts w:hint="eastAsia"/>
                      <w:color w:val="auto"/>
                      <w:sz w:val="21"/>
                      <w:szCs w:val="21"/>
                      <w:highlight w:val="none"/>
                      <w:lang w:val="en-US" w:eastAsia="zh-CN"/>
                    </w:rPr>
                    <w:t>1.0</w:t>
                  </w:r>
                </w:p>
              </w:tc>
              <w:tc>
                <w:tcPr>
                  <w:tcW w:w="799" w:type="pct"/>
                  <w:vMerge w:val="continue"/>
                  <w:tcBorders>
                    <w:tl2br w:val="nil"/>
                    <w:tr2bl w:val="nil"/>
                  </w:tcBorders>
                  <w:vAlign w:val="center"/>
                </w:tcPr>
                <w:p w14:paraId="40709DC1">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1865" w:type="pct"/>
                  <w:vMerge w:val="continue"/>
                  <w:tcBorders>
                    <w:tl2br w:val="nil"/>
                    <w:tr2bl w:val="nil"/>
                  </w:tcBorders>
                  <w:vAlign w:val="center"/>
                </w:tcPr>
                <w:p w14:paraId="6D419D97">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r>
            <w:tr w14:paraId="3FC12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76" w:type="pct"/>
                  <w:tcBorders>
                    <w:tl2br w:val="nil"/>
                    <w:tr2bl w:val="nil"/>
                  </w:tcBorders>
                  <w:vAlign w:val="center"/>
                </w:tcPr>
                <w:p w14:paraId="10B79A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4</w:t>
                  </w:r>
                </w:p>
              </w:tc>
              <w:tc>
                <w:tcPr>
                  <w:tcW w:w="612" w:type="pct"/>
                  <w:tcBorders>
                    <w:tl2br w:val="nil"/>
                    <w:tr2bl w:val="nil"/>
                  </w:tcBorders>
                  <w:vAlign w:val="center"/>
                </w:tcPr>
                <w:p w14:paraId="272942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snapToGrid w:val="0"/>
                      <w:color w:val="auto"/>
                      <w:sz w:val="21"/>
                      <w:szCs w:val="21"/>
                      <w:highlight w:val="none"/>
                    </w:rPr>
                    <w:t>TP</w:t>
                  </w:r>
                </w:p>
              </w:tc>
              <w:tc>
                <w:tcPr>
                  <w:tcW w:w="1346" w:type="pct"/>
                  <w:tcBorders>
                    <w:tl2br w:val="nil"/>
                    <w:tr2bl w:val="nil"/>
                  </w:tcBorders>
                  <w:shd w:val="clear" w:color="auto" w:fill="auto"/>
                  <w:vAlign w:val="center"/>
                </w:tcPr>
                <w:p w14:paraId="08FF5C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2（湖、库0.05）</w:t>
                  </w:r>
                </w:p>
              </w:tc>
              <w:tc>
                <w:tcPr>
                  <w:tcW w:w="799" w:type="pct"/>
                  <w:vMerge w:val="continue"/>
                  <w:tcBorders>
                    <w:tl2br w:val="nil"/>
                    <w:tr2bl w:val="nil"/>
                  </w:tcBorders>
                  <w:vAlign w:val="center"/>
                </w:tcPr>
                <w:p w14:paraId="7F684E0D">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1865" w:type="pct"/>
                  <w:vMerge w:val="continue"/>
                  <w:tcBorders>
                    <w:tl2br w:val="nil"/>
                    <w:tr2bl w:val="nil"/>
                  </w:tcBorders>
                  <w:vAlign w:val="center"/>
                </w:tcPr>
                <w:p w14:paraId="1F74D1CE">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r>
            <w:tr w14:paraId="33436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tcBorders>
                    <w:tl2br w:val="nil"/>
                    <w:tr2bl w:val="nil"/>
                  </w:tcBorders>
                  <w:vAlign w:val="center"/>
                </w:tcPr>
                <w:p w14:paraId="0A19A6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612" w:type="pct"/>
                  <w:tcBorders>
                    <w:tl2br w:val="nil"/>
                    <w:tr2bl w:val="nil"/>
                  </w:tcBorders>
                  <w:vAlign w:val="center"/>
                </w:tcPr>
                <w:p w14:paraId="4611F5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eastAsia="宋体"/>
                      <w:snapToGrid w:val="0"/>
                      <w:color w:val="auto"/>
                      <w:sz w:val="21"/>
                      <w:szCs w:val="21"/>
                      <w:highlight w:val="none"/>
                      <w:lang w:val="en-US" w:eastAsia="zh-CN"/>
                    </w:rPr>
                  </w:pPr>
                  <w:r>
                    <w:rPr>
                      <w:rFonts w:hint="eastAsia"/>
                      <w:snapToGrid w:val="0"/>
                      <w:color w:val="auto"/>
                      <w:sz w:val="21"/>
                      <w:szCs w:val="21"/>
                      <w:highlight w:val="none"/>
                      <w:lang w:val="en-US" w:eastAsia="zh-CN"/>
                    </w:rPr>
                    <w:t>TN</w:t>
                  </w:r>
                </w:p>
              </w:tc>
              <w:tc>
                <w:tcPr>
                  <w:tcW w:w="1346" w:type="pct"/>
                  <w:tcBorders>
                    <w:tl2br w:val="nil"/>
                    <w:tr2bl w:val="nil"/>
                  </w:tcBorders>
                  <w:shd w:val="clear" w:color="auto" w:fill="auto"/>
                  <w:vAlign w:val="center"/>
                </w:tcPr>
                <w:p w14:paraId="142945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color w:val="auto"/>
                      <w:sz w:val="21"/>
                      <w:szCs w:val="21"/>
                      <w:highlight w:val="none"/>
                    </w:rPr>
                    <w:t>≤</w:t>
                  </w:r>
                  <w:r>
                    <w:rPr>
                      <w:rFonts w:hint="eastAsia"/>
                      <w:color w:val="auto"/>
                      <w:sz w:val="21"/>
                      <w:szCs w:val="21"/>
                      <w:highlight w:val="none"/>
                      <w:lang w:val="en-US" w:eastAsia="zh-CN"/>
                    </w:rPr>
                    <w:t>1.0</w:t>
                  </w:r>
                </w:p>
              </w:tc>
              <w:tc>
                <w:tcPr>
                  <w:tcW w:w="799" w:type="pct"/>
                  <w:vMerge w:val="continue"/>
                  <w:tcBorders>
                    <w:tl2br w:val="nil"/>
                    <w:tr2bl w:val="nil"/>
                  </w:tcBorders>
                  <w:vAlign w:val="center"/>
                </w:tcPr>
                <w:p w14:paraId="32B07F36">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1865" w:type="pct"/>
                  <w:vMerge w:val="continue"/>
                  <w:tcBorders>
                    <w:tl2br w:val="nil"/>
                    <w:tr2bl w:val="nil"/>
                  </w:tcBorders>
                  <w:vAlign w:val="center"/>
                </w:tcPr>
                <w:p w14:paraId="65DCC57C">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r>
          </w:tbl>
          <w:p w14:paraId="59ADB0C4">
            <w:pPr>
              <w:keepNext w:val="0"/>
              <w:keepLines w:val="0"/>
              <w:suppressLineNumbers w:val="0"/>
              <w:adjustRightInd w:val="0"/>
              <w:snapToGrid w:val="0"/>
              <w:spacing w:before="159" w:beforeLines="50" w:beforeAutospacing="0" w:after="0" w:afterAutospacing="0" w:line="360" w:lineRule="auto"/>
              <w:ind w:left="0" w:right="0" w:firstLine="482" w:firstLineChars="200"/>
              <w:rPr>
                <w:rFonts w:hint="eastAsia" w:ascii="Times New Roman" w:hAnsi="Times New Roman" w:eastAsia="宋体"/>
                <w:b/>
                <w:bCs/>
                <w:color w:val="auto"/>
                <w:sz w:val="24"/>
                <w:szCs w:val="21"/>
                <w:highlight w:val="none"/>
                <w:lang w:val="en-US" w:eastAsia="zh-CN"/>
              </w:rPr>
            </w:pPr>
            <w:r>
              <w:rPr>
                <w:rFonts w:hint="default" w:ascii="Times New Roman" w:hAnsi="Times New Roman" w:eastAsia="宋体"/>
                <w:b/>
                <w:bCs/>
                <w:color w:val="auto"/>
                <w:sz w:val="24"/>
                <w:highlight w:val="none"/>
              </w:rPr>
              <w:t>3、声环境</w:t>
            </w:r>
            <w:r>
              <w:rPr>
                <w:rFonts w:hint="eastAsia" w:ascii="Times New Roman" w:hAnsi="Times New Roman" w:eastAsia="宋体"/>
                <w:b/>
                <w:bCs/>
                <w:color w:val="auto"/>
                <w:sz w:val="24"/>
                <w:highlight w:val="none"/>
                <w:lang w:val="en-US" w:eastAsia="zh-CN"/>
              </w:rPr>
              <w:t>质量标准</w:t>
            </w:r>
          </w:p>
          <w:p w14:paraId="361D036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b/>
                <w:color w:val="auto"/>
                <w:sz w:val="24"/>
                <w:szCs w:val="22"/>
                <w:highlight w:val="none"/>
              </w:rPr>
            </w:pPr>
            <w:r>
              <w:rPr>
                <w:rFonts w:hint="default" w:ascii="Times New Roman" w:hAnsi="Times New Roman" w:eastAsia="宋体"/>
                <w:color w:val="auto"/>
                <w:sz w:val="24"/>
                <w:szCs w:val="30"/>
                <w:highlight w:val="none"/>
              </w:rPr>
              <w:t>根据《市政府办公室关于印发无锡市区声环境功能区划分调整方案的通知》（</w:t>
            </w:r>
            <w:r>
              <w:rPr>
                <w:rFonts w:hint="eastAsia" w:ascii="Times New Roman" w:hAnsi="Times New Roman" w:eastAsia="宋体"/>
                <w:color w:val="auto"/>
                <w:sz w:val="24"/>
                <w:szCs w:val="30"/>
                <w:highlight w:val="none"/>
                <w:lang w:eastAsia="zh-CN"/>
              </w:rPr>
              <w:t>锡政办发〔2024〕32号</w:t>
            </w:r>
            <w:r>
              <w:rPr>
                <w:rFonts w:hint="default" w:ascii="Times New Roman" w:hAnsi="Times New Roman" w:eastAsia="宋体"/>
                <w:color w:val="auto"/>
                <w:sz w:val="24"/>
                <w:szCs w:val="30"/>
                <w:highlight w:val="none"/>
              </w:rPr>
              <w:t>）</w:t>
            </w:r>
            <w:r>
              <w:rPr>
                <w:rFonts w:hint="default" w:ascii="Times New Roman" w:hAnsi="Times New Roman" w:eastAsia="宋体"/>
                <w:color w:val="auto"/>
                <w:sz w:val="24"/>
                <w:highlight w:val="none"/>
              </w:rPr>
              <w:t>，</w:t>
            </w:r>
            <w:r>
              <w:rPr>
                <w:rFonts w:hint="default" w:ascii="Times New Roman" w:hAnsi="Times New Roman" w:eastAsia="宋体"/>
                <w:color w:val="auto"/>
                <w:sz w:val="24"/>
                <w:highlight w:val="none"/>
                <w:lang w:val="zh-CN"/>
              </w:rPr>
              <w:t>该区域为</w:t>
            </w:r>
            <w:r>
              <w:rPr>
                <w:rFonts w:hint="eastAsia" w:ascii="Times New Roman" w:hAnsi="Times New Roman" w:eastAsia="宋体"/>
                <w:color w:val="auto"/>
                <w:sz w:val="24"/>
                <w:highlight w:val="none"/>
                <w:lang w:val="en-US" w:eastAsia="zh-CN"/>
              </w:rPr>
              <w:t>2</w:t>
            </w:r>
            <w:r>
              <w:rPr>
                <w:rFonts w:hint="default" w:ascii="Times New Roman" w:hAnsi="Times New Roman" w:eastAsia="宋体"/>
                <w:color w:val="auto"/>
                <w:sz w:val="24"/>
                <w:highlight w:val="none"/>
                <w:lang w:val="zh-CN"/>
              </w:rPr>
              <w:t>类声功能区，噪声</w:t>
            </w:r>
            <w:r>
              <w:rPr>
                <w:rFonts w:hint="default" w:ascii="Times New Roman" w:hAnsi="Times New Roman" w:eastAsia="宋体"/>
                <w:bCs/>
                <w:snapToGrid w:val="0"/>
                <w:color w:val="auto"/>
                <w:kern w:val="0"/>
                <w:sz w:val="24"/>
                <w:highlight w:val="none"/>
              </w:rPr>
              <w:t>执行《声环境质量标准》</w:t>
            </w:r>
            <w:r>
              <w:rPr>
                <w:rFonts w:hint="eastAsia" w:ascii="Times New Roman" w:hAnsi="Times New Roman" w:eastAsia="宋体"/>
                <w:bCs/>
                <w:snapToGrid w:val="0"/>
                <w:color w:val="auto"/>
                <w:kern w:val="0"/>
                <w:sz w:val="24"/>
                <w:highlight w:val="none"/>
              </w:rPr>
              <w:t>（GB 3096-2008）</w:t>
            </w:r>
            <w:r>
              <w:rPr>
                <w:rFonts w:hint="eastAsia" w:ascii="Times New Roman" w:hAnsi="Times New Roman" w:eastAsia="宋体"/>
                <w:bCs/>
                <w:snapToGrid w:val="0"/>
                <w:color w:val="auto"/>
                <w:kern w:val="0"/>
                <w:sz w:val="24"/>
                <w:highlight w:val="none"/>
                <w:lang w:val="en-US" w:eastAsia="zh-CN"/>
              </w:rPr>
              <w:t>2</w:t>
            </w:r>
            <w:r>
              <w:rPr>
                <w:rFonts w:hint="default" w:ascii="Times New Roman" w:hAnsi="Times New Roman" w:eastAsia="宋体"/>
                <w:bCs/>
                <w:snapToGrid w:val="0"/>
                <w:color w:val="auto"/>
                <w:kern w:val="0"/>
                <w:sz w:val="24"/>
                <w:highlight w:val="none"/>
              </w:rPr>
              <w:t>类声环境功能区环境噪声限值，详见</w:t>
            </w:r>
            <w:r>
              <w:rPr>
                <w:rFonts w:hint="eastAsia" w:ascii="Times New Roman" w:hAnsi="Times New Roman" w:eastAsia="宋体"/>
                <w:bCs/>
                <w:snapToGrid w:val="0"/>
                <w:color w:val="auto"/>
                <w:kern w:val="0"/>
                <w:sz w:val="24"/>
                <w:highlight w:val="none"/>
                <w:lang w:eastAsia="zh-CN"/>
              </w:rPr>
              <w:t>下表</w:t>
            </w:r>
            <w:r>
              <w:rPr>
                <w:rFonts w:hint="default" w:ascii="Times New Roman" w:hAnsi="Times New Roman" w:eastAsia="宋体"/>
                <w:bCs/>
                <w:snapToGrid w:val="0"/>
                <w:color w:val="auto"/>
                <w:kern w:val="0"/>
                <w:sz w:val="24"/>
                <w:highlight w:val="none"/>
              </w:rPr>
              <w:t>。</w:t>
            </w:r>
          </w:p>
          <w:p w14:paraId="53532C6E">
            <w:pPr>
              <w:pStyle w:val="9"/>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highlight w:val="none"/>
                <w:lang w:val="en-US" w:eastAsia="zh-CN"/>
              </w:rPr>
            </w:pPr>
            <w:r>
              <w:rPr>
                <w:rFonts w:hint="default" w:ascii="Times New Roman" w:hAnsi="Times New Roman" w:eastAsia="宋体" w:cs="Times New Roman"/>
                <w:b/>
                <w:bCs/>
                <w:color w:val="auto"/>
                <w:kern w:val="0"/>
                <w:sz w:val="24"/>
                <w:szCs w:val="20"/>
                <w:highlight w:val="none"/>
                <w:lang w:val="en-US" w:eastAsia="zh-CN" w:bidi="ar-SA"/>
              </w:rPr>
              <w:t>表3-</w:t>
            </w:r>
            <w:r>
              <w:rPr>
                <w:rFonts w:hint="eastAsia" w:cs="Times New Roman"/>
                <w:b/>
                <w:bCs/>
                <w:color w:val="auto"/>
                <w:kern w:val="0"/>
                <w:sz w:val="24"/>
                <w:szCs w:val="20"/>
                <w:highlight w:val="none"/>
                <w:lang w:val="en-US" w:eastAsia="zh-CN" w:bidi="ar-SA"/>
              </w:rPr>
              <w:t>7</w:t>
            </w:r>
            <w:r>
              <w:rPr>
                <w:rFonts w:hint="eastAsia" w:ascii="Times New Roman" w:hAnsi="Times New Roman" w:eastAsia="宋体" w:cs="Times New Roman"/>
                <w:b/>
                <w:bCs/>
                <w:color w:val="auto"/>
                <w:kern w:val="0"/>
                <w:sz w:val="24"/>
                <w:szCs w:val="20"/>
                <w:highlight w:val="none"/>
                <w:lang w:val="en-US" w:eastAsia="zh-CN" w:bidi="ar-SA"/>
              </w:rPr>
              <w:t xml:space="preserve">  </w:t>
            </w:r>
            <w:r>
              <w:rPr>
                <w:rFonts w:hint="eastAsia" w:ascii="Times New Roman" w:hAnsi="Times New Roman" w:eastAsia="宋体"/>
                <w:b/>
                <w:bCs/>
                <w:color w:val="auto"/>
                <w:highlight w:val="none"/>
                <w:lang w:val="en-US" w:eastAsia="zh-CN"/>
              </w:rPr>
              <w:t>环境噪声限值   单位：dB(A)</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3"/>
              <w:gridCol w:w="1461"/>
              <w:gridCol w:w="1463"/>
              <w:gridCol w:w="3857"/>
            </w:tblGrid>
            <w:tr w14:paraId="66AA9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noWrap w:val="0"/>
                  <w:vAlign w:val="center"/>
                </w:tcPr>
                <w:p w14:paraId="067BF9A4">
                  <w:pPr>
                    <w:keepNext w:val="0"/>
                    <w:keepLines w:val="0"/>
                    <w:suppressLineNumbers w:val="0"/>
                    <w:spacing w:before="0" w:beforeAutospacing="0" w:after="0" w:afterAutospacing="0"/>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声环境功能区类别</w:t>
                  </w:r>
                </w:p>
              </w:tc>
              <w:tc>
                <w:tcPr>
                  <w:tcW w:w="803" w:type="pct"/>
                  <w:noWrap w:val="0"/>
                  <w:vAlign w:val="center"/>
                </w:tcPr>
                <w:p w14:paraId="091C3921">
                  <w:pPr>
                    <w:keepNext w:val="0"/>
                    <w:keepLines w:val="0"/>
                    <w:suppressLineNumbers w:val="0"/>
                    <w:spacing w:before="0" w:beforeAutospacing="0" w:after="0" w:afterAutospacing="0"/>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昼间</w:t>
                  </w:r>
                </w:p>
              </w:tc>
              <w:tc>
                <w:tcPr>
                  <w:tcW w:w="804" w:type="pct"/>
                  <w:noWrap w:val="0"/>
                  <w:vAlign w:val="center"/>
                </w:tcPr>
                <w:p w14:paraId="28FE8CC6">
                  <w:pPr>
                    <w:keepNext w:val="0"/>
                    <w:keepLines w:val="0"/>
                    <w:suppressLineNumbers w:val="0"/>
                    <w:spacing w:before="0" w:beforeAutospacing="0" w:after="0" w:afterAutospacing="0"/>
                    <w:ind w:left="0" w:right="0"/>
                    <w:jc w:val="center"/>
                    <w:rPr>
                      <w:rFonts w:hint="default" w:ascii="Times New Roman" w:hAnsi="Times New Roman" w:eastAsia="宋体"/>
                      <w:b/>
                      <w:color w:val="auto"/>
                      <w:highlight w:val="none"/>
                    </w:rPr>
                  </w:pPr>
                  <w:r>
                    <w:rPr>
                      <w:rFonts w:hint="default" w:ascii="Times New Roman" w:hAnsi="Times New Roman" w:eastAsia="宋体"/>
                      <w:b/>
                      <w:color w:val="auto"/>
                      <w:highlight w:val="none"/>
                    </w:rPr>
                    <w:t>夜间</w:t>
                  </w:r>
                </w:p>
              </w:tc>
              <w:tc>
                <w:tcPr>
                  <w:tcW w:w="2119" w:type="pct"/>
                  <w:noWrap w:val="0"/>
                  <w:vAlign w:val="center"/>
                </w:tcPr>
                <w:p w14:paraId="4D1B20DD">
                  <w:pPr>
                    <w:keepNext w:val="0"/>
                    <w:keepLines w:val="0"/>
                    <w:suppressLineNumbers w:val="0"/>
                    <w:spacing w:before="0" w:beforeAutospacing="0" w:after="0" w:afterAutospacing="0"/>
                    <w:ind w:left="0" w:right="0"/>
                    <w:jc w:val="center"/>
                    <w:rPr>
                      <w:rFonts w:hint="default" w:ascii="Times New Roman" w:hAnsi="Times New Roman" w:eastAsia="宋体"/>
                      <w:b/>
                      <w:color w:val="auto"/>
                      <w:highlight w:val="none"/>
                    </w:rPr>
                  </w:pPr>
                  <w:r>
                    <w:rPr>
                      <w:rFonts w:hint="default" w:ascii="Times New Roman" w:hAnsi="Times New Roman" w:eastAsia="宋体"/>
                      <w:b/>
                      <w:bCs/>
                      <w:color w:val="auto"/>
                      <w:szCs w:val="21"/>
                      <w:highlight w:val="none"/>
                    </w:rPr>
                    <w:t>标准来源</w:t>
                  </w:r>
                </w:p>
              </w:tc>
            </w:tr>
            <w:tr w14:paraId="0CF47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1" w:type="pct"/>
                  <w:noWrap w:val="0"/>
                  <w:vAlign w:val="center"/>
                </w:tcPr>
                <w:p w14:paraId="3C168991">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rPr>
                  </w:pPr>
                  <w:r>
                    <w:rPr>
                      <w:rFonts w:hint="eastAsia" w:ascii="Times New Roman" w:hAnsi="Times New Roman" w:eastAsia="宋体"/>
                      <w:color w:val="auto"/>
                      <w:highlight w:val="none"/>
                      <w:lang w:val="en-US" w:eastAsia="zh-CN"/>
                    </w:rPr>
                    <w:t>2</w:t>
                  </w:r>
                  <w:r>
                    <w:rPr>
                      <w:rFonts w:hint="default" w:ascii="Times New Roman" w:hAnsi="Times New Roman" w:eastAsia="宋体"/>
                      <w:color w:val="auto"/>
                      <w:highlight w:val="none"/>
                    </w:rPr>
                    <w:t>类</w:t>
                  </w:r>
                </w:p>
              </w:tc>
              <w:tc>
                <w:tcPr>
                  <w:tcW w:w="803" w:type="pct"/>
                  <w:noWrap w:val="0"/>
                  <w:vAlign w:val="center"/>
                </w:tcPr>
                <w:p w14:paraId="26A85B6A">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60</w:t>
                  </w:r>
                </w:p>
              </w:tc>
              <w:tc>
                <w:tcPr>
                  <w:tcW w:w="804" w:type="pct"/>
                  <w:noWrap w:val="0"/>
                  <w:vAlign w:val="center"/>
                </w:tcPr>
                <w:p w14:paraId="555F46B7">
                  <w:pPr>
                    <w:keepNext w:val="0"/>
                    <w:keepLines w:val="0"/>
                    <w:suppressLineNumbers w:val="0"/>
                    <w:spacing w:before="0" w:beforeAutospacing="0" w:after="0" w:afterAutospacing="0"/>
                    <w:ind w:left="0" w:right="0"/>
                    <w:jc w:val="center"/>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50</w:t>
                  </w:r>
                </w:p>
              </w:tc>
              <w:tc>
                <w:tcPr>
                  <w:tcW w:w="2119" w:type="pct"/>
                  <w:noWrap w:val="0"/>
                  <w:vAlign w:val="center"/>
                </w:tcPr>
                <w:p w14:paraId="16438A34">
                  <w:pPr>
                    <w:keepNext w:val="0"/>
                    <w:keepLines w:val="0"/>
                    <w:suppressLineNumbers w:val="0"/>
                    <w:spacing w:before="0" w:beforeAutospacing="0" w:after="0" w:afterAutospacing="0"/>
                    <w:ind w:left="0" w:right="0"/>
                    <w:jc w:val="center"/>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rPr>
                    <w:t>《声环境质量标准》（GB 3096-2008）</w:t>
                  </w:r>
                </w:p>
              </w:tc>
            </w:tr>
          </w:tbl>
          <w:p w14:paraId="01D20A73">
            <w:pPr>
              <w:keepNext w:val="0"/>
              <w:keepLines w:val="0"/>
              <w:pageBreakBefore w:val="0"/>
              <w:widowControl w:val="0"/>
              <w:suppressLineNumbers w:val="0"/>
              <w:tabs>
                <w:tab w:val="left" w:pos="180"/>
              </w:tabs>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b/>
                <w:color w:val="auto"/>
                <w:sz w:val="24"/>
                <w:highlight w:val="none"/>
              </w:rPr>
            </w:pPr>
            <w:r>
              <w:rPr>
                <w:rFonts w:hint="default" w:ascii="Times New Roman" w:hAnsi="Times New Roman" w:eastAsia="宋体"/>
                <w:b/>
                <w:color w:val="auto"/>
                <w:sz w:val="24"/>
                <w:highlight w:val="none"/>
              </w:rPr>
              <w:t>二、污染物排放标准</w:t>
            </w:r>
          </w:p>
          <w:p w14:paraId="05C6B477">
            <w:pPr>
              <w:keepNext w:val="0"/>
              <w:keepLines w:val="0"/>
              <w:pageBreakBefore w:val="0"/>
              <w:suppressLineNumbers w:val="0"/>
              <w:tabs>
                <w:tab w:val="left" w:pos="180"/>
              </w:tabs>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b/>
                <w:color w:val="auto"/>
                <w:sz w:val="24"/>
                <w:highlight w:val="none"/>
              </w:rPr>
            </w:pPr>
            <w:r>
              <w:rPr>
                <w:rFonts w:hint="default" w:ascii="Times New Roman" w:hAnsi="Times New Roman" w:eastAsia="宋体"/>
                <w:b/>
                <w:color w:val="auto"/>
                <w:sz w:val="24"/>
                <w:highlight w:val="none"/>
              </w:rPr>
              <w:t>1、废气排放标准：</w:t>
            </w:r>
          </w:p>
          <w:p w14:paraId="3D3CAC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color w:val="auto"/>
                <w:highlight w:val="none"/>
              </w:rPr>
            </w:pPr>
            <w:r>
              <w:rPr>
                <w:rFonts w:hint="eastAsia" w:ascii="Times New Roman" w:hAnsi="Times New Roman" w:eastAsia="宋体" w:cs="宋体"/>
                <w:b w:val="0"/>
                <w:bCs w:val="0"/>
                <w:color w:val="auto"/>
                <w:sz w:val="24"/>
                <w:szCs w:val="24"/>
                <w:highlight w:val="none"/>
                <w:lang w:val="en-US" w:eastAsia="zh-CN"/>
              </w:rPr>
              <w:t>本</w:t>
            </w:r>
            <w:r>
              <w:rPr>
                <w:rFonts w:hint="default" w:ascii="Times New Roman" w:hAnsi="Times New Roman" w:eastAsia="宋体" w:cs="宋体"/>
                <w:b w:val="0"/>
                <w:bCs w:val="0"/>
                <w:color w:val="auto"/>
                <w:sz w:val="24"/>
                <w:szCs w:val="24"/>
                <w:highlight w:val="none"/>
              </w:rPr>
              <w:t>项目</w:t>
            </w:r>
            <w:r>
              <w:rPr>
                <w:rFonts w:hint="eastAsia" w:cs="宋体"/>
                <w:b w:val="0"/>
                <w:bCs w:val="0"/>
                <w:color w:val="auto"/>
                <w:sz w:val="24"/>
                <w:szCs w:val="24"/>
                <w:highlight w:val="none"/>
                <w:lang w:val="en-US" w:eastAsia="zh-CN"/>
              </w:rPr>
              <w:t>精细</w:t>
            </w:r>
            <w:r>
              <w:rPr>
                <w:rFonts w:hint="default" w:ascii="Times New Roman" w:hAnsi="Times New Roman" w:eastAsia="宋体" w:cs="宋体"/>
                <w:b w:val="0"/>
                <w:bCs w:val="0"/>
                <w:color w:val="auto"/>
                <w:sz w:val="24"/>
                <w:szCs w:val="24"/>
                <w:highlight w:val="none"/>
              </w:rPr>
              <w:t>抛光</w:t>
            </w:r>
            <w:r>
              <w:rPr>
                <w:rFonts w:hint="eastAsia" w:cs="宋体"/>
                <w:b w:val="0"/>
                <w:bCs w:val="0"/>
                <w:color w:val="auto"/>
                <w:sz w:val="24"/>
                <w:szCs w:val="24"/>
                <w:highlight w:val="none"/>
                <w:lang w:val="en-US" w:eastAsia="zh-CN"/>
              </w:rPr>
              <w:t>排放</w:t>
            </w:r>
            <w:r>
              <w:rPr>
                <w:rFonts w:hint="default" w:ascii="Times New Roman" w:hAnsi="Times New Roman" w:eastAsia="宋体" w:cs="宋体"/>
                <w:b w:val="0"/>
                <w:bCs w:val="0"/>
                <w:color w:val="auto"/>
                <w:sz w:val="24"/>
                <w:szCs w:val="24"/>
                <w:highlight w:val="none"/>
              </w:rPr>
              <w:t>的颗粒物</w:t>
            </w:r>
            <w:r>
              <w:rPr>
                <w:rFonts w:hint="eastAsia" w:cs="宋体"/>
                <w:b w:val="0"/>
                <w:bCs w:val="0"/>
                <w:color w:val="auto"/>
                <w:sz w:val="24"/>
                <w:szCs w:val="24"/>
                <w:highlight w:val="none"/>
                <w:lang w:eastAsia="zh-CN"/>
              </w:rPr>
              <w:t>、</w:t>
            </w:r>
            <w:r>
              <w:rPr>
                <w:rFonts w:hint="eastAsia" w:ascii="Times New Roman" w:hAnsi="Times New Roman" w:eastAsia="宋体" w:cs="宋体"/>
                <w:b w:val="0"/>
                <w:bCs w:val="0"/>
                <w:color w:val="auto"/>
                <w:sz w:val="24"/>
                <w:szCs w:val="24"/>
                <w:highlight w:val="none"/>
                <w:lang w:val="en-US" w:eastAsia="zh-CN"/>
              </w:rPr>
              <w:t>喷涂硅油-脱模剂</w:t>
            </w:r>
            <w:r>
              <w:rPr>
                <w:rFonts w:hint="eastAsia" w:cs="宋体"/>
                <w:b w:val="0"/>
                <w:bCs w:val="0"/>
                <w:color w:val="auto"/>
                <w:sz w:val="24"/>
                <w:szCs w:val="24"/>
                <w:highlight w:val="none"/>
                <w:lang w:val="en-US" w:eastAsia="zh-CN"/>
              </w:rPr>
              <w:t>排放</w:t>
            </w:r>
            <w:r>
              <w:rPr>
                <w:rFonts w:hint="eastAsia" w:ascii="Times New Roman" w:hAnsi="Times New Roman" w:eastAsia="宋体" w:cs="宋体"/>
                <w:b w:val="0"/>
                <w:bCs w:val="0"/>
                <w:color w:val="auto"/>
                <w:sz w:val="24"/>
                <w:szCs w:val="24"/>
                <w:highlight w:val="none"/>
                <w:lang w:val="en-US" w:eastAsia="zh-CN"/>
              </w:rPr>
              <w:t>的非甲烷总烃</w:t>
            </w:r>
            <w:r>
              <w:rPr>
                <w:rFonts w:hint="default" w:ascii="Times New Roman" w:hAnsi="Times New Roman" w:eastAsia="宋体" w:cs="宋体"/>
                <w:b w:val="0"/>
                <w:bCs w:val="0"/>
                <w:color w:val="auto"/>
                <w:sz w:val="24"/>
                <w:szCs w:val="24"/>
                <w:highlight w:val="none"/>
              </w:rPr>
              <w:t>执行江苏省地方标准《大气污染物综合排放标准</w:t>
            </w:r>
            <w:r>
              <w:rPr>
                <w:rFonts w:hint="eastAsia" w:ascii="Times New Roman" w:hAnsi="Times New Roman" w:eastAsia="宋体" w:cs="宋体"/>
                <w:b w:val="0"/>
                <w:bCs w:val="0"/>
                <w:color w:val="auto"/>
                <w:sz w:val="24"/>
                <w:szCs w:val="24"/>
                <w:highlight w:val="none"/>
                <w:lang w:eastAsia="zh-CN"/>
              </w:rPr>
              <w:t>》</w:t>
            </w:r>
            <w:r>
              <w:rPr>
                <w:rFonts w:hint="default" w:ascii="Times New Roman" w:hAnsi="Times New Roman" w:eastAsia="宋体" w:cs="宋体"/>
                <w:b w:val="0"/>
                <w:bCs w:val="0"/>
                <w:color w:val="auto"/>
                <w:sz w:val="24"/>
                <w:szCs w:val="24"/>
                <w:highlight w:val="none"/>
              </w:rPr>
              <w:t>（</w:t>
            </w:r>
            <w:r>
              <w:rPr>
                <w:rFonts w:hint="eastAsia" w:ascii="Times New Roman" w:hAnsi="Times New Roman" w:eastAsia="宋体" w:cs="TimesNewRomanPSMT"/>
                <w:b w:val="0"/>
                <w:bCs w:val="0"/>
                <w:color w:val="auto"/>
                <w:sz w:val="24"/>
                <w:szCs w:val="24"/>
                <w:highlight w:val="none"/>
                <w:lang w:eastAsia="zh-CN"/>
              </w:rPr>
              <w:t>DB32/4041-2021</w:t>
            </w:r>
            <w:r>
              <w:rPr>
                <w:rFonts w:hint="default" w:ascii="Times New Roman" w:hAnsi="Times New Roman" w:eastAsia="宋体" w:cs="宋体"/>
                <w:b w:val="0"/>
                <w:bCs w:val="0"/>
                <w:color w:val="auto"/>
                <w:sz w:val="24"/>
                <w:szCs w:val="24"/>
                <w:highlight w:val="none"/>
              </w:rPr>
              <w:t>）表</w:t>
            </w:r>
            <w:r>
              <w:rPr>
                <w:rFonts w:hint="default" w:ascii="Times New Roman" w:hAnsi="Times New Roman" w:eastAsia="宋体" w:cs="TimesNewRomanPSMT"/>
                <w:b w:val="0"/>
                <w:bCs w:val="0"/>
                <w:color w:val="auto"/>
                <w:sz w:val="24"/>
                <w:szCs w:val="24"/>
                <w:highlight w:val="none"/>
              </w:rPr>
              <w:t>1</w:t>
            </w:r>
            <w:r>
              <w:rPr>
                <w:rFonts w:hint="eastAsia" w:cs="TimesNewRomanPSMT"/>
                <w:b w:val="0"/>
                <w:bCs w:val="0"/>
                <w:color w:val="auto"/>
                <w:sz w:val="24"/>
                <w:szCs w:val="24"/>
                <w:highlight w:val="none"/>
                <w:lang w:val="en-US" w:eastAsia="zh-CN"/>
              </w:rPr>
              <w:t>和</w:t>
            </w:r>
            <w:r>
              <w:rPr>
                <w:rFonts w:hint="default" w:ascii="Times New Roman" w:hAnsi="Times New Roman" w:eastAsia="宋体" w:cs="宋体"/>
                <w:b w:val="0"/>
                <w:bCs w:val="0"/>
                <w:color w:val="auto"/>
                <w:sz w:val="24"/>
                <w:szCs w:val="24"/>
                <w:highlight w:val="none"/>
              </w:rPr>
              <w:t>表</w:t>
            </w:r>
            <w:r>
              <w:rPr>
                <w:rFonts w:hint="default" w:ascii="Times New Roman" w:hAnsi="Times New Roman" w:eastAsia="宋体" w:cs="TimesNewRomanPSMT"/>
                <w:b w:val="0"/>
                <w:bCs w:val="0"/>
                <w:color w:val="auto"/>
                <w:sz w:val="24"/>
                <w:szCs w:val="24"/>
                <w:highlight w:val="none"/>
              </w:rPr>
              <w:t>3</w:t>
            </w:r>
            <w:r>
              <w:rPr>
                <w:rFonts w:hint="default" w:ascii="Times New Roman" w:hAnsi="Times New Roman" w:eastAsia="宋体" w:cs="宋体"/>
                <w:b w:val="0"/>
                <w:bCs w:val="0"/>
                <w:color w:val="auto"/>
                <w:sz w:val="24"/>
                <w:szCs w:val="24"/>
                <w:highlight w:val="none"/>
              </w:rPr>
              <w:t>中标准。非甲烷总烃厂区内执行江苏省地方标准《大气污染物综合排放标准</w:t>
            </w:r>
            <w:r>
              <w:rPr>
                <w:rFonts w:hint="eastAsia" w:cs="宋体"/>
                <w:b w:val="0"/>
                <w:bCs w:val="0"/>
                <w:color w:val="auto"/>
                <w:sz w:val="24"/>
                <w:szCs w:val="24"/>
                <w:highlight w:val="none"/>
                <w:lang w:eastAsia="zh-CN"/>
              </w:rPr>
              <w:t>》</w:t>
            </w:r>
            <w:r>
              <w:rPr>
                <w:rFonts w:hint="default" w:ascii="Times New Roman" w:hAnsi="Times New Roman" w:eastAsia="宋体" w:cs="宋体"/>
                <w:b w:val="0"/>
                <w:bCs w:val="0"/>
                <w:color w:val="auto"/>
                <w:sz w:val="24"/>
                <w:szCs w:val="24"/>
                <w:highlight w:val="none"/>
              </w:rPr>
              <w:t>（</w:t>
            </w:r>
            <w:r>
              <w:rPr>
                <w:rFonts w:hint="eastAsia" w:ascii="Times New Roman" w:hAnsi="Times New Roman" w:eastAsia="宋体" w:cs="TimesNewRomanPSMT"/>
                <w:b w:val="0"/>
                <w:bCs w:val="0"/>
                <w:color w:val="auto"/>
                <w:sz w:val="24"/>
                <w:szCs w:val="24"/>
                <w:highlight w:val="none"/>
                <w:lang w:eastAsia="zh-CN"/>
              </w:rPr>
              <w:t>DB32/4041-2021</w:t>
            </w:r>
            <w:r>
              <w:rPr>
                <w:rFonts w:hint="default" w:ascii="Times New Roman" w:hAnsi="Times New Roman" w:eastAsia="宋体" w:cs="宋体"/>
                <w:b w:val="0"/>
                <w:bCs w:val="0"/>
                <w:color w:val="auto"/>
                <w:sz w:val="24"/>
                <w:szCs w:val="24"/>
                <w:highlight w:val="none"/>
              </w:rPr>
              <w:t>）表</w:t>
            </w:r>
            <w:r>
              <w:rPr>
                <w:rFonts w:hint="eastAsia" w:ascii="Times New Roman" w:hAnsi="Times New Roman" w:eastAsia="宋体" w:cs="宋体"/>
                <w:b w:val="0"/>
                <w:bCs w:val="0"/>
                <w:color w:val="auto"/>
                <w:sz w:val="24"/>
                <w:szCs w:val="24"/>
                <w:highlight w:val="none"/>
                <w:lang w:val="en-US" w:eastAsia="zh-CN"/>
              </w:rPr>
              <w:t>2中</w:t>
            </w:r>
            <w:r>
              <w:rPr>
                <w:rFonts w:hint="default" w:ascii="Times New Roman" w:hAnsi="Times New Roman" w:eastAsia="宋体" w:cs="宋体"/>
                <w:b w:val="0"/>
                <w:bCs w:val="0"/>
                <w:color w:val="auto"/>
                <w:sz w:val="24"/>
                <w:szCs w:val="24"/>
                <w:highlight w:val="none"/>
              </w:rPr>
              <w:t>的浓度限值。</w:t>
            </w:r>
          </w:p>
          <w:p w14:paraId="2A209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default" w:ascii="Times New Roman" w:hAnsi="Times New Roman" w:eastAsia="宋体"/>
                <w:b/>
                <w:bCs/>
                <w:color w:val="auto"/>
                <w:sz w:val="24"/>
                <w:szCs w:val="21"/>
                <w:highlight w:val="none"/>
              </w:rPr>
            </w:pPr>
            <w:r>
              <w:rPr>
                <w:rFonts w:hint="default" w:ascii="Times New Roman" w:hAnsi="Times New Roman" w:eastAsia="宋体" w:cs="宋体"/>
                <w:b/>
                <w:bCs/>
                <w:color w:val="auto"/>
                <w:kern w:val="2"/>
                <w:sz w:val="24"/>
                <w:szCs w:val="24"/>
                <w:highlight w:val="none"/>
                <w:lang w:val="en-US" w:eastAsia="zh-CN" w:bidi="ar-SA"/>
              </w:rPr>
              <w:t>表3-</w:t>
            </w:r>
            <w:r>
              <w:rPr>
                <w:rFonts w:hint="eastAsia" w:cs="宋体"/>
                <w:b/>
                <w:bCs/>
                <w:color w:val="auto"/>
                <w:kern w:val="2"/>
                <w:sz w:val="24"/>
                <w:szCs w:val="24"/>
                <w:highlight w:val="none"/>
                <w:lang w:val="en-US" w:eastAsia="zh-CN" w:bidi="ar-SA"/>
              </w:rPr>
              <w:t>8</w:t>
            </w:r>
            <w:r>
              <w:rPr>
                <w:rFonts w:hint="eastAsia" w:ascii="Times New Roman" w:hAnsi="Times New Roman" w:eastAsia="宋体" w:cs="宋体"/>
                <w:b/>
                <w:bCs/>
                <w:color w:val="auto"/>
                <w:kern w:val="2"/>
                <w:sz w:val="24"/>
                <w:szCs w:val="24"/>
                <w:highlight w:val="none"/>
                <w:lang w:val="en-US" w:eastAsia="zh-CN" w:bidi="ar-SA"/>
              </w:rPr>
              <w:t xml:space="preserve">  </w:t>
            </w:r>
            <w:r>
              <w:rPr>
                <w:rFonts w:hint="default" w:ascii="Times New Roman" w:hAnsi="Times New Roman" w:eastAsia="宋体"/>
                <w:b/>
                <w:bCs/>
                <w:color w:val="auto"/>
                <w:sz w:val="24"/>
                <w:highlight w:val="none"/>
              </w:rPr>
              <w:t>大气污染物排放标准限值表</w:t>
            </w:r>
          </w:p>
          <w:tbl>
            <w:tblPr>
              <w:tblStyle w:val="24"/>
              <w:tblW w:w="9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202"/>
              <w:gridCol w:w="1219"/>
              <w:gridCol w:w="1035"/>
              <w:gridCol w:w="921"/>
              <w:gridCol w:w="1254"/>
              <w:gridCol w:w="2265"/>
            </w:tblGrid>
            <w:tr w14:paraId="0333A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4" w:type="pct"/>
                  <w:tcBorders>
                    <w:tl2br w:val="nil"/>
                    <w:tr2bl w:val="nil"/>
                  </w:tcBorders>
                  <w:vAlign w:val="center"/>
                </w:tcPr>
                <w:p w14:paraId="7C4E0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产污工序</w:t>
                  </w:r>
                </w:p>
              </w:tc>
              <w:tc>
                <w:tcPr>
                  <w:tcW w:w="684" w:type="pct"/>
                  <w:tcBorders>
                    <w:tl2br w:val="nil"/>
                    <w:tr2bl w:val="nil"/>
                  </w:tcBorders>
                  <w:vAlign w:val="center"/>
                </w:tcPr>
                <w:p w14:paraId="20C73C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污染物名称</w:t>
                  </w:r>
                </w:p>
              </w:tc>
              <w:tc>
                <w:tcPr>
                  <w:tcW w:w="651" w:type="pct"/>
                  <w:tcBorders>
                    <w:tl2br w:val="nil"/>
                    <w:tr2bl w:val="nil"/>
                  </w:tcBorders>
                  <w:vAlign w:val="center"/>
                </w:tcPr>
                <w:p w14:paraId="1CB43E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最高容许排放浓度</w:t>
                  </w:r>
                </w:p>
                <w:p w14:paraId="4BC6A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（mg/m</w:t>
                  </w:r>
                  <w:r>
                    <w:rPr>
                      <w:rFonts w:hint="default" w:ascii="Times New Roman" w:hAnsi="Times New Roman" w:eastAsia="宋体"/>
                      <w:b/>
                      <w:bCs/>
                      <w:color w:val="auto"/>
                      <w:sz w:val="21"/>
                      <w:szCs w:val="21"/>
                      <w:highlight w:val="none"/>
                      <w:vertAlign w:val="superscript"/>
                    </w:rPr>
                    <w:t>3</w:t>
                  </w:r>
                  <w:r>
                    <w:rPr>
                      <w:rFonts w:hint="default" w:ascii="Times New Roman" w:hAnsi="Times New Roman" w:eastAsia="宋体"/>
                      <w:b/>
                      <w:bCs/>
                      <w:color w:val="auto"/>
                      <w:sz w:val="21"/>
                      <w:szCs w:val="21"/>
                      <w:highlight w:val="none"/>
                    </w:rPr>
                    <w:t>）</w:t>
                  </w:r>
                </w:p>
              </w:tc>
              <w:tc>
                <w:tcPr>
                  <w:tcW w:w="466" w:type="pct"/>
                  <w:tcBorders>
                    <w:tl2br w:val="nil"/>
                    <w:tr2bl w:val="nil"/>
                  </w:tcBorders>
                  <w:vAlign w:val="center"/>
                </w:tcPr>
                <w:p w14:paraId="0FB437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排放</w:t>
                  </w:r>
                </w:p>
                <w:p w14:paraId="6368B1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速率（kg/h）</w:t>
                  </w:r>
                </w:p>
              </w:tc>
              <w:tc>
                <w:tcPr>
                  <w:tcW w:w="530" w:type="pct"/>
                  <w:tcBorders>
                    <w:tl2br w:val="nil"/>
                    <w:tr2bl w:val="nil"/>
                  </w:tcBorders>
                  <w:vAlign w:val="center"/>
                </w:tcPr>
                <w:p w14:paraId="29523A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监控位置</w:t>
                  </w:r>
                </w:p>
              </w:tc>
              <w:tc>
                <w:tcPr>
                  <w:tcW w:w="713" w:type="pct"/>
                  <w:tcBorders>
                    <w:tl2br w:val="nil"/>
                    <w:tr2bl w:val="nil"/>
                  </w:tcBorders>
                  <w:vAlign w:val="center"/>
                </w:tcPr>
                <w:p w14:paraId="048816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无组织监控浓度限值（mg/m</w:t>
                  </w:r>
                  <w:r>
                    <w:rPr>
                      <w:rFonts w:hint="default" w:ascii="Times New Roman" w:hAnsi="Times New Roman" w:eastAsia="宋体"/>
                      <w:b/>
                      <w:bCs/>
                      <w:color w:val="auto"/>
                      <w:sz w:val="21"/>
                      <w:szCs w:val="21"/>
                      <w:highlight w:val="none"/>
                      <w:vertAlign w:val="superscript"/>
                    </w:rPr>
                    <w:t>3</w:t>
                  </w:r>
                  <w:r>
                    <w:rPr>
                      <w:rFonts w:hint="default" w:ascii="Times New Roman" w:hAnsi="Times New Roman" w:eastAsia="宋体"/>
                      <w:b/>
                      <w:bCs/>
                      <w:color w:val="auto"/>
                      <w:sz w:val="21"/>
                      <w:szCs w:val="21"/>
                      <w:highlight w:val="none"/>
                    </w:rPr>
                    <w:t>）</w:t>
                  </w:r>
                </w:p>
              </w:tc>
              <w:tc>
                <w:tcPr>
                  <w:tcW w:w="1268" w:type="pct"/>
                  <w:tcBorders>
                    <w:tl2br w:val="nil"/>
                    <w:tr2bl w:val="nil"/>
                  </w:tcBorders>
                  <w:vAlign w:val="center"/>
                </w:tcPr>
                <w:p w14:paraId="317CE3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标准来源</w:t>
                  </w:r>
                </w:p>
              </w:tc>
            </w:tr>
            <w:tr w14:paraId="6B391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84" w:type="pct"/>
                  <w:tcBorders>
                    <w:tl2br w:val="nil"/>
                    <w:tr2bl w:val="nil"/>
                  </w:tcBorders>
                  <w:vAlign w:val="center"/>
                </w:tcPr>
                <w:p w14:paraId="3910FD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喷涂硅油-脱模剂</w:t>
                  </w:r>
                </w:p>
              </w:tc>
              <w:tc>
                <w:tcPr>
                  <w:tcW w:w="684" w:type="pct"/>
                  <w:tcBorders>
                    <w:tl2br w:val="nil"/>
                    <w:tr2bl w:val="nil"/>
                  </w:tcBorders>
                  <w:vAlign w:val="center"/>
                </w:tcPr>
                <w:p w14:paraId="4D5BB7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非甲烷总烃</w:t>
                  </w:r>
                </w:p>
              </w:tc>
              <w:tc>
                <w:tcPr>
                  <w:tcW w:w="651" w:type="pct"/>
                  <w:tcBorders>
                    <w:tl2br w:val="nil"/>
                    <w:tr2bl w:val="nil"/>
                  </w:tcBorders>
                  <w:vAlign w:val="center"/>
                </w:tcPr>
                <w:p w14:paraId="66E6233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42" w:leftChars="-20" w:right="-42" w:rightChars="-2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60</w:t>
                  </w:r>
                </w:p>
              </w:tc>
              <w:tc>
                <w:tcPr>
                  <w:tcW w:w="466" w:type="pct"/>
                  <w:tcBorders>
                    <w:tl2br w:val="nil"/>
                    <w:tr2bl w:val="nil"/>
                  </w:tcBorders>
                  <w:vAlign w:val="center"/>
                </w:tcPr>
                <w:p w14:paraId="773ADB9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42" w:leftChars="-20" w:right="-42" w:rightChars="-2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p>
              </w:tc>
              <w:tc>
                <w:tcPr>
                  <w:tcW w:w="530" w:type="pct"/>
                  <w:vMerge w:val="restart"/>
                  <w:tcBorders>
                    <w:tl2br w:val="nil"/>
                    <w:tr2bl w:val="nil"/>
                  </w:tcBorders>
                  <w:vAlign w:val="center"/>
                </w:tcPr>
                <w:p w14:paraId="2BD286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 w:val="21"/>
                      <w:szCs w:val="21"/>
                      <w:highlight w:val="none"/>
                    </w:rPr>
                  </w:pPr>
                  <w:r>
                    <w:rPr>
                      <w:rFonts w:hint="default"/>
                      <w:color w:val="auto"/>
                      <w:szCs w:val="21"/>
                      <w:highlight w:val="none"/>
                    </w:rPr>
                    <w:t>车间</w:t>
                  </w:r>
                  <w:r>
                    <w:rPr>
                      <w:rFonts w:hint="eastAsia"/>
                      <w:color w:val="auto"/>
                      <w:szCs w:val="21"/>
                      <w:highlight w:val="none"/>
                    </w:rPr>
                    <w:t>排气筒出口</w:t>
                  </w:r>
                  <w:r>
                    <w:rPr>
                      <w:rFonts w:hint="default"/>
                      <w:color w:val="auto"/>
                      <w:szCs w:val="21"/>
                      <w:highlight w:val="none"/>
                    </w:rPr>
                    <w:t>或生产设施排气筒</w:t>
                  </w:r>
                  <w:r>
                    <w:rPr>
                      <w:rFonts w:hint="eastAsia"/>
                      <w:color w:val="auto"/>
                      <w:szCs w:val="21"/>
                      <w:highlight w:val="none"/>
                    </w:rPr>
                    <w:t>出口</w:t>
                  </w:r>
                </w:p>
              </w:tc>
              <w:tc>
                <w:tcPr>
                  <w:tcW w:w="713" w:type="pct"/>
                  <w:tcBorders>
                    <w:top w:val="single" w:color="000000" w:sz="2" w:space="0"/>
                    <w:bottom w:val="single" w:color="000000" w:sz="2" w:space="0"/>
                    <w:tl2br w:val="nil"/>
                    <w:tr2bl w:val="nil"/>
                  </w:tcBorders>
                  <w:vAlign w:val="center"/>
                </w:tcPr>
                <w:p w14:paraId="7BDFD8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w:t>
                  </w:r>
                </w:p>
              </w:tc>
              <w:tc>
                <w:tcPr>
                  <w:tcW w:w="1268" w:type="pct"/>
                  <w:vMerge w:val="restart"/>
                  <w:tcBorders>
                    <w:top w:val="single" w:color="000000" w:sz="2" w:space="0"/>
                    <w:tl2br w:val="nil"/>
                    <w:tr2bl w:val="nil"/>
                  </w:tcBorders>
                  <w:vAlign w:val="center"/>
                </w:tcPr>
                <w:p w14:paraId="1B360B9E">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《大气污染物综合排放标准</w:t>
                  </w:r>
                  <w:r>
                    <w:rPr>
                      <w:rFonts w:hint="default" w:ascii="Times New Roman" w:hAnsi="Times New Roman" w:eastAsia="宋体"/>
                      <w:color w:val="auto"/>
                      <w:sz w:val="21"/>
                      <w:szCs w:val="21"/>
                      <w:highlight w:val="none"/>
                      <w:lang w:eastAsia="zh-CN"/>
                    </w:rPr>
                    <w:t>》</w:t>
                  </w:r>
                  <w:r>
                    <w:rPr>
                      <w:rFonts w:hint="default" w:ascii="Times New Roman" w:hAnsi="Times New Roman" w:eastAsia="宋体"/>
                      <w:color w:val="auto"/>
                      <w:sz w:val="21"/>
                      <w:szCs w:val="21"/>
                      <w:highlight w:val="none"/>
                    </w:rPr>
                    <w:t>（</w:t>
                  </w:r>
                  <w:r>
                    <w:rPr>
                      <w:rFonts w:hint="default" w:ascii="Times New Roman" w:hAnsi="Times New Roman" w:eastAsia="宋体"/>
                      <w:color w:val="auto"/>
                      <w:sz w:val="21"/>
                      <w:szCs w:val="21"/>
                      <w:highlight w:val="none"/>
                      <w:lang w:eastAsia="zh-CN"/>
                    </w:rPr>
                    <w:t>DB32/4041-2021</w:t>
                  </w:r>
                  <w:r>
                    <w:rPr>
                      <w:rFonts w:hint="default" w:ascii="Times New Roman" w:hAnsi="Times New Roman" w:eastAsia="宋体"/>
                      <w:color w:val="auto"/>
                      <w:sz w:val="21"/>
                      <w:szCs w:val="21"/>
                      <w:highlight w:val="none"/>
                    </w:rPr>
                    <w:t>）表1</w:t>
                  </w:r>
                  <w:r>
                    <w:rPr>
                      <w:rFonts w:hint="eastAsia" w:ascii="Times New Roman" w:hAnsi="Times New Roman" w:eastAsia="宋体"/>
                      <w:color w:val="auto"/>
                      <w:sz w:val="21"/>
                      <w:szCs w:val="21"/>
                      <w:highlight w:val="none"/>
                      <w:lang w:eastAsia="zh-CN"/>
                    </w:rPr>
                    <w:t>、江苏省地方标准《大气污染物综合排放标准》（DB32/4041-2021）表3中标准</w:t>
                  </w:r>
                </w:p>
              </w:tc>
            </w:tr>
            <w:tr w14:paraId="66285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684" w:type="pct"/>
                  <w:tcBorders>
                    <w:tl2br w:val="nil"/>
                    <w:tr2bl w:val="nil"/>
                  </w:tcBorders>
                  <w:vAlign w:val="center"/>
                </w:tcPr>
                <w:p w14:paraId="0261C6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精细抛光</w:t>
                  </w:r>
                </w:p>
              </w:tc>
              <w:tc>
                <w:tcPr>
                  <w:tcW w:w="684" w:type="pct"/>
                  <w:tcBorders>
                    <w:tl2br w:val="nil"/>
                    <w:tr2bl w:val="nil"/>
                  </w:tcBorders>
                  <w:vAlign w:val="center"/>
                </w:tcPr>
                <w:p w14:paraId="475737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颗粒物</w:t>
                  </w:r>
                </w:p>
              </w:tc>
              <w:tc>
                <w:tcPr>
                  <w:tcW w:w="651" w:type="pct"/>
                  <w:tcBorders>
                    <w:tl2br w:val="nil"/>
                    <w:tr2bl w:val="nil"/>
                  </w:tcBorders>
                  <w:vAlign w:val="center"/>
                </w:tcPr>
                <w:p w14:paraId="6033ADFB">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42" w:leftChars="-20" w:right="-42" w:rightChars="-2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w:t>
                  </w:r>
                </w:p>
              </w:tc>
              <w:tc>
                <w:tcPr>
                  <w:tcW w:w="466" w:type="pct"/>
                  <w:tcBorders>
                    <w:tl2br w:val="nil"/>
                    <w:tr2bl w:val="nil"/>
                  </w:tcBorders>
                  <w:vAlign w:val="center"/>
                </w:tcPr>
                <w:p w14:paraId="7AE4759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exact"/>
                    <w:ind w:left="-42" w:leftChars="-20" w:right="-42" w:rightChars="-2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530" w:type="pct"/>
                  <w:vMerge w:val="continue"/>
                  <w:tcBorders>
                    <w:tl2br w:val="nil"/>
                    <w:tr2bl w:val="nil"/>
                  </w:tcBorders>
                  <w:vAlign w:val="center"/>
                </w:tcPr>
                <w:p w14:paraId="0FC5B6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Cs w:val="21"/>
                      <w:highlight w:val="none"/>
                    </w:rPr>
                  </w:pPr>
                </w:p>
              </w:tc>
              <w:tc>
                <w:tcPr>
                  <w:tcW w:w="713" w:type="pct"/>
                  <w:tcBorders>
                    <w:top w:val="single" w:color="000000" w:sz="2" w:space="0"/>
                    <w:tl2br w:val="nil"/>
                    <w:tr2bl w:val="nil"/>
                  </w:tcBorders>
                  <w:vAlign w:val="center"/>
                </w:tcPr>
                <w:p w14:paraId="51424E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0.5</w:t>
                  </w:r>
                </w:p>
              </w:tc>
              <w:tc>
                <w:tcPr>
                  <w:tcW w:w="1268" w:type="pct"/>
                  <w:vMerge w:val="continue"/>
                  <w:tcBorders>
                    <w:tl2br w:val="nil"/>
                    <w:tr2bl w:val="nil"/>
                  </w:tcBorders>
                  <w:vAlign w:val="center"/>
                </w:tcPr>
                <w:p w14:paraId="2AFD7B71">
                  <w:pPr>
                    <w:keepNext w:val="0"/>
                    <w:keepLines w:val="0"/>
                    <w:suppressLineNumbers w:val="0"/>
                    <w:wordWrap w:val="0"/>
                    <w:adjustRightInd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p>
              </w:tc>
            </w:tr>
          </w:tbl>
          <w:p w14:paraId="0208010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425" w:leftChars="0" w:right="0" w:hanging="425" w:firstLineChars="0"/>
              <w:jc w:val="center"/>
              <w:textAlignment w:val="auto"/>
              <w:rPr>
                <w:rFonts w:hint="default" w:ascii="Times New Roman" w:hAnsi="Times New Roman" w:eastAsia="宋体"/>
                <w:b/>
                <w:bCs/>
                <w:color w:val="auto"/>
                <w:sz w:val="24"/>
                <w:highlight w:val="none"/>
              </w:rPr>
            </w:pPr>
            <w:r>
              <w:rPr>
                <w:rFonts w:hint="default" w:ascii="Times New Roman" w:hAnsi="Times New Roman" w:eastAsia="宋体" w:cs="宋体"/>
                <w:b/>
                <w:bCs/>
                <w:color w:val="auto"/>
                <w:kern w:val="2"/>
                <w:sz w:val="24"/>
                <w:szCs w:val="24"/>
                <w:highlight w:val="none"/>
                <w:lang w:val="en-US" w:eastAsia="zh-CN" w:bidi="ar-SA"/>
              </w:rPr>
              <w:t>表3-</w:t>
            </w:r>
            <w:r>
              <w:rPr>
                <w:rFonts w:hint="eastAsia" w:cs="宋体"/>
                <w:b/>
                <w:bCs/>
                <w:color w:val="auto"/>
                <w:kern w:val="2"/>
                <w:sz w:val="24"/>
                <w:szCs w:val="24"/>
                <w:highlight w:val="none"/>
                <w:lang w:val="en-US" w:eastAsia="zh-CN" w:bidi="ar-SA"/>
              </w:rPr>
              <w:t xml:space="preserve">9 </w:t>
            </w:r>
            <w:r>
              <w:rPr>
                <w:rFonts w:hint="eastAsia" w:ascii="Times New Roman" w:hAnsi="Times New Roman" w:eastAsia="宋体"/>
                <w:b/>
                <w:bCs/>
                <w:color w:val="auto"/>
                <w:sz w:val="24"/>
                <w:highlight w:val="none"/>
              </w:rPr>
              <w:t xml:space="preserve"> </w:t>
            </w:r>
            <w:r>
              <w:rPr>
                <w:rFonts w:hint="default" w:ascii="Times New Roman" w:hAnsi="Times New Roman" w:eastAsia="宋体"/>
                <w:b/>
                <w:bCs/>
                <w:color w:val="auto"/>
                <w:sz w:val="24"/>
                <w:highlight w:val="none"/>
              </w:rPr>
              <w:t>厂区内</w:t>
            </w:r>
            <w:r>
              <w:rPr>
                <w:rFonts w:hint="eastAsia" w:ascii="Times New Roman" w:hAnsi="Times New Roman" w:eastAsia="宋体"/>
                <w:b/>
                <w:bCs/>
                <w:color w:val="auto"/>
                <w:sz w:val="24"/>
                <w:highlight w:val="none"/>
                <w:lang w:val="en-US" w:eastAsia="zh-CN"/>
              </w:rPr>
              <w:t>非甲烷总烃</w:t>
            </w:r>
            <w:r>
              <w:rPr>
                <w:rFonts w:hint="default" w:ascii="Times New Roman" w:hAnsi="Times New Roman" w:eastAsia="宋体"/>
                <w:b/>
                <w:bCs/>
                <w:color w:val="auto"/>
                <w:sz w:val="24"/>
                <w:highlight w:val="none"/>
              </w:rPr>
              <w:t>无组织排放限值</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336"/>
              <w:gridCol w:w="2664"/>
              <w:gridCol w:w="1305"/>
              <w:gridCol w:w="2823"/>
            </w:tblGrid>
            <w:tr w14:paraId="3A76B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31" w:type="pct"/>
                  <w:tcMar>
                    <w:left w:w="0" w:type="dxa"/>
                    <w:right w:w="0" w:type="dxa"/>
                  </w:tcMar>
                  <w:vAlign w:val="center"/>
                </w:tcPr>
                <w:p w14:paraId="31326319">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污染物</w:t>
                  </w:r>
                </w:p>
              </w:tc>
              <w:tc>
                <w:tcPr>
                  <w:tcW w:w="734" w:type="pct"/>
                  <w:tcMar>
                    <w:left w:w="0" w:type="dxa"/>
                    <w:right w:w="0" w:type="dxa"/>
                  </w:tcMar>
                  <w:vAlign w:val="center"/>
                </w:tcPr>
                <w:p w14:paraId="1B2990E6">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特别排放限值(mg/m</w:t>
                  </w:r>
                  <w:r>
                    <w:rPr>
                      <w:rFonts w:hint="default" w:ascii="Times New Roman" w:hAnsi="Times New Roman" w:eastAsia="宋体"/>
                      <w:b/>
                      <w:color w:val="auto"/>
                      <w:sz w:val="21"/>
                      <w:szCs w:val="21"/>
                      <w:highlight w:val="none"/>
                      <w:vertAlign w:val="superscript"/>
                    </w:rPr>
                    <w:t>3</w:t>
                  </w:r>
                  <w:r>
                    <w:rPr>
                      <w:rFonts w:hint="default" w:ascii="Times New Roman" w:hAnsi="Times New Roman" w:eastAsia="宋体"/>
                      <w:b/>
                      <w:color w:val="auto"/>
                      <w:sz w:val="21"/>
                      <w:szCs w:val="21"/>
                      <w:highlight w:val="none"/>
                    </w:rPr>
                    <w:t>)</w:t>
                  </w:r>
                </w:p>
              </w:tc>
              <w:tc>
                <w:tcPr>
                  <w:tcW w:w="1464" w:type="pct"/>
                  <w:tcMar>
                    <w:left w:w="0" w:type="dxa"/>
                    <w:right w:w="0" w:type="dxa"/>
                  </w:tcMar>
                  <w:vAlign w:val="center"/>
                </w:tcPr>
                <w:p w14:paraId="79957984">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限值含义</w:t>
                  </w:r>
                </w:p>
              </w:tc>
              <w:tc>
                <w:tcPr>
                  <w:tcW w:w="717" w:type="pct"/>
                  <w:tcMar>
                    <w:left w:w="0" w:type="dxa"/>
                    <w:right w:w="0" w:type="dxa"/>
                  </w:tcMar>
                  <w:vAlign w:val="center"/>
                </w:tcPr>
                <w:p w14:paraId="06E4DB8D">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无组织排放监控位置</w:t>
                  </w:r>
                </w:p>
              </w:tc>
              <w:tc>
                <w:tcPr>
                  <w:tcW w:w="1551" w:type="pct"/>
                  <w:tcMar>
                    <w:left w:w="0" w:type="dxa"/>
                    <w:right w:w="0" w:type="dxa"/>
                  </w:tcMar>
                  <w:vAlign w:val="center"/>
                </w:tcPr>
                <w:p w14:paraId="183917CA">
                  <w:pPr>
                    <w:keepNext w:val="0"/>
                    <w:keepLines w:val="0"/>
                    <w:suppressLineNumbers w:val="0"/>
                    <w:tabs>
                      <w:tab w:val="left" w:pos="5142"/>
                    </w:tabs>
                    <w:snapToGrid w:val="0"/>
                    <w:spacing w:before="0" w:beforeAutospacing="0" w:after="0" w:afterAutospacing="0"/>
                    <w:ind w:left="0" w:right="0"/>
                    <w:jc w:val="center"/>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标准来源</w:t>
                  </w:r>
                </w:p>
              </w:tc>
            </w:tr>
            <w:tr w14:paraId="79629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31" w:type="pct"/>
                  <w:vMerge w:val="restart"/>
                  <w:tcMar>
                    <w:left w:w="0" w:type="dxa"/>
                    <w:right w:w="0" w:type="dxa"/>
                  </w:tcMar>
                  <w:vAlign w:val="center"/>
                </w:tcPr>
                <w:p w14:paraId="74722646">
                  <w:pPr>
                    <w:keepNext w:val="0"/>
                    <w:keepLines w:val="0"/>
                    <w:suppressLineNumbers w:val="0"/>
                    <w:snapToGrid w:val="0"/>
                    <w:spacing w:before="0" w:beforeAutospacing="0" w:after="0" w:afterAutospacing="0"/>
                    <w:ind w:left="0" w:right="0" w:firstLine="105" w:firstLineChars="5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非甲烷总烃</w:t>
                  </w:r>
                </w:p>
              </w:tc>
              <w:tc>
                <w:tcPr>
                  <w:tcW w:w="734" w:type="pct"/>
                  <w:tcMar>
                    <w:left w:w="0" w:type="dxa"/>
                    <w:right w:w="0" w:type="dxa"/>
                  </w:tcMar>
                  <w:vAlign w:val="center"/>
                </w:tcPr>
                <w:p w14:paraId="6300624A">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6</w:t>
                  </w:r>
                </w:p>
              </w:tc>
              <w:tc>
                <w:tcPr>
                  <w:tcW w:w="1464" w:type="pct"/>
                  <w:tcMar>
                    <w:left w:w="0" w:type="dxa"/>
                    <w:right w:w="0" w:type="dxa"/>
                  </w:tcMar>
                  <w:vAlign w:val="center"/>
                </w:tcPr>
                <w:p w14:paraId="2FE6C318">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监控点处1h平均浓度值</w:t>
                  </w:r>
                </w:p>
              </w:tc>
              <w:tc>
                <w:tcPr>
                  <w:tcW w:w="717" w:type="pct"/>
                  <w:vMerge w:val="restart"/>
                  <w:tcMar>
                    <w:left w:w="0" w:type="dxa"/>
                    <w:right w:w="0" w:type="dxa"/>
                  </w:tcMar>
                  <w:vAlign w:val="center"/>
                </w:tcPr>
                <w:p w14:paraId="147376F0">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在厂房外设置监控点</w:t>
                  </w:r>
                </w:p>
              </w:tc>
              <w:tc>
                <w:tcPr>
                  <w:tcW w:w="1551" w:type="pct"/>
                  <w:vMerge w:val="restart"/>
                  <w:tcMar>
                    <w:left w:w="0" w:type="dxa"/>
                    <w:right w:w="0" w:type="dxa"/>
                  </w:tcMar>
                  <w:vAlign w:val="center"/>
                </w:tcPr>
                <w:p w14:paraId="2B169FA5">
                  <w:pPr>
                    <w:keepNext w:val="0"/>
                    <w:keepLines w:val="0"/>
                    <w:suppressLineNumbers w:val="0"/>
                    <w:wordWrap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江苏省地方标准《大气污染物综合排放标准》（DB32/4041-2021）表</w:t>
                  </w:r>
                  <w:r>
                    <w:rPr>
                      <w:rFonts w:hint="eastAsia" w:ascii="Times New Roman" w:hAnsi="Times New Roman" w:eastAsia="宋体"/>
                      <w:color w:val="auto"/>
                      <w:sz w:val="21"/>
                      <w:szCs w:val="21"/>
                      <w:highlight w:val="none"/>
                      <w:lang w:val="en-US" w:eastAsia="zh-CN"/>
                    </w:rPr>
                    <w:t>2</w:t>
                  </w:r>
                  <w:r>
                    <w:rPr>
                      <w:rFonts w:hint="eastAsia" w:ascii="Times New Roman" w:hAnsi="Times New Roman" w:eastAsia="宋体"/>
                      <w:color w:val="auto"/>
                      <w:sz w:val="21"/>
                      <w:szCs w:val="21"/>
                      <w:highlight w:val="none"/>
                    </w:rPr>
                    <w:t>标准</w:t>
                  </w:r>
                </w:p>
              </w:tc>
            </w:tr>
            <w:tr w14:paraId="02DAD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531" w:type="pct"/>
                  <w:vMerge w:val="continue"/>
                  <w:tcMar>
                    <w:left w:w="0" w:type="dxa"/>
                    <w:right w:w="0" w:type="dxa"/>
                  </w:tcMar>
                  <w:vAlign w:val="center"/>
                </w:tcPr>
                <w:p w14:paraId="574CFB6D">
                  <w:pPr>
                    <w:keepNext w:val="0"/>
                    <w:keepLines w:val="0"/>
                    <w:suppressLineNumbers w:val="0"/>
                    <w:snapToGrid w:val="0"/>
                    <w:spacing w:before="0" w:beforeAutospacing="0" w:after="0" w:afterAutospacing="0"/>
                    <w:ind w:left="0" w:right="0" w:firstLine="120" w:firstLineChars="50"/>
                    <w:jc w:val="center"/>
                    <w:rPr>
                      <w:rFonts w:hint="default" w:ascii="Times New Roman" w:hAnsi="Times New Roman" w:eastAsia="宋体"/>
                      <w:color w:val="auto"/>
                      <w:sz w:val="24"/>
                      <w:szCs w:val="21"/>
                      <w:highlight w:val="none"/>
                    </w:rPr>
                  </w:pPr>
                </w:p>
              </w:tc>
              <w:tc>
                <w:tcPr>
                  <w:tcW w:w="734" w:type="pct"/>
                  <w:tcMar>
                    <w:left w:w="0" w:type="dxa"/>
                    <w:right w:w="0" w:type="dxa"/>
                  </w:tcMar>
                  <w:vAlign w:val="center"/>
                </w:tcPr>
                <w:p w14:paraId="176AC575">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20</w:t>
                  </w:r>
                </w:p>
              </w:tc>
              <w:tc>
                <w:tcPr>
                  <w:tcW w:w="1464" w:type="pct"/>
                  <w:tcMar>
                    <w:left w:w="0" w:type="dxa"/>
                    <w:right w:w="0" w:type="dxa"/>
                  </w:tcMar>
                  <w:vAlign w:val="center"/>
                </w:tcPr>
                <w:p w14:paraId="6D9D421E">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监控点处任意一次浓度值</w:t>
                  </w:r>
                </w:p>
              </w:tc>
              <w:tc>
                <w:tcPr>
                  <w:tcW w:w="717" w:type="pct"/>
                  <w:vMerge w:val="continue"/>
                  <w:tcMar>
                    <w:left w:w="0" w:type="dxa"/>
                    <w:right w:w="0" w:type="dxa"/>
                  </w:tcMar>
                  <w:vAlign w:val="center"/>
                </w:tcPr>
                <w:p w14:paraId="76F8C5DD">
                  <w:pPr>
                    <w:keepNext w:val="0"/>
                    <w:keepLines w:val="0"/>
                    <w:suppressLineNumbers w:val="0"/>
                    <w:snapToGrid w:val="0"/>
                    <w:spacing w:before="0" w:beforeAutospacing="0" w:after="0" w:afterAutospacing="0"/>
                    <w:ind w:left="0" w:right="0"/>
                    <w:jc w:val="center"/>
                    <w:rPr>
                      <w:rFonts w:hint="default" w:ascii="Times New Roman" w:hAnsi="Times New Roman" w:eastAsia="宋体"/>
                      <w:color w:val="auto"/>
                      <w:sz w:val="24"/>
                      <w:szCs w:val="21"/>
                      <w:highlight w:val="none"/>
                    </w:rPr>
                  </w:pPr>
                </w:p>
              </w:tc>
              <w:tc>
                <w:tcPr>
                  <w:tcW w:w="1551" w:type="pct"/>
                  <w:vMerge w:val="continue"/>
                  <w:tcMar>
                    <w:left w:w="0" w:type="dxa"/>
                    <w:right w:w="0" w:type="dxa"/>
                  </w:tcMar>
                  <w:vAlign w:val="center"/>
                </w:tcPr>
                <w:p w14:paraId="27F81E63">
                  <w:pPr>
                    <w:keepNext w:val="0"/>
                    <w:keepLines w:val="0"/>
                    <w:suppressLineNumbers w:val="0"/>
                    <w:snapToGrid w:val="0"/>
                    <w:spacing w:before="0" w:beforeAutospacing="0" w:after="0" w:afterAutospacing="0"/>
                    <w:ind w:left="0" w:right="0"/>
                    <w:jc w:val="center"/>
                    <w:rPr>
                      <w:rFonts w:hint="default" w:ascii="Times New Roman" w:hAnsi="Times New Roman" w:eastAsia="宋体"/>
                      <w:bCs/>
                      <w:color w:val="auto"/>
                      <w:sz w:val="24"/>
                      <w:szCs w:val="21"/>
                      <w:highlight w:val="none"/>
                    </w:rPr>
                  </w:pPr>
                </w:p>
              </w:tc>
            </w:tr>
          </w:tbl>
          <w:p w14:paraId="291822A4">
            <w:pPr>
              <w:keepNext w:val="0"/>
              <w:keepLines w:val="0"/>
              <w:suppressLineNumbers w:val="0"/>
              <w:tabs>
                <w:tab w:val="left" w:pos="180"/>
              </w:tabs>
              <w:snapToGrid w:val="0"/>
              <w:spacing w:before="0" w:beforeAutospacing="0" w:after="0" w:afterAutospacing="0" w:line="360" w:lineRule="auto"/>
              <w:ind w:left="0" w:right="0"/>
              <w:jc w:val="left"/>
              <w:rPr>
                <w:rFonts w:hint="default" w:ascii="Times New Roman" w:hAnsi="Times New Roman" w:eastAsia="宋体"/>
                <w:b/>
                <w:color w:val="auto"/>
                <w:sz w:val="24"/>
                <w:highlight w:val="none"/>
              </w:rPr>
            </w:pPr>
            <w:r>
              <w:rPr>
                <w:rFonts w:hint="default" w:ascii="Times New Roman" w:hAnsi="Times New Roman" w:eastAsia="宋体"/>
                <w:b/>
                <w:color w:val="auto"/>
                <w:sz w:val="24"/>
                <w:highlight w:val="none"/>
              </w:rPr>
              <w:t>2、废水排放标准：</w:t>
            </w:r>
          </w:p>
          <w:p w14:paraId="4AC96B8C">
            <w:pPr>
              <w:keepNext w:val="0"/>
              <w:keepLines w:val="0"/>
              <w:suppressLineNumbers w:val="0"/>
              <w:spacing w:before="0" w:beforeAutospacing="0" w:after="0" w:afterAutospacing="0" w:line="360" w:lineRule="auto"/>
              <w:ind w:left="0" w:right="0" w:firstLine="480" w:firstLineChars="200"/>
              <w:rPr>
                <w:rFonts w:hint="eastAsia"/>
                <w:bCs/>
                <w:color w:val="auto"/>
                <w:sz w:val="24"/>
                <w:highlight w:val="none"/>
                <w:shd w:val="clear" w:color="auto" w:fill="auto"/>
                <w:lang w:eastAsia="zh-CN"/>
              </w:rPr>
            </w:pPr>
            <w:r>
              <w:rPr>
                <w:rFonts w:hint="default"/>
                <w:color w:val="auto"/>
                <w:sz w:val="24"/>
                <w:highlight w:val="none"/>
              </w:rPr>
              <w:t>本项目</w:t>
            </w:r>
            <w:r>
              <w:rPr>
                <w:rFonts w:hint="eastAsia"/>
                <w:color w:val="auto"/>
                <w:sz w:val="24"/>
                <w:highlight w:val="none"/>
                <w:lang w:val="en-US" w:eastAsia="zh-CN"/>
              </w:rPr>
              <w:t>不新增废水产生及排放。公司</w:t>
            </w:r>
            <w:r>
              <w:rPr>
                <w:rFonts w:hint="eastAsia"/>
                <w:bCs/>
                <w:color w:val="auto"/>
                <w:sz w:val="24"/>
                <w:highlight w:val="none"/>
                <w:shd w:val="clear" w:color="auto" w:fill="auto"/>
                <w:lang w:eastAsia="zh-CN"/>
              </w:rPr>
              <w:t>接管</w:t>
            </w:r>
            <w:r>
              <w:rPr>
                <w:rFonts w:hint="eastAsia"/>
                <w:color w:val="auto"/>
                <w:sz w:val="24"/>
                <w:highlight w:val="none"/>
                <w:lang w:eastAsia="zh-CN"/>
              </w:rPr>
              <w:t>污水中COD、SS执行</w:t>
            </w:r>
            <w:r>
              <w:rPr>
                <w:rFonts w:hint="eastAsia"/>
                <w:bCs/>
                <w:color w:val="auto"/>
                <w:sz w:val="24"/>
                <w:highlight w:val="none"/>
                <w:shd w:val="clear" w:color="auto" w:fill="auto"/>
                <w:lang w:eastAsia="zh-CN"/>
              </w:rPr>
              <w:t>《污水综合排放标准》（GB8978-1996）表4中三级标准，</w:t>
            </w:r>
            <w:r>
              <w:rPr>
                <w:rFonts w:hint="eastAsia"/>
                <w:color w:val="auto"/>
                <w:sz w:val="24"/>
                <w:highlight w:val="none"/>
                <w:lang w:eastAsia="zh-CN"/>
              </w:rPr>
              <w:t>氨氮、TN、TP等参照执行</w:t>
            </w:r>
            <w:r>
              <w:rPr>
                <w:rFonts w:hint="eastAsia"/>
                <w:bCs/>
                <w:color w:val="auto"/>
                <w:sz w:val="24"/>
                <w:highlight w:val="none"/>
                <w:shd w:val="clear" w:color="auto" w:fill="auto"/>
                <w:lang w:eastAsia="zh-CN"/>
              </w:rPr>
              <w:t>《污水排入城镇下水道水质标准》（GB/T31962-2015）表1中A级标准。</w:t>
            </w:r>
          </w:p>
          <w:p w14:paraId="725F031A">
            <w:pPr>
              <w:keepNext w:val="0"/>
              <w:keepLines w:val="0"/>
              <w:suppressLineNumbers w:val="0"/>
              <w:autoSpaceDE w:val="0"/>
              <w:autoSpaceDN w:val="0"/>
              <w:spacing w:before="0" w:beforeAutospacing="0" w:after="0" w:afterAutospacing="0" w:line="360" w:lineRule="auto"/>
              <w:ind w:left="0" w:right="0" w:firstLine="480" w:firstLineChars="200"/>
              <w:rPr>
                <w:rFonts w:hint="eastAsia"/>
                <w:bCs/>
                <w:color w:val="auto"/>
                <w:sz w:val="24"/>
                <w:highlight w:val="none"/>
                <w:shd w:val="clear" w:color="auto" w:fill="auto"/>
                <w:lang w:val="en-US" w:eastAsia="zh-CN"/>
              </w:rPr>
            </w:pPr>
            <w:r>
              <w:rPr>
                <w:rFonts w:hint="eastAsia"/>
                <w:bCs/>
                <w:color w:val="auto"/>
                <w:sz w:val="24"/>
                <w:highlight w:val="none"/>
                <w:shd w:val="clear" w:color="auto" w:fill="auto"/>
                <w:lang w:eastAsia="zh-CN"/>
              </w:rPr>
              <w:t>太湖新城污水处理厂尾水执行《太湖地区城镇污水处理厂及重点工业行业主要水污染物排放限值》（DB32/1072-2018）表</w:t>
            </w:r>
            <w:r>
              <w:rPr>
                <w:rFonts w:hint="eastAsia"/>
                <w:bCs/>
                <w:color w:val="auto"/>
                <w:sz w:val="24"/>
                <w:highlight w:val="none"/>
                <w:shd w:val="clear" w:color="auto" w:fill="auto"/>
                <w:lang w:val="en-US" w:eastAsia="zh-CN"/>
              </w:rPr>
              <w:t>1</w:t>
            </w:r>
            <w:r>
              <w:rPr>
                <w:rFonts w:hint="eastAsia"/>
                <w:bCs/>
                <w:color w:val="auto"/>
                <w:sz w:val="24"/>
                <w:highlight w:val="none"/>
                <w:shd w:val="clear" w:color="auto" w:fill="auto"/>
                <w:lang w:eastAsia="zh-CN"/>
              </w:rPr>
              <w:t>中标准和《城镇污水处理厂污染物排放标准》（GB18918-2002）中一级A标准</w:t>
            </w:r>
            <w:r>
              <w:rPr>
                <w:rFonts w:hint="eastAsia"/>
                <w:bCs/>
                <w:color w:val="auto"/>
                <w:sz w:val="24"/>
                <w:highlight w:val="none"/>
                <w:shd w:val="clear" w:color="auto" w:fill="auto"/>
                <w:lang w:val="en-US" w:eastAsia="zh-CN"/>
              </w:rPr>
              <w:t>。</w:t>
            </w:r>
          </w:p>
          <w:p w14:paraId="604A2FD1">
            <w:pPr>
              <w:pStyle w:val="9"/>
              <w:keepNext w:val="0"/>
              <w:keepLines w:val="0"/>
              <w:numPr>
                <w:ilvl w:val="0"/>
                <w:numId w:val="0"/>
              </w:numPr>
              <w:suppressLineNumbers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0"/>
                <w:sz w:val="24"/>
                <w:szCs w:val="20"/>
                <w:highlight w:val="none"/>
                <w:lang w:val="en-US" w:eastAsia="zh-CN" w:bidi="ar-SA"/>
              </w:rPr>
            </w:pPr>
          </w:p>
          <w:p w14:paraId="2976C6B9">
            <w:pPr>
              <w:pStyle w:val="9"/>
              <w:keepNext w:val="0"/>
              <w:keepLines w:val="0"/>
              <w:numPr>
                <w:ilvl w:val="0"/>
                <w:numId w:val="0"/>
              </w:numPr>
              <w:suppressLineNumbers w:val="0"/>
              <w:spacing w:before="0" w:beforeAutospacing="0" w:after="0" w:afterAutospacing="0"/>
              <w:ind w:left="425" w:leftChars="0" w:right="0" w:hanging="425" w:firstLineChars="0"/>
              <w:jc w:val="center"/>
              <w:rPr>
                <w:rFonts w:hint="eastAsia" w:eastAsia="宋体"/>
                <w:b/>
                <w:bCs/>
                <w:color w:val="auto"/>
                <w:highlight w:val="none"/>
                <w:lang w:val="en-US" w:eastAsia="zh-CN"/>
              </w:rPr>
            </w:pPr>
            <w:r>
              <w:rPr>
                <w:rFonts w:hint="default" w:ascii="Times New Roman" w:hAnsi="Times New Roman" w:eastAsia="宋体" w:cs="Times New Roman"/>
                <w:b/>
                <w:bCs/>
                <w:color w:val="auto"/>
                <w:kern w:val="0"/>
                <w:sz w:val="24"/>
                <w:szCs w:val="20"/>
                <w:highlight w:val="none"/>
                <w:lang w:val="en-US" w:eastAsia="zh-CN" w:bidi="ar-SA"/>
              </w:rPr>
              <w:t>表3-</w:t>
            </w:r>
            <w:r>
              <w:rPr>
                <w:rFonts w:hint="eastAsia" w:cs="Times New Roman"/>
                <w:b/>
                <w:bCs/>
                <w:color w:val="auto"/>
                <w:kern w:val="0"/>
                <w:sz w:val="24"/>
                <w:szCs w:val="20"/>
                <w:highlight w:val="none"/>
                <w:lang w:val="en-US" w:eastAsia="zh-CN" w:bidi="ar-SA"/>
              </w:rPr>
              <w:t xml:space="preserve">10  </w:t>
            </w:r>
            <w:r>
              <w:rPr>
                <w:rFonts w:hint="eastAsia" w:eastAsia="宋体"/>
                <w:b/>
                <w:bCs/>
                <w:color w:val="auto"/>
                <w:highlight w:val="none"/>
                <w:lang w:val="en-US" w:eastAsia="zh-CN"/>
              </w:rPr>
              <w:t>废水污染物排放执行标准表（接管标准）</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63"/>
              <w:gridCol w:w="1117"/>
              <w:gridCol w:w="2762"/>
              <w:gridCol w:w="3331"/>
            </w:tblGrid>
            <w:tr w14:paraId="551C6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restart"/>
                  <w:noWrap w:val="0"/>
                  <w:vAlign w:val="center"/>
                </w:tcPr>
                <w:p w14:paraId="343B28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序号</w:t>
                  </w:r>
                </w:p>
              </w:tc>
              <w:tc>
                <w:tcPr>
                  <w:tcW w:w="639" w:type="pct"/>
                  <w:vMerge w:val="restart"/>
                  <w:noWrap w:val="0"/>
                  <w:vAlign w:val="center"/>
                </w:tcPr>
                <w:p w14:paraId="45ECCD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排放口编号</w:t>
                  </w:r>
                </w:p>
              </w:tc>
              <w:tc>
                <w:tcPr>
                  <w:tcW w:w="614" w:type="pct"/>
                  <w:vMerge w:val="restart"/>
                  <w:noWrap w:val="0"/>
                  <w:vAlign w:val="center"/>
                </w:tcPr>
                <w:p w14:paraId="16B73E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污染物种类</w:t>
                  </w:r>
                </w:p>
              </w:tc>
              <w:tc>
                <w:tcPr>
                  <w:tcW w:w="3348" w:type="pct"/>
                  <w:gridSpan w:val="2"/>
                  <w:noWrap w:val="0"/>
                  <w:vAlign w:val="center"/>
                </w:tcPr>
                <w:p w14:paraId="6BBE76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国家或地方污染物排放标准及其他按规定商定的排放协议</w:t>
                  </w:r>
                </w:p>
              </w:tc>
            </w:tr>
            <w:tr w14:paraId="7C7A6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vMerge w:val="continue"/>
                  <w:noWrap w:val="0"/>
                  <w:vAlign w:val="center"/>
                </w:tcPr>
                <w:p w14:paraId="4800A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639" w:type="pct"/>
                  <w:vMerge w:val="continue"/>
                  <w:noWrap w:val="0"/>
                  <w:vAlign w:val="center"/>
                </w:tcPr>
                <w:p w14:paraId="13F725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614" w:type="pct"/>
                  <w:vMerge w:val="continue"/>
                  <w:noWrap w:val="0"/>
                  <w:vAlign w:val="center"/>
                </w:tcPr>
                <w:p w14:paraId="51D873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1518" w:type="pct"/>
                  <w:noWrap w:val="0"/>
                  <w:vAlign w:val="center"/>
                </w:tcPr>
                <w:p w14:paraId="222B22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名称</w:t>
                  </w:r>
                </w:p>
              </w:tc>
              <w:tc>
                <w:tcPr>
                  <w:tcW w:w="1830" w:type="pct"/>
                  <w:noWrap w:val="0"/>
                  <w:vAlign w:val="center"/>
                </w:tcPr>
                <w:p w14:paraId="6E5D80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b/>
                      <w:color w:val="auto"/>
                      <w:sz w:val="21"/>
                      <w:szCs w:val="21"/>
                      <w:highlight w:val="none"/>
                    </w:rPr>
                  </w:pPr>
                  <w:r>
                    <w:rPr>
                      <w:rFonts w:hint="default"/>
                      <w:b/>
                      <w:color w:val="auto"/>
                      <w:sz w:val="21"/>
                      <w:szCs w:val="21"/>
                      <w:highlight w:val="none"/>
                    </w:rPr>
                    <w:t>浓度限值（mg/L，pH无量纲）</w:t>
                  </w:r>
                </w:p>
              </w:tc>
            </w:tr>
            <w:tr w14:paraId="4C682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14:paraId="73B515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1</w:t>
                  </w:r>
                </w:p>
              </w:tc>
              <w:tc>
                <w:tcPr>
                  <w:tcW w:w="639" w:type="pct"/>
                  <w:vMerge w:val="restart"/>
                  <w:noWrap w:val="0"/>
                  <w:vAlign w:val="center"/>
                </w:tcPr>
                <w:p w14:paraId="76C02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DW001</w:t>
                  </w:r>
                </w:p>
              </w:tc>
              <w:tc>
                <w:tcPr>
                  <w:tcW w:w="614" w:type="pct"/>
                  <w:noWrap w:val="0"/>
                  <w:vAlign w:val="center"/>
                </w:tcPr>
                <w:p w14:paraId="789165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pH</w:t>
                  </w:r>
                </w:p>
              </w:tc>
              <w:tc>
                <w:tcPr>
                  <w:tcW w:w="1518" w:type="pct"/>
                  <w:vMerge w:val="restart"/>
                  <w:noWrap w:val="0"/>
                  <w:vAlign w:val="center"/>
                </w:tcPr>
                <w:p w14:paraId="11BC4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《污水综合排放标准》（GB8978-1996）表4中三级标准</w:t>
                  </w:r>
                </w:p>
              </w:tc>
              <w:tc>
                <w:tcPr>
                  <w:tcW w:w="1830" w:type="pct"/>
                  <w:noWrap w:val="0"/>
                  <w:vAlign w:val="center"/>
                </w:tcPr>
                <w:p w14:paraId="7164BE4C">
                  <w:pPr>
                    <w:pStyle w:val="41"/>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color w:val="auto"/>
                      <w:sz w:val="21"/>
                      <w:szCs w:val="21"/>
                      <w:highlight w:val="none"/>
                    </w:rPr>
                  </w:pPr>
                  <w:r>
                    <w:rPr>
                      <w:rFonts w:hint="default" w:ascii="Times New Roman"/>
                      <w:color w:val="auto"/>
                      <w:sz w:val="21"/>
                      <w:szCs w:val="21"/>
                      <w:highlight w:val="none"/>
                    </w:rPr>
                    <w:t>6-9</w:t>
                  </w:r>
                </w:p>
              </w:tc>
            </w:tr>
            <w:tr w14:paraId="4BED5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14:paraId="19ADB2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2</w:t>
                  </w:r>
                </w:p>
              </w:tc>
              <w:tc>
                <w:tcPr>
                  <w:tcW w:w="639" w:type="pct"/>
                  <w:vMerge w:val="continue"/>
                  <w:noWrap w:val="0"/>
                  <w:vAlign w:val="center"/>
                </w:tcPr>
                <w:p w14:paraId="3F30A9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614" w:type="pct"/>
                  <w:noWrap w:val="0"/>
                  <w:vAlign w:val="center"/>
                </w:tcPr>
                <w:p w14:paraId="34DD88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COD</w:t>
                  </w:r>
                </w:p>
              </w:tc>
              <w:tc>
                <w:tcPr>
                  <w:tcW w:w="1518" w:type="pct"/>
                  <w:vMerge w:val="continue"/>
                  <w:noWrap w:val="0"/>
                  <w:vAlign w:val="center"/>
                </w:tcPr>
                <w:p w14:paraId="2E8CE0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1830" w:type="pct"/>
                  <w:noWrap w:val="0"/>
                  <w:vAlign w:val="center"/>
                </w:tcPr>
                <w:p w14:paraId="078C7D4C">
                  <w:pPr>
                    <w:pStyle w:val="41"/>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color w:val="auto"/>
                      <w:kern w:val="2"/>
                      <w:sz w:val="21"/>
                      <w:szCs w:val="21"/>
                      <w:highlight w:val="none"/>
                    </w:rPr>
                  </w:pPr>
                  <w:r>
                    <w:rPr>
                      <w:rFonts w:hint="default" w:ascii="Times New Roman"/>
                      <w:color w:val="auto"/>
                      <w:kern w:val="2"/>
                      <w:sz w:val="21"/>
                      <w:szCs w:val="21"/>
                      <w:highlight w:val="none"/>
                    </w:rPr>
                    <w:t>500</w:t>
                  </w:r>
                </w:p>
              </w:tc>
            </w:tr>
            <w:tr w14:paraId="24E95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14:paraId="658A37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3</w:t>
                  </w:r>
                </w:p>
              </w:tc>
              <w:tc>
                <w:tcPr>
                  <w:tcW w:w="639" w:type="pct"/>
                  <w:vMerge w:val="continue"/>
                  <w:noWrap w:val="0"/>
                  <w:vAlign w:val="center"/>
                </w:tcPr>
                <w:p w14:paraId="7EBB60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614" w:type="pct"/>
                  <w:noWrap w:val="0"/>
                  <w:vAlign w:val="center"/>
                </w:tcPr>
                <w:p w14:paraId="6A04AD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SS</w:t>
                  </w:r>
                </w:p>
              </w:tc>
              <w:tc>
                <w:tcPr>
                  <w:tcW w:w="1518" w:type="pct"/>
                  <w:vMerge w:val="continue"/>
                  <w:noWrap w:val="0"/>
                  <w:vAlign w:val="center"/>
                </w:tcPr>
                <w:p w14:paraId="118036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1830" w:type="pct"/>
                  <w:noWrap w:val="0"/>
                  <w:vAlign w:val="center"/>
                </w:tcPr>
                <w:p w14:paraId="2C52A522">
                  <w:pPr>
                    <w:pStyle w:val="41"/>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color w:val="auto"/>
                      <w:kern w:val="2"/>
                      <w:sz w:val="21"/>
                      <w:szCs w:val="21"/>
                      <w:highlight w:val="none"/>
                    </w:rPr>
                  </w:pPr>
                  <w:r>
                    <w:rPr>
                      <w:rFonts w:hint="default" w:ascii="Times New Roman"/>
                      <w:color w:val="auto"/>
                      <w:kern w:val="2"/>
                      <w:sz w:val="21"/>
                      <w:szCs w:val="21"/>
                      <w:highlight w:val="none"/>
                    </w:rPr>
                    <w:t>400</w:t>
                  </w:r>
                </w:p>
              </w:tc>
            </w:tr>
            <w:tr w14:paraId="3C70C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14:paraId="3E35E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4</w:t>
                  </w:r>
                </w:p>
              </w:tc>
              <w:tc>
                <w:tcPr>
                  <w:tcW w:w="639" w:type="pct"/>
                  <w:vMerge w:val="continue"/>
                  <w:noWrap w:val="0"/>
                  <w:vAlign w:val="center"/>
                </w:tcPr>
                <w:p w14:paraId="46705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614" w:type="pct"/>
                  <w:noWrap w:val="0"/>
                  <w:vAlign w:val="center"/>
                </w:tcPr>
                <w:p w14:paraId="396BAF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NH3-N</w:t>
                  </w:r>
                </w:p>
              </w:tc>
              <w:tc>
                <w:tcPr>
                  <w:tcW w:w="1518" w:type="pct"/>
                  <w:vMerge w:val="restart"/>
                  <w:noWrap w:val="0"/>
                  <w:vAlign w:val="center"/>
                </w:tcPr>
                <w:p w14:paraId="1FF243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《污水排入城镇下水道水质标准》（GB/T31962-2015）表1中A级标准</w:t>
                  </w:r>
                </w:p>
              </w:tc>
              <w:tc>
                <w:tcPr>
                  <w:tcW w:w="1830" w:type="pct"/>
                  <w:noWrap w:val="0"/>
                  <w:vAlign w:val="center"/>
                </w:tcPr>
                <w:p w14:paraId="787DFD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45</w:t>
                  </w:r>
                </w:p>
              </w:tc>
            </w:tr>
            <w:tr w14:paraId="2FAD0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14:paraId="2EDE90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5</w:t>
                  </w:r>
                </w:p>
              </w:tc>
              <w:tc>
                <w:tcPr>
                  <w:tcW w:w="639" w:type="pct"/>
                  <w:vMerge w:val="continue"/>
                  <w:noWrap w:val="0"/>
                  <w:vAlign w:val="center"/>
                </w:tcPr>
                <w:p w14:paraId="6C6535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614" w:type="pct"/>
                  <w:noWrap w:val="0"/>
                  <w:vAlign w:val="center"/>
                </w:tcPr>
                <w:p w14:paraId="7FE50A19">
                  <w:pPr>
                    <w:pStyle w:val="41"/>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color w:val="auto"/>
                      <w:sz w:val="21"/>
                      <w:szCs w:val="21"/>
                      <w:highlight w:val="none"/>
                    </w:rPr>
                  </w:pPr>
                  <w:r>
                    <w:rPr>
                      <w:rFonts w:hint="default" w:ascii="Times New Roman"/>
                      <w:color w:val="auto"/>
                      <w:sz w:val="21"/>
                      <w:szCs w:val="21"/>
                      <w:highlight w:val="none"/>
                    </w:rPr>
                    <w:t>TN</w:t>
                  </w:r>
                </w:p>
              </w:tc>
              <w:tc>
                <w:tcPr>
                  <w:tcW w:w="1518" w:type="pct"/>
                  <w:vMerge w:val="continue"/>
                  <w:noWrap w:val="0"/>
                  <w:vAlign w:val="center"/>
                </w:tcPr>
                <w:p w14:paraId="7A1D3F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1830" w:type="pct"/>
                  <w:noWrap w:val="0"/>
                  <w:vAlign w:val="center"/>
                </w:tcPr>
                <w:p w14:paraId="084D67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70</w:t>
                  </w:r>
                </w:p>
              </w:tc>
            </w:tr>
            <w:tr w14:paraId="11D90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6" w:type="pct"/>
                  <w:noWrap w:val="0"/>
                  <w:vAlign w:val="center"/>
                </w:tcPr>
                <w:p w14:paraId="0D8ADC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6</w:t>
                  </w:r>
                </w:p>
              </w:tc>
              <w:tc>
                <w:tcPr>
                  <w:tcW w:w="639" w:type="pct"/>
                  <w:vMerge w:val="continue"/>
                  <w:noWrap w:val="0"/>
                  <w:vAlign w:val="top"/>
                </w:tcPr>
                <w:p w14:paraId="46205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614" w:type="pct"/>
                  <w:noWrap w:val="0"/>
                  <w:vAlign w:val="center"/>
                </w:tcPr>
                <w:p w14:paraId="4000E972">
                  <w:pPr>
                    <w:pStyle w:val="41"/>
                    <w:keepNext w:val="0"/>
                    <w:keepLines w:val="0"/>
                    <w:pageBreakBefore w:val="0"/>
                    <w:widowControl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color w:val="auto"/>
                      <w:sz w:val="21"/>
                      <w:szCs w:val="21"/>
                      <w:highlight w:val="none"/>
                    </w:rPr>
                  </w:pPr>
                  <w:r>
                    <w:rPr>
                      <w:rFonts w:hint="default" w:ascii="Times New Roman"/>
                      <w:color w:val="auto"/>
                      <w:sz w:val="21"/>
                      <w:szCs w:val="21"/>
                      <w:highlight w:val="none"/>
                    </w:rPr>
                    <w:t>TP</w:t>
                  </w:r>
                </w:p>
              </w:tc>
              <w:tc>
                <w:tcPr>
                  <w:tcW w:w="1518" w:type="pct"/>
                  <w:vMerge w:val="continue"/>
                  <w:noWrap w:val="0"/>
                  <w:vAlign w:val="top"/>
                </w:tcPr>
                <w:p w14:paraId="067547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p>
              </w:tc>
              <w:tc>
                <w:tcPr>
                  <w:tcW w:w="1830" w:type="pct"/>
                  <w:noWrap w:val="0"/>
                  <w:vAlign w:val="center"/>
                </w:tcPr>
                <w:p w14:paraId="7B6CFC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rPr>
                  </w:pPr>
                  <w:r>
                    <w:rPr>
                      <w:rFonts w:hint="default"/>
                      <w:color w:val="auto"/>
                      <w:sz w:val="21"/>
                      <w:szCs w:val="21"/>
                      <w:highlight w:val="none"/>
                    </w:rPr>
                    <w:t>8</w:t>
                  </w:r>
                </w:p>
              </w:tc>
            </w:tr>
          </w:tbl>
          <w:p w14:paraId="746D5A0D">
            <w:pPr>
              <w:pStyle w:val="9"/>
              <w:keepNext w:val="0"/>
              <w:keepLines w:val="0"/>
              <w:numPr>
                <w:ilvl w:val="0"/>
                <w:numId w:val="0"/>
              </w:numPr>
              <w:suppressLineNumbers w:val="0"/>
              <w:spacing w:before="0" w:beforeAutospacing="0" w:after="0" w:afterAutospacing="0"/>
              <w:ind w:left="425" w:leftChars="0" w:right="0" w:hanging="425" w:firstLineChars="0"/>
              <w:jc w:val="center"/>
              <w:rPr>
                <w:rFonts w:hint="eastAsia" w:eastAsia="宋体"/>
                <w:b/>
                <w:bCs/>
                <w:color w:val="auto"/>
                <w:highlight w:val="none"/>
                <w:lang w:val="en-US" w:eastAsia="zh-CN"/>
              </w:rPr>
            </w:pPr>
            <w:r>
              <w:rPr>
                <w:rFonts w:hint="default" w:ascii="Times New Roman" w:hAnsi="Times New Roman" w:eastAsia="宋体" w:cs="Times New Roman"/>
                <w:b/>
                <w:bCs/>
                <w:color w:val="auto"/>
                <w:kern w:val="0"/>
                <w:sz w:val="24"/>
                <w:szCs w:val="20"/>
                <w:highlight w:val="none"/>
                <w:lang w:val="en-US" w:eastAsia="zh-CN" w:bidi="ar-SA"/>
              </w:rPr>
              <w:t>表3-1</w:t>
            </w:r>
            <w:r>
              <w:rPr>
                <w:rFonts w:hint="eastAsia" w:cs="Times New Roman"/>
                <w:b/>
                <w:bCs/>
                <w:color w:val="auto"/>
                <w:kern w:val="0"/>
                <w:sz w:val="24"/>
                <w:szCs w:val="20"/>
                <w:highlight w:val="none"/>
                <w:lang w:val="en-US" w:eastAsia="zh-CN" w:bidi="ar-SA"/>
              </w:rPr>
              <w:t xml:space="preserve">1  </w:t>
            </w:r>
            <w:r>
              <w:rPr>
                <w:rFonts w:hint="eastAsia" w:eastAsia="宋体"/>
                <w:b/>
                <w:bCs/>
                <w:color w:val="auto"/>
                <w:highlight w:val="none"/>
                <w:lang w:val="en-US" w:eastAsia="zh-CN"/>
              </w:rPr>
              <w:t>污水处理厂尾水排放标准表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531"/>
              <w:gridCol w:w="3511"/>
              <w:gridCol w:w="3329"/>
            </w:tblGrid>
            <w:tr w14:paraId="00AF0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395" w:type="pct"/>
                  <w:vMerge w:val="restart"/>
                  <w:noWrap w:val="0"/>
                  <w:vAlign w:val="center"/>
                </w:tcPr>
                <w:p w14:paraId="281DEE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842" w:type="pct"/>
                  <w:vMerge w:val="restart"/>
                  <w:noWrap w:val="0"/>
                  <w:vAlign w:val="center"/>
                </w:tcPr>
                <w:p w14:paraId="2178B2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3762" w:type="pct"/>
                  <w:gridSpan w:val="2"/>
                  <w:noWrap w:val="0"/>
                  <w:vAlign w:val="center"/>
                </w:tcPr>
                <w:p w14:paraId="7FC081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最终尾水排放标准</w:t>
                  </w:r>
                </w:p>
              </w:tc>
            </w:tr>
            <w:tr w14:paraId="5132DC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5" w:type="pct"/>
                  <w:vMerge w:val="continue"/>
                  <w:noWrap w:val="0"/>
                  <w:vAlign w:val="center"/>
                </w:tcPr>
                <w:p w14:paraId="2C8222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color w:val="auto"/>
                      <w:sz w:val="21"/>
                      <w:szCs w:val="21"/>
                      <w:highlight w:val="none"/>
                    </w:rPr>
                  </w:pPr>
                </w:p>
              </w:tc>
              <w:tc>
                <w:tcPr>
                  <w:tcW w:w="842" w:type="pct"/>
                  <w:vMerge w:val="continue"/>
                  <w:noWrap w:val="0"/>
                  <w:vAlign w:val="center"/>
                </w:tcPr>
                <w:p w14:paraId="4A434B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color w:val="auto"/>
                      <w:sz w:val="21"/>
                      <w:szCs w:val="21"/>
                      <w:highlight w:val="none"/>
                    </w:rPr>
                  </w:pPr>
                </w:p>
              </w:tc>
              <w:tc>
                <w:tcPr>
                  <w:tcW w:w="1931" w:type="pct"/>
                  <w:noWrap w:val="0"/>
                  <w:vAlign w:val="center"/>
                </w:tcPr>
                <w:p w14:paraId="2064BC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标准浓度</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mg/L，pH无量纲</w:t>
                  </w:r>
                  <w:r>
                    <w:rPr>
                      <w:rFonts w:hint="eastAsia" w:cs="Times New Roman"/>
                      <w:b/>
                      <w:bCs/>
                      <w:color w:val="auto"/>
                      <w:sz w:val="21"/>
                      <w:szCs w:val="21"/>
                      <w:highlight w:val="none"/>
                      <w:lang w:eastAsia="zh-CN"/>
                    </w:rPr>
                    <w:t>）</w:t>
                  </w:r>
                </w:p>
              </w:tc>
              <w:tc>
                <w:tcPr>
                  <w:tcW w:w="1831" w:type="pct"/>
                  <w:noWrap w:val="0"/>
                  <w:vAlign w:val="center"/>
                </w:tcPr>
                <w:p w14:paraId="7A3642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标准来源</w:t>
                  </w:r>
                </w:p>
              </w:tc>
            </w:tr>
            <w:tr w14:paraId="648EF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5" w:type="pct"/>
                  <w:noWrap w:val="0"/>
                  <w:vAlign w:val="center"/>
                </w:tcPr>
                <w:p w14:paraId="2F1E20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42" w:type="pct"/>
                  <w:noWrap w:val="0"/>
                  <w:vAlign w:val="center"/>
                </w:tcPr>
                <w:p w14:paraId="5B4A75C3">
                  <w:pPr>
                    <w:pStyle w:val="53"/>
                    <w:keepNext w:val="0"/>
                    <w:keepLines w:val="0"/>
                    <w:pageBreakBefore w:val="0"/>
                    <w:suppressLineNumbers w:val="0"/>
                    <w:kinsoku/>
                    <w:wordWrap/>
                    <w:overflowPunct/>
                    <w:topLinePunct w:val="0"/>
                    <w:autoSpaceDE/>
                    <w:autoSpaceDN/>
                    <w:bidi w:val="0"/>
                    <w:spacing w:beforeAutospacing="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pH</w:t>
                  </w:r>
                </w:p>
              </w:tc>
              <w:tc>
                <w:tcPr>
                  <w:tcW w:w="1931" w:type="pct"/>
                  <w:noWrap w:val="0"/>
                  <w:vAlign w:val="center"/>
                </w:tcPr>
                <w:p w14:paraId="0793E2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6-9</w:t>
                  </w:r>
                </w:p>
              </w:tc>
              <w:tc>
                <w:tcPr>
                  <w:tcW w:w="1831" w:type="pct"/>
                  <w:vMerge w:val="restart"/>
                  <w:noWrap w:val="0"/>
                  <w:vAlign w:val="center"/>
                </w:tcPr>
                <w:p w14:paraId="29326933">
                  <w:pPr>
                    <w:pStyle w:val="41"/>
                    <w:keepNext w:val="0"/>
                    <w:keepLines w:val="0"/>
                    <w:pageBreakBefore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《城镇污水处理厂污染物排放标准》（GB18918-2002）中一级A标准</w:t>
                  </w:r>
                </w:p>
              </w:tc>
            </w:tr>
            <w:tr w14:paraId="467A9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395" w:type="pct"/>
                  <w:noWrap w:val="0"/>
                  <w:vAlign w:val="center"/>
                </w:tcPr>
                <w:p w14:paraId="6FA67D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842" w:type="pct"/>
                  <w:noWrap w:val="0"/>
                  <w:vAlign w:val="center"/>
                </w:tcPr>
                <w:p w14:paraId="2260C463">
                  <w:pPr>
                    <w:pStyle w:val="53"/>
                    <w:keepNext w:val="0"/>
                    <w:keepLines w:val="0"/>
                    <w:pageBreakBefore w:val="0"/>
                    <w:suppressLineNumbers w:val="0"/>
                    <w:kinsoku/>
                    <w:wordWrap/>
                    <w:overflowPunct/>
                    <w:topLinePunct w:val="0"/>
                    <w:autoSpaceDE/>
                    <w:autoSpaceDN/>
                    <w:bidi w:val="0"/>
                    <w:spacing w:beforeAutospacing="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SS</w:t>
                  </w:r>
                </w:p>
              </w:tc>
              <w:tc>
                <w:tcPr>
                  <w:tcW w:w="1931" w:type="pct"/>
                  <w:noWrap w:val="0"/>
                  <w:vAlign w:val="center"/>
                </w:tcPr>
                <w:p w14:paraId="1802B7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10</w:t>
                  </w:r>
                </w:p>
              </w:tc>
              <w:tc>
                <w:tcPr>
                  <w:tcW w:w="1831" w:type="pct"/>
                  <w:vMerge w:val="continue"/>
                  <w:noWrap w:val="0"/>
                  <w:vAlign w:val="center"/>
                </w:tcPr>
                <w:p w14:paraId="27CDE808">
                  <w:pPr>
                    <w:pStyle w:val="41"/>
                    <w:keepNext w:val="0"/>
                    <w:keepLines w:val="0"/>
                    <w:pageBreakBefore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hAnsi="Times New Roman" w:eastAsia="宋体" w:cs="Times New Roman"/>
                      <w:color w:val="auto"/>
                      <w:sz w:val="21"/>
                      <w:szCs w:val="21"/>
                      <w:highlight w:val="none"/>
                    </w:rPr>
                  </w:pPr>
                </w:p>
              </w:tc>
            </w:tr>
            <w:tr w14:paraId="38489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95" w:type="pct"/>
                  <w:noWrap w:val="0"/>
                  <w:vAlign w:val="center"/>
                </w:tcPr>
                <w:p w14:paraId="6E9389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842" w:type="pct"/>
                  <w:noWrap w:val="0"/>
                  <w:vAlign w:val="center"/>
                </w:tcPr>
                <w:p w14:paraId="4A60FBD3">
                  <w:pPr>
                    <w:pStyle w:val="53"/>
                    <w:keepNext w:val="0"/>
                    <w:keepLines w:val="0"/>
                    <w:pageBreakBefore w:val="0"/>
                    <w:suppressLineNumbers w:val="0"/>
                    <w:kinsoku/>
                    <w:wordWrap/>
                    <w:overflowPunct/>
                    <w:topLinePunct w:val="0"/>
                    <w:autoSpaceDE/>
                    <w:autoSpaceDN/>
                    <w:bidi w:val="0"/>
                    <w:spacing w:beforeAutospacing="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COD</w:t>
                  </w:r>
                </w:p>
              </w:tc>
              <w:tc>
                <w:tcPr>
                  <w:tcW w:w="1931" w:type="pct"/>
                  <w:noWrap w:val="0"/>
                  <w:vAlign w:val="center"/>
                </w:tcPr>
                <w:p w14:paraId="7AA9B8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40</w:t>
                  </w:r>
                </w:p>
              </w:tc>
              <w:tc>
                <w:tcPr>
                  <w:tcW w:w="1831" w:type="pct"/>
                  <w:vMerge w:val="restart"/>
                  <w:noWrap w:val="0"/>
                  <w:vAlign w:val="center"/>
                </w:tcPr>
                <w:p w14:paraId="71F432D8">
                  <w:pPr>
                    <w:pStyle w:val="41"/>
                    <w:keepNext w:val="0"/>
                    <w:keepLines w:val="0"/>
                    <w:pageBreakBefore w:val="0"/>
                    <w:suppressLineNumbers w:val="0"/>
                    <w:kinsoku/>
                    <w:wordWrap/>
                    <w:overflowPunct/>
                    <w:topLinePunct w:val="0"/>
                    <w:autoSpaceDE/>
                    <w:autoSpaceDN/>
                    <w:bidi w:val="0"/>
                    <w:spacing w:before="24" w:beforeAutospacing="0" w:after="24" w:afterAutospacing="0" w:line="240" w:lineRule="exact"/>
                    <w:ind w:left="0" w:right="0"/>
                    <w:textAlignment w:val="auto"/>
                    <w:rPr>
                      <w:rFonts w:hint="default" w:ascii="Times New Roman" w:hAnsi="Times New Roman" w:eastAsia="宋体" w:cs="Times New Roman"/>
                      <w:color w:val="auto"/>
                      <w:sz w:val="21"/>
                      <w:szCs w:val="21"/>
                      <w:highlight w:val="none"/>
                    </w:rPr>
                  </w:pPr>
                  <w:r>
                    <w:rPr>
                      <w:rFonts w:hint="eastAsia" w:asci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太湖地区城镇污水处理厂及重点工业行业主要水污染物排放限值》</w:t>
                  </w:r>
                  <w:r>
                    <w:rPr>
                      <w:rFonts w:hint="eastAsia" w:asci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DB32/1072-2018</w:t>
                  </w:r>
                  <w:r>
                    <w:rPr>
                      <w:rFonts w:hint="eastAsia" w:asci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中表</w:t>
                  </w:r>
                  <w:r>
                    <w:rPr>
                      <w:rFonts w:hint="eastAsia" w:asci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标准</w:t>
                  </w:r>
                </w:p>
              </w:tc>
            </w:tr>
            <w:tr w14:paraId="1B956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7" w:hRule="atLeast"/>
                <w:jc w:val="center"/>
              </w:trPr>
              <w:tc>
                <w:tcPr>
                  <w:tcW w:w="395" w:type="pct"/>
                  <w:noWrap w:val="0"/>
                  <w:vAlign w:val="center"/>
                </w:tcPr>
                <w:p w14:paraId="21AFA189">
                  <w:pPr>
                    <w:keepNext w:val="0"/>
                    <w:keepLines w:val="0"/>
                    <w:pageBreakBefore w:val="0"/>
                    <w:suppressLineNumbers w:val="0"/>
                    <w:kinsoku/>
                    <w:wordWrap/>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842" w:type="pct"/>
                  <w:noWrap w:val="0"/>
                  <w:vAlign w:val="center"/>
                </w:tcPr>
                <w:p w14:paraId="4C6855A0">
                  <w:pPr>
                    <w:pStyle w:val="53"/>
                    <w:keepNext w:val="0"/>
                    <w:keepLines w:val="0"/>
                    <w:pageBreakBefore w:val="0"/>
                    <w:suppressLineNumbers w:val="0"/>
                    <w:kinsoku/>
                    <w:wordWrap/>
                    <w:topLinePunct w:val="0"/>
                    <w:autoSpaceDE/>
                    <w:autoSpaceDN/>
                    <w:bidi w:val="0"/>
                    <w:spacing w:beforeAutospacing="0" w:afterAutospacing="0" w:line="24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rPr>
                    <w:t>氨氮</w:t>
                  </w:r>
                </w:p>
              </w:tc>
              <w:tc>
                <w:tcPr>
                  <w:tcW w:w="1931" w:type="pct"/>
                  <w:noWrap w:val="0"/>
                  <w:vAlign w:val="center"/>
                </w:tcPr>
                <w:p w14:paraId="65DD13E7">
                  <w:pPr>
                    <w:keepNext w:val="0"/>
                    <w:keepLines w:val="0"/>
                    <w:pageBreakBefore w:val="0"/>
                    <w:suppressLineNumbers w:val="0"/>
                    <w:kinsoku/>
                    <w:wordWrap/>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1831" w:type="pct"/>
                  <w:vMerge w:val="continue"/>
                  <w:noWrap w:val="0"/>
                  <w:vAlign w:val="center"/>
                </w:tcPr>
                <w:p w14:paraId="7FB0FCC1">
                  <w:pPr>
                    <w:pStyle w:val="41"/>
                    <w:keepNext w:val="0"/>
                    <w:keepLines w:val="0"/>
                    <w:suppressLineNumbers w:val="0"/>
                    <w:spacing w:before="24" w:beforeAutospacing="0" w:after="24" w:afterAutospacing="0"/>
                    <w:ind w:left="0" w:right="0"/>
                    <w:rPr>
                      <w:rFonts w:hint="default" w:ascii="Times New Roman" w:hAnsi="Times New Roman" w:cs="Times New Roman"/>
                      <w:color w:val="auto"/>
                      <w:sz w:val="21"/>
                      <w:szCs w:val="21"/>
                      <w:highlight w:val="none"/>
                    </w:rPr>
                  </w:pPr>
                </w:p>
              </w:tc>
            </w:tr>
            <w:tr w14:paraId="6874E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395" w:type="pct"/>
                  <w:noWrap w:val="0"/>
                  <w:vAlign w:val="center"/>
                </w:tcPr>
                <w:p w14:paraId="6530BF18">
                  <w:pPr>
                    <w:keepNext w:val="0"/>
                    <w:keepLines w:val="0"/>
                    <w:pageBreakBefore w:val="0"/>
                    <w:suppressLineNumbers w:val="0"/>
                    <w:kinsoku/>
                    <w:wordWrap/>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842" w:type="pct"/>
                  <w:noWrap w:val="0"/>
                  <w:vAlign w:val="center"/>
                </w:tcPr>
                <w:p w14:paraId="5C713545">
                  <w:pPr>
                    <w:pStyle w:val="53"/>
                    <w:keepNext w:val="0"/>
                    <w:keepLines w:val="0"/>
                    <w:pageBreakBefore w:val="0"/>
                    <w:suppressLineNumbers w:val="0"/>
                    <w:kinsoku/>
                    <w:wordWrap/>
                    <w:topLinePunct w:val="0"/>
                    <w:autoSpaceDE/>
                    <w:autoSpaceDN/>
                    <w:bidi w:val="0"/>
                    <w:spacing w:beforeAutospacing="0" w:afterAutospacing="0" w:line="24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rPr>
                    <w:t>总氮</w:t>
                  </w:r>
                </w:p>
              </w:tc>
              <w:tc>
                <w:tcPr>
                  <w:tcW w:w="1931" w:type="pct"/>
                  <w:noWrap w:val="0"/>
                  <w:vAlign w:val="center"/>
                </w:tcPr>
                <w:p w14:paraId="18137911">
                  <w:pPr>
                    <w:keepNext w:val="0"/>
                    <w:keepLines w:val="0"/>
                    <w:pageBreakBefore w:val="0"/>
                    <w:suppressLineNumbers w:val="0"/>
                    <w:kinsoku/>
                    <w:wordWrap/>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10（12）*</w:t>
                  </w:r>
                </w:p>
              </w:tc>
              <w:tc>
                <w:tcPr>
                  <w:tcW w:w="1831" w:type="pct"/>
                  <w:vMerge w:val="continue"/>
                  <w:noWrap w:val="0"/>
                  <w:vAlign w:val="center"/>
                </w:tcPr>
                <w:p w14:paraId="29378427">
                  <w:pPr>
                    <w:pStyle w:val="41"/>
                    <w:keepNext w:val="0"/>
                    <w:keepLines w:val="0"/>
                    <w:suppressLineNumbers w:val="0"/>
                    <w:spacing w:before="24" w:beforeAutospacing="0" w:after="24" w:afterAutospacing="0"/>
                    <w:ind w:left="0" w:right="0"/>
                    <w:rPr>
                      <w:rFonts w:hint="default" w:ascii="Times New Roman" w:hAnsi="Times New Roman" w:eastAsia="楷体_GB2312" w:cs="Times New Roman"/>
                      <w:color w:val="auto"/>
                      <w:sz w:val="21"/>
                      <w:szCs w:val="21"/>
                      <w:highlight w:val="none"/>
                    </w:rPr>
                  </w:pPr>
                </w:p>
              </w:tc>
            </w:tr>
            <w:tr w14:paraId="1CB213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95" w:type="pct"/>
                  <w:noWrap w:val="0"/>
                  <w:vAlign w:val="center"/>
                </w:tcPr>
                <w:p w14:paraId="3209B836">
                  <w:pPr>
                    <w:keepNext w:val="0"/>
                    <w:keepLines w:val="0"/>
                    <w:pageBreakBefore w:val="0"/>
                    <w:suppressLineNumbers w:val="0"/>
                    <w:kinsoku/>
                    <w:wordWrap/>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842" w:type="pct"/>
                  <w:noWrap w:val="0"/>
                  <w:vAlign w:val="center"/>
                </w:tcPr>
                <w:p w14:paraId="6858A611">
                  <w:pPr>
                    <w:pStyle w:val="53"/>
                    <w:keepNext w:val="0"/>
                    <w:keepLines w:val="0"/>
                    <w:pageBreakBefore w:val="0"/>
                    <w:suppressLineNumbers w:val="0"/>
                    <w:kinsoku/>
                    <w:wordWrap/>
                    <w:topLinePunct w:val="0"/>
                    <w:autoSpaceDE/>
                    <w:autoSpaceDN/>
                    <w:bidi w:val="0"/>
                    <w:spacing w:beforeAutospacing="0" w:afterAutospacing="0" w:line="24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rPr>
                    <w:t>总磷</w:t>
                  </w:r>
                </w:p>
              </w:tc>
              <w:tc>
                <w:tcPr>
                  <w:tcW w:w="1931" w:type="pct"/>
                  <w:noWrap w:val="0"/>
                  <w:vAlign w:val="center"/>
                </w:tcPr>
                <w:p w14:paraId="5C1B2C2F">
                  <w:pPr>
                    <w:keepNext w:val="0"/>
                    <w:keepLines w:val="0"/>
                    <w:pageBreakBefore w:val="0"/>
                    <w:suppressLineNumbers w:val="0"/>
                    <w:kinsoku/>
                    <w:wordWrap/>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831" w:type="pct"/>
                  <w:vMerge w:val="continue"/>
                  <w:noWrap w:val="0"/>
                  <w:vAlign w:val="center"/>
                </w:tcPr>
                <w:p w14:paraId="23F3FEC7">
                  <w:pPr>
                    <w:pStyle w:val="41"/>
                    <w:keepNext w:val="0"/>
                    <w:keepLines w:val="0"/>
                    <w:suppressLineNumbers w:val="0"/>
                    <w:spacing w:before="24" w:beforeAutospacing="0" w:after="24" w:afterAutospacing="0"/>
                    <w:ind w:left="0" w:right="0"/>
                    <w:rPr>
                      <w:rFonts w:hint="default" w:ascii="Times New Roman" w:hAnsi="Times New Roman" w:cs="Times New Roman"/>
                      <w:color w:val="auto"/>
                      <w:sz w:val="21"/>
                      <w:szCs w:val="21"/>
                      <w:highlight w:val="none"/>
                    </w:rPr>
                  </w:pPr>
                </w:p>
              </w:tc>
            </w:tr>
          </w:tbl>
          <w:p w14:paraId="0CEC7E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olor w:val="auto"/>
                <w:sz w:val="24"/>
                <w:highlight w:val="none"/>
                <w:lang w:val="en-US" w:eastAsia="zh-CN"/>
              </w:rPr>
            </w:pPr>
            <w:r>
              <w:rPr>
                <w:rFonts w:hint="default"/>
                <w:b/>
                <w:bCs/>
                <w:color w:val="auto"/>
                <w:sz w:val="21"/>
                <w:szCs w:val="21"/>
                <w:highlight w:val="none"/>
              </w:rPr>
              <w:t>注：括号外数值为水温＞12℃时的控制指标，括号内数值为水温≤12℃时的控制指标。</w:t>
            </w:r>
          </w:p>
          <w:p w14:paraId="4995F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olor w:val="auto"/>
                <w:sz w:val="24"/>
                <w:highlight w:val="none"/>
              </w:rPr>
            </w:pPr>
            <w:r>
              <w:rPr>
                <w:rFonts w:hint="default" w:ascii="Times New Roman" w:hAnsi="Times New Roman" w:eastAsia="宋体"/>
                <w:b/>
                <w:color w:val="auto"/>
                <w:sz w:val="24"/>
                <w:highlight w:val="none"/>
              </w:rPr>
              <w:t>3、噪声：</w:t>
            </w:r>
          </w:p>
          <w:p w14:paraId="54EFB817">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eastAsia="宋体"/>
                <w:b/>
                <w:bCs/>
                <w:color w:val="auto"/>
                <w:sz w:val="24"/>
                <w:highlight w:val="none"/>
              </w:rPr>
            </w:pPr>
            <w:r>
              <w:rPr>
                <w:rFonts w:hint="default" w:ascii="Times New Roman" w:hAnsi="Times New Roman" w:eastAsia="宋体"/>
                <w:color w:val="auto"/>
                <w:sz w:val="24"/>
                <w:highlight w:val="none"/>
              </w:rPr>
              <w:t>营运期厂界噪声执行《工业企业厂界环境噪声排放标准》（GB12348-2008）中的</w:t>
            </w:r>
            <w:r>
              <w:rPr>
                <w:rFonts w:hint="eastAsia"/>
                <w:color w:val="auto"/>
                <w:sz w:val="24"/>
                <w:highlight w:val="none"/>
                <w:lang w:val="en-US" w:eastAsia="zh-CN"/>
              </w:rPr>
              <w:t>2</w:t>
            </w:r>
            <w:r>
              <w:rPr>
                <w:rFonts w:hint="default" w:ascii="Times New Roman" w:hAnsi="Times New Roman" w:eastAsia="宋体"/>
                <w:color w:val="auto"/>
                <w:sz w:val="24"/>
                <w:highlight w:val="none"/>
              </w:rPr>
              <w:t>类标准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具体标准见</w:t>
            </w:r>
            <w:r>
              <w:rPr>
                <w:rFonts w:hint="default"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olor w:val="auto"/>
                <w:sz w:val="24"/>
                <w:highlight w:val="none"/>
              </w:rPr>
              <w:t>。</w:t>
            </w:r>
          </w:p>
          <w:p w14:paraId="24F6D638">
            <w:pPr>
              <w:pStyle w:val="9"/>
              <w:keepNext w:val="0"/>
              <w:keepLines w:val="0"/>
              <w:numPr>
                <w:ilvl w:val="0"/>
                <w:numId w:val="0"/>
              </w:numPr>
              <w:suppressLineNumbers w:val="0"/>
              <w:spacing w:before="0" w:beforeAutospacing="0" w:after="0" w:afterAutospacing="0"/>
              <w:ind w:left="425" w:leftChars="0" w:right="0" w:hanging="425" w:firstLineChars="0"/>
              <w:jc w:val="center"/>
              <w:rPr>
                <w:rFonts w:hint="eastAsia" w:ascii="Times New Roman" w:hAnsi="Times New Roman" w:eastAsia="宋体"/>
                <w:b/>
                <w:bCs/>
                <w:color w:val="auto"/>
                <w:highlight w:val="none"/>
                <w:lang w:val="en-US" w:eastAsia="zh-CN"/>
              </w:rPr>
            </w:pPr>
            <w:r>
              <w:rPr>
                <w:rFonts w:hint="default" w:ascii="Times New Roman" w:hAnsi="Times New Roman" w:eastAsia="宋体" w:cs="Times New Roman"/>
                <w:b/>
                <w:bCs/>
                <w:color w:val="auto"/>
                <w:kern w:val="0"/>
                <w:sz w:val="24"/>
                <w:szCs w:val="20"/>
                <w:highlight w:val="none"/>
                <w:lang w:val="en-US" w:eastAsia="zh-CN" w:bidi="ar-SA"/>
              </w:rPr>
              <w:t>表3-</w:t>
            </w:r>
            <w:r>
              <w:rPr>
                <w:rFonts w:hint="eastAsia" w:ascii="Times New Roman" w:hAnsi="Times New Roman" w:eastAsia="宋体" w:cs="Times New Roman"/>
                <w:b/>
                <w:bCs/>
                <w:color w:val="auto"/>
                <w:kern w:val="0"/>
                <w:sz w:val="24"/>
                <w:szCs w:val="20"/>
                <w:highlight w:val="none"/>
                <w:lang w:val="en-US" w:eastAsia="zh-CN" w:bidi="ar-SA"/>
              </w:rPr>
              <w:t>1</w:t>
            </w:r>
            <w:r>
              <w:rPr>
                <w:rFonts w:hint="eastAsia" w:cs="Times New Roman"/>
                <w:b/>
                <w:bCs/>
                <w:color w:val="auto"/>
                <w:kern w:val="0"/>
                <w:sz w:val="24"/>
                <w:szCs w:val="20"/>
                <w:highlight w:val="none"/>
                <w:lang w:val="en-US" w:eastAsia="zh-CN" w:bidi="ar-SA"/>
              </w:rPr>
              <w:t>2</w:t>
            </w:r>
            <w:r>
              <w:rPr>
                <w:rFonts w:hint="eastAsia" w:ascii="Times New Roman" w:hAnsi="Times New Roman" w:eastAsia="宋体" w:cs="Times New Roman"/>
                <w:b/>
                <w:bCs/>
                <w:color w:val="auto"/>
                <w:kern w:val="0"/>
                <w:sz w:val="24"/>
                <w:szCs w:val="20"/>
                <w:highlight w:val="none"/>
                <w:lang w:val="en-US" w:eastAsia="zh-CN" w:bidi="ar-SA"/>
              </w:rPr>
              <w:t xml:space="preserve">  </w:t>
            </w:r>
            <w:r>
              <w:rPr>
                <w:rFonts w:hint="default" w:ascii="Times New Roman" w:hAnsi="Times New Roman" w:eastAsia="宋体"/>
                <w:b/>
                <w:bCs/>
                <w:color w:val="auto"/>
                <w:sz w:val="24"/>
                <w:highlight w:val="none"/>
              </w:rPr>
              <w:t>工业企业</w:t>
            </w:r>
            <w:r>
              <w:rPr>
                <w:rFonts w:hint="eastAsia" w:ascii="Times New Roman" w:hAnsi="Times New Roman" w:eastAsia="宋体"/>
                <w:b/>
                <w:bCs/>
                <w:color w:val="auto"/>
                <w:highlight w:val="none"/>
                <w:lang w:val="en-US" w:eastAsia="zh-CN"/>
              </w:rPr>
              <w:t>厂界噪声排放限值</w:t>
            </w:r>
            <w:r>
              <w:rPr>
                <w:rFonts w:hint="default" w:ascii="Times New Roman" w:hAnsi="Times New Roman" w:eastAsia="宋体"/>
                <w:b/>
                <w:bCs/>
                <w:color w:val="auto"/>
                <w:sz w:val="24"/>
                <w:highlight w:val="none"/>
              </w:rPr>
              <w:t xml:space="preserve">   单位：dB(A)</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1708"/>
              <w:gridCol w:w="1710"/>
              <w:gridCol w:w="3968"/>
            </w:tblGrid>
            <w:tr w14:paraId="6246E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39" w:type="pct"/>
                  <w:tcBorders>
                    <w:top w:val="single" w:color="auto" w:sz="12" w:space="0"/>
                    <w:bottom w:val="single" w:color="auto" w:sz="4" w:space="0"/>
                    <w:right w:val="single" w:color="auto" w:sz="4" w:space="0"/>
                  </w:tcBorders>
                  <w:noWrap w:val="0"/>
                  <w:vAlign w:val="center"/>
                </w:tcPr>
                <w:p w14:paraId="792152F5">
                  <w:pPr>
                    <w:keepNext w:val="0"/>
                    <w:keepLines w:val="0"/>
                    <w:suppressLineNumbers w:val="0"/>
                    <w:spacing w:before="0" w:beforeAutospacing="0" w:after="0" w:afterAutospacing="0" w:line="240" w:lineRule="atLeast"/>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类别</w:t>
                  </w:r>
                </w:p>
              </w:tc>
              <w:tc>
                <w:tcPr>
                  <w:tcW w:w="939" w:type="pct"/>
                  <w:tcBorders>
                    <w:top w:val="single" w:color="auto" w:sz="12" w:space="0"/>
                    <w:left w:val="single" w:color="auto" w:sz="4" w:space="0"/>
                    <w:bottom w:val="single" w:color="auto" w:sz="4" w:space="0"/>
                    <w:right w:val="single" w:color="auto" w:sz="4" w:space="0"/>
                  </w:tcBorders>
                  <w:noWrap w:val="0"/>
                  <w:vAlign w:val="center"/>
                </w:tcPr>
                <w:p w14:paraId="2E443768">
                  <w:pPr>
                    <w:keepNext w:val="0"/>
                    <w:keepLines w:val="0"/>
                    <w:suppressLineNumbers w:val="0"/>
                    <w:spacing w:before="0" w:beforeAutospacing="0" w:after="0" w:afterAutospacing="0" w:line="240" w:lineRule="atLeast"/>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昼间</w:t>
                  </w:r>
                </w:p>
              </w:tc>
              <w:tc>
                <w:tcPr>
                  <w:tcW w:w="940" w:type="pct"/>
                  <w:tcBorders>
                    <w:top w:val="single" w:color="auto" w:sz="12" w:space="0"/>
                    <w:left w:val="single" w:color="auto" w:sz="4" w:space="0"/>
                    <w:bottom w:val="single" w:color="auto" w:sz="4" w:space="0"/>
                  </w:tcBorders>
                  <w:noWrap w:val="0"/>
                  <w:vAlign w:val="center"/>
                </w:tcPr>
                <w:p w14:paraId="3BA6DF20">
                  <w:pPr>
                    <w:keepNext w:val="0"/>
                    <w:keepLines w:val="0"/>
                    <w:suppressLineNumbers w:val="0"/>
                    <w:spacing w:before="0" w:beforeAutospacing="0" w:after="0" w:afterAutospacing="0" w:line="240" w:lineRule="atLeast"/>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夜间</w:t>
                  </w:r>
                </w:p>
              </w:tc>
              <w:tc>
                <w:tcPr>
                  <w:tcW w:w="2181" w:type="pct"/>
                  <w:tcBorders>
                    <w:top w:val="single" w:color="auto" w:sz="12" w:space="0"/>
                    <w:left w:val="single" w:color="auto" w:sz="4" w:space="0"/>
                    <w:bottom w:val="single" w:color="auto" w:sz="4" w:space="0"/>
                  </w:tcBorders>
                  <w:noWrap w:val="0"/>
                  <w:vAlign w:val="center"/>
                </w:tcPr>
                <w:p w14:paraId="22758F57">
                  <w:pPr>
                    <w:keepNext w:val="0"/>
                    <w:keepLines w:val="0"/>
                    <w:suppressLineNumbers w:val="0"/>
                    <w:spacing w:before="0" w:beforeAutospacing="0" w:after="0" w:afterAutospacing="0" w:line="240" w:lineRule="atLeast"/>
                    <w:ind w:left="0" w:right="0"/>
                    <w:jc w:val="center"/>
                    <w:rPr>
                      <w:rFonts w:hint="eastAsia" w:ascii="Times New Roman" w:hAnsi="Times New Roman" w:eastAsia="宋体"/>
                      <w:b/>
                      <w:bCs/>
                      <w:color w:val="auto"/>
                      <w:szCs w:val="21"/>
                      <w:highlight w:val="none"/>
                      <w:lang w:eastAsia="zh-CN"/>
                    </w:rPr>
                  </w:pPr>
                  <w:r>
                    <w:rPr>
                      <w:rFonts w:hint="eastAsia" w:ascii="Times New Roman" w:hAnsi="Times New Roman" w:eastAsia="宋体"/>
                      <w:b/>
                      <w:bCs/>
                      <w:color w:val="auto"/>
                      <w:szCs w:val="21"/>
                      <w:highlight w:val="none"/>
                      <w:lang w:eastAsia="zh-CN"/>
                    </w:rPr>
                    <w:t>标准来源</w:t>
                  </w:r>
                </w:p>
              </w:tc>
            </w:tr>
            <w:tr w14:paraId="2FDF7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39" w:type="pct"/>
                  <w:tcBorders>
                    <w:top w:val="single" w:color="auto" w:sz="4" w:space="0"/>
                    <w:bottom w:val="single" w:color="auto" w:sz="12" w:space="0"/>
                    <w:right w:val="single" w:color="auto" w:sz="4" w:space="0"/>
                  </w:tcBorders>
                  <w:noWrap w:val="0"/>
                  <w:vAlign w:val="center"/>
                </w:tcPr>
                <w:p w14:paraId="3CE8C363">
                  <w:pPr>
                    <w:keepNext w:val="0"/>
                    <w:keepLines w:val="0"/>
                    <w:suppressLineNumbers w:val="0"/>
                    <w:spacing w:before="0" w:beforeAutospacing="0" w:after="0" w:afterAutospacing="0" w:line="240" w:lineRule="atLeast"/>
                    <w:ind w:left="0" w:right="0"/>
                    <w:jc w:val="center"/>
                    <w:rPr>
                      <w:rFonts w:hint="default"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2</w:t>
                  </w:r>
                  <w:r>
                    <w:rPr>
                      <w:rFonts w:hint="default" w:ascii="Times New Roman" w:hAnsi="Times New Roman" w:eastAsia="宋体"/>
                      <w:color w:val="auto"/>
                      <w:szCs w:val="21"/>
                      <w:highlight w:val="none"/>
                    </w:rPr>
                    <w:t>类</w:t>
                  </w:r>
                </w:p>
              </w:tc>
              <w:tc>
                <w:tcPr>
                  <w:tcW w:w="939" w:type="pct"/>
                  <w:tcBorders>
                    <w:top w:val="single" w:color="auto" w:sz="4" w:space="0"/>
                    <w:left w:val="single" w:color="auto" w:sz="4" w:space="0"/>
                    <w:bottom w:val="single" w:color="auto" w:sz="12" w:space="0"/>
                    <w:right w:val="single" w:color="auto" w:sz="4" w:space="0"/>
                  </w:tcBorders>
                  <w:noWrap w:val="0"/>
                  <w:vAlign w:val="center"/>
                </w:tcPr>
                <w:p w14:paraId="55226FF6">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60</w:t>
                  </w:r>
                </w:p>
              </w:tc>
              <w:tc>
                <w:tcPr>
                  <w:tcW w:w="940" w:type="pct"/>
                  <w:tcBorders>
                    <w:top w:val="single" w:color="auto" w:sz="4" w:space="0"/>
                    <w:left w:val="single" w:color="auto" w:sz="4" w:space="0"/>
                    <w:bottom w:val="single" w:color="auto" w:sz="12" w:space="0"/>
                  </w:tcBorders>
                  <w:noWrap w:val="0"/>
                  <w:vAlign w:val="center"/>
                </w:tcPr>
                <w:p w14:paraId="021DBF94">
                  <w:pPr>
                    <w:keepNext w:val="0"/>
                    <w:keepLines w:val="0"/>
                    <w:suppressLineNumbers w:val="0"/>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50</w:t>
                  </w:r>
                </w:p>
              </w:tc>
              <w:tc>
                <w:tcPr>
                  <w:tcW w:w="2181" w:type="pct"/>
                  <w:tcBorders>
                    <w:top w:val="single" w:color="auto" w:sz="4" w:space="0"/>
                    <w:left w:val="single" w:color="auto" w:sz="4" w:space="0"/>
                    <w:bottom w:val="single" w:color="auto" w:sz="12" w:space="0"/>
                  </w:tcBorders>
                  <w:noWrap w:val="0"/>
                  <w:vAlign w:val="center"/>
                </w:tcPr>
                <w:p w14:paraId="7DB1BA12">
                  <w:pPr>
                    <w:keepNext w:val="0"/>
                    <w:keepLines w:val="0"/>
                    <w:suppressLineNumbers w:val="0"/>
                    <w:spacing w:before="0" w:beforeAutospacing="0" w:after="0" w:afterAutospacing="0"/>
                    <w:ind w:left="0" w:right="0"/>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2类</w:t>
                  </w:r>
                  <w:r>
                    <w:rPr>
                      <w:rFonts w:hint="default" w:ascii="Times New Roman" w:hAnsi="Times New Roman" w:eastAsia="宋体" w:cs="Times New Roman"/>
                      <w:color w:val="auto"/>
                      <w:sz w:val="21"/>
                      <w:szCs w:val="21"/>
                      <w:highlight w:val="none"/>
                      <w:lang w:val="en-US" w:eastAsia="zh-CN"/>
                    </w:rPr>
                    <w:t>标准</w:t>
                  </w:r>
                </w:p>
              </w:tc>
            </w:tr>
          </w:tbl>
          <w:p w14:paraId="355705DD">
            <w:pPr>
              <w:keepNext w:val="0"/>
              <w:keepLines w:val="0"/>
              <w:widowControl/>
              <w:suppressLineNumbers w:val="0"/>
              <w:snapToGrid w:val="0"/>
              <w:spacing w:before="0" w:beforeAutospacing="0" w:after="0" w:afterAutospacing="0" w:line="360" w:lineRule="auto"/>
              <w:ind w:left="0" w:right="0"/>
              <w:jc w:val="left"/>
              <w:rPr>
                <w:rFonts w:hint="default" w:ascii="Times New Roman" w:hAnsi="Times New Roman" w:eastAsia="宋体"/>
                <w:b/>
                <w:color w:val="auto"/>
                <w:sz w:val="24"/>
                <w:highlight w:val="none"/>
              </w:rPr>
            </w:pPr>
            <w:r>
              <w:rPr>
                <w:rFonts w:hint="eastAsia" w:ascii="Times New Roman" w:hAnsi="Times New Roman" w:eastAsia="宋体"/>
                <w:b/>
                <w:color w:val="auto"/>
                <w:sz w:val="24"/>
                <w:highlight w:val="none"/>
                <w:lang w:val="en-US" w:eastAsia="zh-CN"/>
              </w:rPr>
              <w:t>4、</w:t>
            </w:r>
            <w:r>
              <w:rPr>
                <w:rFonts w:hint="eastAsia"/>
                <w:b/>
                <w:color w:val="auto"/>
                <w:sz w:val="24"/>
                <w:highlight w:val="none"/>
                <w:lang w:eastAsia="zh-CN"/>
              </w:rPr>
              <w:t>固体废物</w:t>
            </w:r>
            <w:r>
              <w:rPr>
                <w:rFonts w:hint="default" w:ascii="Times New Roman" w:hAnsi="Times New Roman" w:eastAsia="宋体"/>
                <w:b/>
                <w:color w:val="auto"/>
                <w:sz w:val="24"/>
                <w:highlight w:val="none"/>
              </w:rPr>
              <w:t>：</w:t>
            </w:r>
          </w:p>
          <w:p w14:paraId="721619C7">
            <w:pPr>
              <w:keepNext w:val="0"/>
              <w:keepLines w:val="0"/>
              <w:suppressLineNumbers w:val="0"/>
              <w:adjustRightInd w:val="0"/>
              <w:snapToGrid w:val="0"/>
              <w:spacing w:before="0" w:beforeAutospacing="0" w:after="0" w:afterAutospacing="0" w:line="360" w:lineRule="auto"/>
              <w:ind w:left="0" w:leftChars="0" w:right="0" w:rightChars="0" w:firstLine="480" w:firstLineChars="200"/>
              <w:jc w:val="both"/>
              <w:rPr>
                <w:rFonts w:hint="default" w:ascii="Times New Roman" w:hAnsi="Times New Roman" w:eastAsia="宋体"/>
                <w:color w:val="auto"/>
                <w:kern w:val="0"/>
                <w:szCs w:val="21"/>
                <w:highlight w:val="none"/>
              </w:rPr>
            </w:pPr>
            <w:r>
              <w:rPr>
                <w:rFonts w:hint="eastAsia" w:ascii="Times New Roman" w:hAnsi="Times New Roman" w:eastAsia="宋体"/>
                <w:color w:val="auto"/>
                <w:sz w:val="24"/>
                <w:szCs w:val="24"/>
                <w:highlight w:val="none"/>
                <w:lang w:val="en-US" w:eastAsia="zh-CN"/>
              </w:rPr>
              <w:t>本项目不新增职工人数，无新增生活垃圾；固体废物</w:t>
            </w:r>
            <w:r>
              <w:rPr>
                <w:rFonts w:hint="eastAsia" w:ascii="Times New Roman" w:hAnsi="Times New Roman" w:eastAsia="宋体"/>
                <w:color w:val="auto"/>
                <w:sz w:val="24"/>
                <w:szCs w:val="24"/>
                <w:highlight w:val="none"/>
              </w:rPr>
              <w:t>贮存过程执行《危险废物贮存污染控制标准》（GB18597-2023）</w:t>
            </w:r>
            <w:r>
              <w:rPr>
                <w:rFonts w:hint="eastAsia" w:ascii="Times New Roman" w:hAnsi="Times New Roman" w:eastAsia="宋体"/>
                <w:color w:val="auto"/>
                <w:sz w:val="24"/>
                <w:szCs w:val="24"/>
                <w:highlight w:val="none"/>
                <w:lang w:eastAsia="zh-CN"/>
              </w:rPr>
              <w:t>、</w:t>
            </w:r>
            <w:r>
              <w:rPr>
                <w:rFonts w:hint="default" w:ascii="Times New Roman" w:hAnsi="Times New Roman" w:eastAsia="宋体"/>
                <w:color w:val="auto"/>
                <w:sz w:val="24"/>
                <w:szCs w:val="24"/>
                <w:highlight w:val="none"/>
              </w:rPr>
              <w:t>《一般工业固体废物贮存和填埋污染控制标准》（GB18599-2020）</w:t>
            </w:r>
            <w:r>
              <w:rPr>
                <w:rFonts w:hint="eastAsia" w:ascii="Times New Roman" w:hAnsi="Times New Roman" w:eastAsia="宋体"/>
                <w:color w:val="auto"/>
                <w:sz w:val="24"/>
                <w:szCs w:val="24"/>
                <w:highlight w:val="none"/>
                <w:lang w:eastAsia="zh-CN"/>
              </w:rPr>
              <w:t>、《省生态环境厅关于进一步完善</w:t>
            </w:r>
            <w:r>
              <w:rPr>
                <w:rFonts w:hint="eastAsia" w:ascii="Times New Roman" w:hAnsi="Times New Roman" w:eastAsia="宋体"/>
                <w:color w:val="auto"/>
                <w:sz w:val="24"/>
                <w:szCs w:val="24"/>
                <w:highlight w:val="none"/>
                <w:lang w:val="en-US" w:eastAsia="zh-CN"/>
              </w:rPr>
              <w:t>一</w:t>
            </w:r>
            <w:r>
              <w:rPr>
                <w:rFonts w:hint="eastAsia" w:ascii="Times New Roman" w:hAnsi="Times New Roman" w:eastAsia="宋体"/>
                <w:color w:val="auto"/>
                <w:sz w:val="24"/>
                <w:szCs w:val="24"/>
                <w:highlight w:val="none"/>
                <w:lang w:eastAsia="zh-CN"/>
              </w:rPr>
              <w:t>般工业固体废物环境管理的通知》（苏环办〔2023〕327号）、</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eastAsia="zh-CN"/>
              </w:rPr>
              <w:t>江苏省固体废物全过程环境监管工作意见</w:t>
            </w:r>
            <w:r>
              <w:rPr>
                <w:rFonts w:hint="default" w:ascii="Times New Roman" w:hAnsi="Times New Roman" w:eastAsia="宋体"/>
                <w:color w:val="auto"/>
                <w:sz w:val="24"/>
                <w:szCs w:val="24"/>
                <w:highlight w:val="none"/>
              </w:rPr>
              <w:t>》（苏环办</w:t>
            </w:r>
            <w:r>
              <w:rPr>
                <w:rFonts w:hint="eastAsia" w:ascii="Times New Roman" w:hAnsi="Times New Roman" w:eastAsia="宋体"/>
                <w:color w:val="auto"/>
                <w:sz w:val="24"/>
                <w:szCs w:val="24"/>
                <w:highlight w:val="none"/>
                <w:lang w:eastAsia="zh-CN"/>
              </w:rPr>
              <w:t>〔2024〕16号</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以及《省环境</w:t>
            </w:r>
            <w:r>
              <w:rPr>
                <w:rFonts w:hint="default" w:ascii="Times New Roman" w:hAnsi="Times New Roman" w:eastAsia="宋体" w:cs="Times New Roman"/>
                <w:color w:val="auto"/>
                <w:sz w:val="24"/>
                <w:highlight w:val="none"/>
              </w:rPr>
              <w:t>厅关于做好江苏省危险废物全生命周期监控系统上线运行工作的通知》（苏环办〔2020〕401号）相关要求</w:t>
            </w:r>
            <w:r>
              <w:rPr>
                <w:rFonts w:hint="eastAsia" w:ascii="Times New Roman" w:hAnsi="Times New Roman" w:eastAsia="宋体" w:cs="Times New Roman"/>
                <w:color w:val="auto"/>
                <w:sz w:val="24"/>
                <w:highlight w:val="none"/>
                <w:lang w:eastAsia="zh-CN"/>
              </w:rPr>
              <w:t>。</w:t>
            </w:r>
          </w:p>
        </w:tc>
      </w:tr>
    </w:tbl>
    <w:p w14:paraId="2B4F4619">
      <w:pPr>
        <w:rPr>
          <w:rFonts w:ascii="Times New Roman" w:hAnsi="Times New Roman" w:eastAsia="宋体"/>
          <w:snapToGrid w:val="0"/>
          <w:color w:val="auto"/>
          <w:sz w:val="30"/>
          <w:szCs w:val="30"/>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tbl>
      <w:tblPr>
        <w:tblStyle w:val="25"/>
        <w:tblW w:w="9476" w:type="dxa"/>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9011"/>
      </w:tblGrid>
      <w:tr w14:paraId="6D31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3" w:hRule="atLeast"/>
        </w:trPr>
        <w:tc>
          <w:tcPr>
            <w:tcW w:w="465" w:type="dxa"/>
            <w:vAlign w:val="center"/>
          </w:tcPr>
          <w:p w14:paraId="37C181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Calibri"/>
                <w:color w:val="auto"/>
                <w:kern w:val="0"/>
                <w:sz w:val="24"/>
                <w:highlight w:val="none"/>
              </w:rPr>
            </w:pPr>
            <w:r>
              <w:rPr>
                <w:rFonts w:hint="default" w:ascii="Times New Roman" w:hAnsi="Times New Roman" w:eastAsia="宋体" w:cs="Calibri"/>
                <w:color w:val="auto"/>
                <w:kern w:val="0"/>
                <w:sz w:val="24"/>
                <w:highlight w:val="none"/>
              </w:rPr>
              <w:t>总量</w:t>
            </w:r>
          </w:p>
          <w:p w14:paraId="39A2FE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Calibri"/>
                <w:color w:val="auto"/>
                <w:kern w:val="0"/>
                <w:sz w:val="24"/>
                <w:highlight w:val="none"/>
              </w:rPr>
            </w:pPr>
            <w:r>
              <w:rPr>
                <w:rFonts w:hint="default" w:ascii="Times New Roman" w:hAnsi="Times New Roman" w:eastAsia="宋体" w:cs="Calibri"/>
                <w:color w:val="auto"/>
                <w:kern w:val="0"/>
                <w:sz w:val="24"/>
                <w:highlight w:val="none"/>
              </w:rPr>
              <w:t>控制</w:t>
            </w:r>
          </w:p>
          <w:p w14:paraId="79A6F41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Calibri"/>
                <w:snapToGrid w:val="0"/>
                <w:color w:val="auto"/>
                <w:sz w:val="30"/>
                <w:szCs w:val="30"/>
                <w:highlight w:val="none"/>
              </w:rPr>
            </w:pPr>
            <w:r>
              <w:rPr>
                <w:rFonts w:hint="default" w:ascii="Times New Roman" w:hAnsi="Times New Roman" w:eastAsia="宋体" w:cs="Calibri"/>
                <w:color w:val="auto"/>
                <w:kern w:val="0"/>
                <w:sz w:val="24"/>
                <w:highlight w:val="none"/>
              </w:rPr>
              <w:t>指标</w:t>
            </w:r>
          </w:p>
        </w:tc>
        <w:tc>
          <w:tcPr>
            <w:tcW w:w="9011" w:type="dxa"/>
            <w:vAlign w:val="top"/>
          </w:tcPr>
          <w:p w14:paraId="625447D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Calibri"/>
                <w:color w:val="auto"/>
                <w:sz w:val="24"/>
                <w:szCs w:val="32"/>
                <w:highlight w:val="none"/>
              </w:rPr>
            </w:pPr>
            <w:r>
              <w:rPr>
                <w:rFonts w:hint="default" w:ascii="Times New Roman" w:hAnsi="Times New Roman" w:eastAsia="宋体" w:cs="Calibri"/>
                <w:color w:val="auto"/>
                <w:sz w:val="24"/>
                <w:szCs w:val="32"/>
                <w:highlight w:val="none"/>
              </w:rPr>
              <w:t>本项目建议接管考核量及废气排入大气环境总量控制指标见下表。</w:t>
            </w:r>
          </w:p>
          <w:p w14:paraId="181577C5">
            <w:pPr>
              <w:keepNext w:val="0"/>
              <w:keepLines w:val="0"/>
              <w:numPr>
                <w:ilvl w:val="0"/>
                <w:numId w:val="0"/>
              </w:numPr>
              <w:suppressLineNumbers w:val="0"/>
              <w:snapToGrid w:val="0"/>
              <w:spacing w:before="0" w:beforeAutospacing="0" w:after="0" w:afterAutospacing="0"/>
              <w:ind w:left="425" w:leftChars="0" w:right="0" w:hanging="425" w:firstLineChars="0"/>
              <w:jc w:val="center"/>
              <w:rPr>
                <w:rFonts w:hint="default" w:ascii="Times New Roman" w:hAnsi="Times New Roman" w:eastAsia="宋体" w:cs="Calibri"/>
                <w:b/>
                <w:color w:val="auto"/>
                <w:sz w:val="24"/>
                <w:highlight w:val="none"/>
              </w:rPr>
            </w:pPr>
            <w:r>
              <w:rPr>
                <w:rFonts w:hint="default" w:ascii="Times New Roman" w:hAnsi="Times New Roman" w:eastAsia="宋体" w:cs="宋体"/>
                <w:b/>
                <w:bCs/>
                <w:color w:val="auto"/>
                <w:kern w:val="2"/>
                <w:sz w:val="24"/>
                <w:szCs w:val="24"/>
                <w:highlight w:val="none"/>
                <w:lang w:val="en-US" w:eastAsia="zh-CN" w:bidi="ar-SA"/>
              </w:rPr>
              <w:t>表3-</w:t>
            </w:r>
            <w:r>
              <w:rPr>
                <w:rFonts w:hint="eastAsia" w:cs="宋体"/>
                <w:b/>
                <w:bCs/>
                <w:color w:val="auto"/>
                <w:kern w:val="2"/>
                <w:sz w:val="24"/>
                <w:szCs w:val="24"/>
                <w:highlight w:val="none"/>
                <w:lang w:val="en-US" w:eastAsia="zh-CN" w:bidi="ar-SA"/>
              </w:rPr>
              <w:t xml:space="preserve">13  </w:t>
            </w:r>
            <w:r>
              <w:rPr>
                <w:rFonts w:hint="default" w:ascii="Times New Roman" w:hAnsi="Times New Roman" w:eastAsia="宋体" w:cs="Calibri"/>
                <w:b/>
                <w:color w:val="auto"/>
                <w:sz w:val="24"/>
                <w:highlight w:val="none"/>
              </w:rPr>
              <w:t>本项目污染物排放总量  单位：t/a</w:t>
            </w:r>
          </w:p>
          <w:tbl>
            <w:tblPr>
              <w:tblStyle w:val="2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31"/>
              <w:gridCol w:w="378"/>
              <w:gridCol w:w="554"/>
              <w:gridCol w:w="682"/>
              <w:gridCol w:w="1032"/>
              <w:gridCol w:w="914"/>
              <w:gridCol w:w="895"/>
              <w:gridCol w:w="935"/>
              <w:gridCol w:w="974"/>
              <w:gridCol w:w="1111"/>
              <w:gridCol w:w="877"/>
            </w:tblGrid>
            <w:tr w14:paraId="40DF1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245" w:type="pct"/>
                  <w:vMerge w:val="restart"/>
                  <w:tcBorders>
                    <w:tl2br w:val="nil"/>
                    <w:tr2bl w:val="nil"/>
                  </w:tcBorders>
                  <w:vAlign w:val="center"/>
                </w:tcPr>
                <w:p w14:paraId="10D84B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类别</w:t>
                  </w:r>
                </w:p>
              </w:tc>
              <w:tc>
                <w:tcPr>
                  <w:tcW w:w="918" w:type="pct"/>
                  <w:gridSpan w:val="3"/>
                  <w:vMerge w:val="restart"/>
                  <w:tcBorders>
                    <w:tl2br w:val="nil"/>
                    <w:tr2bl w:val="nil"/>
                  </w:tcBorders>
                  <w:vAlign w:val="center"/>
                </w:tcPr>
                <w:p w14:paraId="0EB0B2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污染物名称</w:t>
                  </w:r>
                </w:p>
              </w:tc>
              <w:tc>
                <w:tcPr>
                  <w:tcW w:w="587" w:type="pct"/>
                  <w:vMerge w:val="restart"/>
                  <w:tcBorders>
                    <w:tl2br w:val="nil"/>
                    <w:tr2bl w:val="nil"/>
                  </w:tcBorders>
                  <w:vAlign w:val="center"/>
                </w:tcPr>
                <w:p w14:paraId="5B0988B7">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color w:val="auto"/>
                      <w:sz w:val="21"/>
                      <w:szCs w:val="21"/>
                      <w:highlight w:val="none"/>
                    </w:rPr>
                    <w:t>原环评批复总量指标</w:t>
                  </w:r>
                </w:p>
              </w:tc>
              <w:tc>
                <w:tcPr>
                  <w:tcW w:w="1561" w:type="pct"/>
                  <w:gridSpan w:val="3"/>
                  <w:tcBorders>
                    <w:tl2br w:val="nil"/>
                    <w:tr2bl w:val="nil"/>
                  </w:tcBorders>
                  <w:vAlign w:val="center"/>
                </w:tcPr>
                <w:p w14:paraId="463396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w:t>
                  </w:r>
                </w:p>
              </w:tc>
              <w:tc>
                <w:tcPr>
                  <w:tcW w:w="554" w:type="pct"/>
                  <w:vMerge w:val="restart"/>
                  <w:tcBorders>
                    <w:tl2br w:val="nil"/>
                    <w:tr2bl w:val="nil"/>
                  </w:tcBorders>
                  <w:vAlign w:val="center"/>
                </w:tcPr>
                <w:p w14:paraId="4E46150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“以新带老”削减量</w:t>
                  </w:r>
                </w:p>
              </w:tc>
              <w:tc>
                <w:tcPr>
                  <w:tcW w:w="632" w:type="pct"/>
                  <w:vMerge w:val="restart"/>
                  <w:tcBorders>
                    <w:tl2br w:val="nil"/>
                    <w:tr2bl w:val="nil"/>
                  </w:tcBorders>
                  <w:vAlign w:val="center"/>
                </w:tcPr>
                <w:p w14:paraId="4EE8BF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cs="Times New Roman"/>
                      <w:b/>
                      <w:bCs/>
                      <w:color w:val="auto"/>
                      <w:sz w:val="21"/>
                      <w:szCs w:val="21"/>
                      <w:highlight w:val="none"/>
                      <w:lang w:eastAsia="zh-CN"/>
                    </w:rPr>
                    <w:t>全厂排放控制量</w:t>
                  </w:r>
                </w:p>
              </w:tc>
              <w:tc>
                <w:tcPr>
                  <w:tcW w:w="499" w:type="pct"/>
                  <w:vMerge w:val="restart"/>
                  <w:tcBorders>
                    <w:tl2br w:val="nil"/>
                    <w:tr2bl w:val="nil"/>
                  </w:tcBorders>
                  <w:vAlign w:val="center"/>
                </w:tcPr>
                <w:p w14:paraId="166DD94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pacing w:val="-20"/>
                      <w:kern w:val="0"/>
                      <w:sz w:val="21"/>
                      <w:szCs w:val="21"/>
                      <w:highlight w:val="none"/>
                    </w:rPr>
                  </w:pPr>
                  <w:r>
                    <w:rPr>
                      <w:rFonts w:hint="default" w:ascii="Times New Roman" w:hAnsi="Times New Roman" w:eastAsia="宋体" w:cs="Times New Roman"/>
                      <w:b/>
                      <w:bCs/>
                      <w:color w:val="auto"/>
                      <w:kern w:val="0"/>
                      <w:sz w:val="21"/>
                      <w:szCs w:val="21"/>
                      <w:highlight w:val="none"/>
                    </w:rPr>
                    <w:t>排放增减量</w:t>
                  </w:r>
                </w:p>
              </w:tc>
            </w:tr>
            <w:tr w14:paraId="27F7F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245" w:type="pct"/>
                  <w:vMerge w:val="continue"/>
                  <w:tcBorders>
                    <w:tl2br w:val="nil"/>
                    <w:tr2bl w:val="nil"/>
                  </w:tcBorders>
                  <w:vAlign w:val="center"/>
                </w:tcPr>
                <w:p w14:paraId="5D3F8E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918" w:type="pct"/>
                  <w:gridSpan w:val="3"/>
                  <w:vMerge w:val="continue"/>
                  <w:tcBorders>
                    <w:tl2br w:val="nil"/>
                    <w:tr2bl w:val="nil"/>
                  </w:tcBorders>
                  <w:vAlign w:val="center"/>
                </w:tcPr>
                <w:p w14:paraId="21159F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87" w:type="pct"/>
                  <w:vMerge w:val="continue"/>
                  <w:tcBorders>
                    <w:tl2br w:val="nil"/>
                    <w:tr2bl w:val="nil"/>
                  </w:tcBorders>
                  <w:vAlign w:val="center"/>
                </w:tcPr>
                <w:p w14:paraId="2EC62D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20" w:type="pct"/>
                  <w:tcBorders>
                    <w:tl2br w:val="nil"/>
                    <w:tr2bl w:val="nil"/>
                  </w:tcBorders>
                  <w:vAlign w:val="center"/>
                </w:tcPr>
                <w:p w14:paraId="15C33D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w:t>
                  </w:r>
                </w:p>
              </w:tc>
              <w:tc>
                <w:tcPr>
                  <w:tcW w:w="509" w:type="pct"/>
                  <w:tcBorders>
                    <w:tl2br w:val="nil"/>
                    <w:tr2bl w:val="nil"/>
                  </w:tcBorders>
                  <w:vAlign w:val="center"/>
                </w:tcPr>
                <w:p w14:paraId="3D88F2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削减量</w:t>
                  </w:r>
                </w:p>
              </w:tc>
              <w:tc>
                <w:tcPr>
                  <w:tcW w:w="531" w:type="pct"/>
                  <w:tcBorders>
                    <w:tl2br w:val="nil"/>
                    <w:tr2bl w:val="nil"/>
                  </w:tcBorders>
                  <w:vAlign w:val="center"/>
                </w:tcPr>
                <w:p w14:paraId="110E93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排放量</w:t>
                  </w:r>
                </w:p>
              </w:tc>
              <w:tc>
                <w:tcPr>
                  <w:tcW w:w="554" w:type="pct"/>
                  <w:vMerge w:val="continue"/>
                  <w:tcBorders>
                    <w:tl2br w:val="nil"/>
                    <w:tr2bl w:val="nil"/>
                  </w:tcBorders>
                  <w:vAlign w:val="center"/>
                </w:tcPr>
                <w:p w14:paraId="67DDEB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632" w:type="pct"/>
                  <w:vMerge w:val="continue"/>
                  <w:tcBorders>
                    <w:tl2br w:val="nil"/>
                    <w:tr2bl w:val="nil"/>
                  </w:tcBorders>
                  <w:vAlign w:val="center"/>
                </w:tcPr>
                <w:p w14:paraId="4C4FFB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499" w:type="pct"/>
                  <w:vMerge w:val="continue"/>
                  <w:tcBorders>
                    <w:tl2br w:val="nil"/>
                    <w:tr2bl w:val="nil"/>
                  </w:tcBorders>
                  <w:vAlign w:val="center"/>
                </w:tcPr>
                <w:p w14:paraId="5ADE33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r>
            <w:tr w14:paraId="5FAF5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restart"/>
                  <w:tcBorders>
                    <w:tl2br w:val="nil"/>
                    <w:tr2bl w:val="nil"/>
                  </w:tcBorders>
                  <w:vAlign w:val="center"/>
                </w:tcPr>
                <w:p w14:paraId="16E4994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w:t>
                  </w:r>
                </w:p>
              </w:tc>
              <w:tc>
                <w:tcPr>
                  <w:tcW w:w="918" w:type="pct"/>
                  <w:gridSpan w:val="3"/>
                  <w:tcBorders>
                    <w:tl2br w:val="nil"/>
                    <w:tr2bl w:val="nil"/>
                  </w:tcBorders>
                  <w:vAlign w:val="center"/>
                </w:tcPr>
                <w:p w14:paraId="327689D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废水量</w:t>
                  </w:r>
                </w:p>
              </w:tc>
              <w:tc>
                <w:tcPr>
                  <w:tcW w:w="587" w:type="pct"/>
                  <w:tcBorders>
                    <w:tl2br w:val="nil"/>
                    <w:tr2bl w:val="nil"/>
                  </w:tcBorders>
                  <w:vAlign w:val="center"/>
                </w:tcPr>
                <w:p w14:paraId="1C084AD6">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138605.95</w:t>
                  </w:r>
                </w:p>
              </w:tc>
              <w:tc>
                <w:tcPr>
                  <w:tcW w:w="520" w:type="pct"/>
                  <w:tcBorders>
                    <w:tl2br w:val="nil"/>
                    <w:tr2bl w:val="nil"/>
                  </w:tcBorders>
                  <w:vAlign w:val="center"/>
                </w:tcPr>
                <w:p w14:paraId="48B7FB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509" w:type="pct"/>
                  <w:tcBorders>
                    <w:tl2br w:val="nil"/>
                    <w:tr2bl w:val="nil"/>
                  </w:tcBorders>
                  <w:vAlign w:val="center"/>
                </w:tcPr>
                <w:p w14:paraId="3C56C949">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0</w:t>
                  </w:r>
                </w:p>
              </w:tc>
              <w:tc>
                <w:tcPr>
                  <w:tcW w:w="531" w:type="pct"/>
                  <w:tcBorders>
                    <w:tl2br w:val="nil"/>
                    <w:tr2bl w:val="nil"/>
                  </w:tcBorders>
                  <w:vAlign w:val="center"/>
                </w:tcPr>
                <w:p w14:paraId="7FF2176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0</w:t>
                  </w:r>
                </w:p>
              </w:tc>
              <w:tc>
                <w:tcPr>
                  <w:tcW w:w="554" w:type="pct"/>
                  <w:tcBorders>
                    <w:tl2br w:val="nil"/>
                    <w:tr2bl w:val="nil"/>
                  </w:tcBorders>
                  <w:vAlign w:val="center"/>
                </w:tcPr>
                <w:p w14:paraId="7C4CE33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632" w:type="pct"/>
                  <w:tcBorders>
                    <w:tl2br w:val="nil"/>
                    <w:tr2bl w:val="nil"/>
                  </w:tcBorders>
                  <w:vAlign w:val="center"/>
                </w:tcPr>
                <w:p w14:paraId="3F686365">
                  <w:pPr>
                    <w:keepNext w:val="0"/>
                    <w:keepLines w:val="0"/>
                    <w:widowControl/>
                    <w:suppressLineNumbers w:val="0"/>
                    <w:snapToGrid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kern w:val="0"/>
                      <w:sz w:val="21"/>
                      <w:szCs w:val="21"/>
                      <w:highlight w:val="none"/>
                      <w:lang w:val="en-US" w:eastAsia="zh-CN" w:bidi="ar"/>
                    </w:rPr>
                    <w:t>0</w:t>
                  </w:r>
                </w:p>
              </w:tc>
              <w:tc>
                <w:tcPr>
                  <w:tcW w:w="499" w:type="pct"/>
                  <w:tcBorders>
                    <w:tl2br w:val="nil"/>
                    <w:tr2bl w:val="nil"/>
                  </w:tcBorders>
                  <w:vAlign w:val="center"/>
                </w:tcPr>
                <w:p w14:paraId="4362ACB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0</w:t>
                  </w:r>
                </w:p>
              </w:tc>
            </w:tr>
            <w:tr w14:paraId="08728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1B8512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18" w:type="pct"/>
                  <w:gridSpan w:val="3"/>
                  <w:tcBorders>
                    <w:tl2br w:val="nil"/>
                    <w:tr2bl w:val="nil"/>
                  </w:tcBorders>
                  <w:vAlign w:val="center"/>
                </w:tcPr>
                <w:p w14:paraId="707FEB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587" w:type="pct"/>
                  <w:tcBorders>
                    <w:tl2br w:val="nil"/>
                    <w:tr2bl w:val="nil"/>
                  </w:tcBorders>
                  <w:vAlign w:val="center"/>
                </w:tcPr>
                <w:p w14:paraId="4CE3E4AE">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16.1701</w:t>
                  </w:r>
                </w:p>
              </w:tc>
              <w:tc>
                <w:tcPr>
                  <w:tcW w:w="520" w:type="pct"/>
                  <w:tcBorders>
                    <w:tl2br w:val="nil"/>
                    <w:tr2bl w:val="nil"/>
                  </w:tcBorders>
                  <w:vAlign w:val="center"/>
                </w:tcPr>
                <w:p w14:paraId="43DFEFD0">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509" w:type="pct"/>
                  <w:tcBorders>
                    <w:tl2br w:val="nil"/>
                    <w:tr2bl w:val="nil"/>
                  </w:tcBorders>
                  <w:vAlign w:val="center"/>
                </w:tcPr>
                <w:p w14:paraId="55260BF8">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531" w:type="pct"/>
                  <w:tcBorders>
                    <w:tl2br w:val="nil"/>
                    <w:tr2bl w:val="nil"/>
                  </w:tcBorders>
                  <w:vAlign w:val="center"/>
                </w:tcPr>
                <w:p w14:paraId="0F638EE4">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554" w:type="pct"/>
                  <w:tcBorders>
                    <w:tl2br w:val="nil"/>
                    <w:tr2bl w:val="nil"/>
                  </w:tcBorders>
                  <w:vAlign w:val="center"/>
                </w:tcPr>
                <w:p w14:paraId="0238339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632" w:type="pct"/>
                  <w:tcBorders>
                    <w:tl2br w:val="nil"/>
                    <w:tr2bl w:val="nil"/>
                  </w:tcBorders>
                  <w:vAlign w:val="center"/>
                </w:tcPr>
                <w:p w14:paraId="1D47728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bidi="ar"/>
                    </w:rPr>
                  </w:pPr>
                  <w:r>
                    <w:rPr>
                      <w:rFonts w:hint="eastAsia" w:cs="Times New Roman"/>
                      <w:color w:val="auto"/>
                      <w:sz w:val="21"/>
                      <w:szCs w:val="21"/>
                      <w:highlight w:val="none"/>
                      <w:lang w:val="en-US" w:eastAsia="zh-CN"/>
                    </w:rPr>
                    <w:t>0</w:t>
                  </w:r>
                </w:p>
              </w:tc>
              <w:tc>
                <w:tcPr>
                  <w:tcW w:w="499" w:type="pct"/>
                  <w:tcBorders>
                    <w:tl2br w:val="nil"/>
                    <w:tr2bl w:val="nil"/>
                  </w:tcBorders>
                  <w:vAlign w:val="center"/>
                </w:tcPr>
                <w:p w14:paraId="324B4C1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14:paraId="7E41E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1D8E488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18" w:type="pct"/>
                  <w:gridSpan w:val="3"/>
                  <w:tcBorders>
                    <w:tl2br w:val="nil"/>
                    <w:tr2bl w:val="nil"/>
                  </w:tcBorders>
                  <w:vAlign w:val="center"/>
                </w:tcPr>
                <w:p w14:paraId="1E6A91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587" w:type="pct"/>
                  <w:tcBorders>
                    <w:tl2br w:val="nil"/>
                    <w:tr2bl w:val="nil"/>
                  </w:tcBorders>
                  <w:vAlign w:val="center"/>
                </w:tcPr>
                <w:p w14:paraId="2BFACB8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14.1961</w:t>
                  </w:r>
                </w:p>
              </w:tc>
              <w:tc>
                <w:tcPr>
                  <w:tcW w:w="520" w:type="pct"/>
                  <w:tcBorders>
                    <w:tl2br w:val="nil"/>
                    <w:tr2bl w:val="nil"/>
                  </w:tcBorders>
                  <w:vAlign w:val="center"/>
                </w:tcPr>
                <w:p w14:paraId="4F8D002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bidi="ar"/>
                    </w:rPr>
                    <w:t xml:space="preserve"> </w:t>
                  </w:r>
                </w:p>
              </w:tc>
              <w:tc>
                <w:tcPr>
                  <w:tcW w:w="509" w:type="pct"/>
                  <w:tcBorders>
                    <w:tl2br w:val="nil"/>
                    <w:tr2bl w:val="nil"/>
                  </w:tcBorders>
                  <w:vAlign w:val="center"/>
                </w:tcPr>
                <w:p w14:paraId="6F657433">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0</w:t>
                  </w:r>
                </w:p>
              </w:tc>
              <w:tc>
                <w:tcPr>
                  <w:tcW w:w="531" w:type="pct"/>
                  <w:tcBorders>
                    <w:tl2br w:val="nil"/>
                    <w:tr2bl w:val="nil"/>
                  </w:tcBorders>
                  <w:vAlign w:val="center"/>
                </w:tcPr>
                <w:p w14:paraId="429BED8E">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0</w:t>
                  </w:r>
                </w:p>
              </w:tc>
              <w:tc>
                <w:tcPr>
                  <w:tcW w:w="554" w:type="pct"/>
                  <w:tcBorders>
                    <w:tl2br w:val="nil"/>
                    <w:tr2bl w:val="nil"/>
                  </w:tcBorders>
                  <w:vAlign w:val="center"/>
                </w:tcPr>
                <w:p w14:paraId="04027A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632" w:type="pct"/>
                  <w:tcBorders>
                    <w:tl2br w:val="nil"/>
                    <w:tr2bl w:val="nil"/>
                  </w:tcBorders>
                  <w:vAlign w:val="center"/>
                </w:tcPr>
                <w:p w14:paraId="3ABBEBF6">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bidi="ar"/>
                    </w:rPr>
                  </w:pPr>
                  <w:r>
                    <w:rPr>
                      <w:rFonts w:hint="eastAsia" w:cs="Times New Roman"/>
                      <w:color w:val="auto"/>
                      <w:sz w:val="21"/>
                      <w:szCs w:val="21"/>
                      <w:highlight w:val="none"/>
                      <w:lang w:val="en-US" w:eastAsia="zh-CN"/>
                    </w:rPr>
                    <w:t>0</w:t>
                  </w:r>
                </w:p>
              </w:tc>
              <w:tc>
                <w:tcPr>
                  <w:tcW w:w="499" w:type="pct"/>
                  <w:tcBorders>
                    <w:tl2br w:val="nil"/>
                    <w:tr2bl w:val="nil"/>
                  </w:tcBorders>
                  <w:vAlign w:val="center"/>
                </w:tcPr>
                <w:p w14:paraId="2016CD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14:paraId="40AA4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1D0A86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18" w:type="pct"/>
                  <w:gridSpan w:val="3"/>
                  <w:tcBorders>
                    <w:tl2br w:val="nil"/>
                    <w:tr2bl w:val="nil"/>
                  </w:tcBorders>
                  <w:vAlign w:val="center"/>
                </w:tcPr>
                <w:p w14:paraId="5DFC49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氨氮</w:t>
                  </w:r>
                </w:p>
              </w:tc>
              <w:tc>
                <w:tcPr>
                  <w:tcW w:w="587" w:type="pct"/>
                  <w:tcBorders>
                    <w:tl2br w:val="nil"/>
                    <w:tr2bl w:val="nil"/>
                  </w:tcBorders>
                  <w:vAlign w:val="center"/>
                </w:tcPr>
                <w:p w14:paraId="7112163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1.176</w:t>
                  </w:r>
                </w:p>
              </w:tc>
              <w:tc>
                <w:tcPr>
                  <w:tcW w:w="520" w:type="pct"/>
                  <w:tcBorders>
                    <w:tl2br w:val="nil"/>
                    <w:tr2bl w:val="nil"/>
                  </w:tcBorders>
                  <w:vAlign w:val="center"/>
                </w:tcPr>
                <w:p w14:paraId="48D21ECC">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509" w:type="pct"/>
                  <w:tcBorders>
                    <w:tl2br w:val="nil"/>
                    <w:tr2bl w:val="nil"/>
                  </w:tcBorders>
                  <w:vAlign w:val="center"/>
                </w:tcPr>
                <w:p w14:paraId="0FAB50E8">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0</w:t>
                  </w:r>
                </w:p>
              </w:tc>
              <w:tc>
                <w:tcPr>
                  <w:tcW w:w="531" w:type="pct"/>
                  <w:tcBorders>
                    <w:tl2br w:val="nil"/>
                    <w:tr2bl w:val="nil"/>
                  </w:tcBorders>
                  <w:vAlign w:val="center"/>
                </w:tcPr>
                <w:p w14:paraId="1D5AB11F">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554" w:type="pct"/>
                  <w:tcBorders>
                    <w:tl2br w:val="nil"/>
                    <w:tr2bl w:val="nil"/>
                  </w:tcBorders>
                  <w:vAlign w:val="center"/>
                </w:tcPr>
                <w:p w14:paraId="12728CD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632" w:type="pct"/>
                  <w:tcBorders>
                    <w:tl2br w:val="nil"/>
                    <w:tr2bl w:val="nil"/>
                  </w:tcBorders>
                  <w:vAlign w:val="center"/>
                </w:tcPr>
                <w:p w14:paraId="13F92B05">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bidi="ar"/>
                    </w:rPr>
                  </w:pPr>
                  <w:r>
                    <w:rPr>
                      <w:rFonts w:hint="eastAsia" w:cs="Times New Roman"/>
                      <w:color w:val="auto"/>
                      <w:sz w:val="21"/>
                      <w:szCs w:val="21"/>
                      <w:highlight w:val="none"/>
                      <w:lang w:val="en-US" w:eastAsia="zh-CN"/>
                    </w:rPr>
                    <w:t>0</w:t>
                  </w:r>
                </w:p>
              </w:tc>
              <w:tc>
                <w:tcPr>
                  <w:tcW w:w="499" w:type="pct"/>
                  <w:tcBorders>
                    <w:tl2br w:val="nil"/>
                    <w:tr2bl w:val="nil"/>
                  </w:tcBorders>
                  <w:vAlign w:val="center"/>
                </w:tcPr>
                <w:p w14:paraId="0B9CBA3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14:paraId="1645C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7024AC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18" w:type="pct"/>
                  <w:gridSpan w:val="3"/>
                  <w:tcBorders>
                    <w:tl2br w:val="nil"/>
                    <w:tr2bl w:val="nil"/>
                  </w:tcBorders>
                  <w:vAlign w:val="center"/>
                </w:tcPr>
                <w:p w14:paraId="53F4A95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总氮</w:t>
                  </w:r>
                </w:p>
              </w:tc>
              <w:tc>
                <w:tcPr>
                  <w:tcW w:w="587" w:type="pct"/>
                  <w:tcBorders>
                    <w:tl2br w:val="nil"/>
                    <w:tr2bl w:val="nil"/>
                  </w:tcBorders>
                  <w:vAlign w:val="center"/>
                </w:tcPr>
                <w:p w14:paraId="30B7B64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1.512</w:t>
                  </w:r>
                </w:p>
              </w:tc>
              <w:tc>
                <w:tcPr>
                  <w:tcW w:w="520" w:type="pct"/>
                  <w:tcBorders>
                    <w:tl2br w:val="nil"/>
                    <w:tr2bl w:val="nil"/>
                  </w:tcBorders>
                  <w:vAlign w:val="center"/>
                </w:tcPr>
                <w:p w14:paraId="07592FC0">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bidi="ar"/>
                    </w:rPr>
                    <w:t xml:space="preserve"> </w:t>
                  </w:r>
                </w:p>
              </w:tc>
              <w:tc>
                <w:tcPr>
                  <w:tcW w:w="509" w:type="pct"/>
                  <w:tcBorders>
                    <w:tl2br w:val="nil"/>
                    <w:tr2bl w:val="nil"/>
                  </w:tcBorders>
                  <w:vAlign w:val="center"/>
                </w:tcPr>
                <w:p w14:paraId="29684B7F">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0</w:t>
                  </w:r>
                </w:p>
              </w:tc>
              <w:tc>
                <w:tcPr>
                  <w:tcW w:w="531" w:type="pct"/>
                  <w:tcBorders>
                    <w:tl2br w:val="nil"/>
                    <w:tr2bl w:val="nil"/>
                  </w:tcBorders>
                  <w:vAlign w:val="center"/>
                </w:tcPr>
                <w:p w14:paraId="7A01B83A">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554" w:type="pct"/>
                  <w:tcBorders>
                    <w:tl2br w:val="nil"/>
                    <w:tr2bl w:val="nil"/>
                  </w:tcBorders>
                  <w:vAlign w:val="center"/>
                </w:tcPr>
                <w:p w14:paraId="281E7D8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632" w:type="pct"/>
                  <w:tcBorders>
                    <w:tl2br w:val="nil"/>
                    <w:tr2bl w:val="nil"/>
                  </w:tcBorders>
                  <w:vAlign w:val="center"/>
                </w:tcPr>
                <w:p w14:paraId="6FFE214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bidi="ar"/>
                    </w:rPr>
                  </w:pPr>
                  <w:r>
                    <w:rPr>
                      <w:rFonts w:hint="eastAsia" w:cs="Times New Roman"/>
                      <w:color w:val="auto"/>
                      <w:sz w:val="21"/>
                      <w:szCs w:val="21"/>
                      <w:highlight w:val="none"/>
                      <w:lang w:val="en-US" w:eastAsia="zh-CN"/>
                    </w:rPr>
                    <w:t>0</w:t>
                  </w:r>
                </w:p>
              </w:tc>
              <w:tc>
                <w:tcPr>
                  <w:tcW w:w="499" w:type="pct"/>
                  <w:tcBorders>
                    <w:tl2br w:val="nil"/>
                    <w:tr2bl w:val="nil"/>
                  </w:tcBorders>
                  <w:vAlign w:val="center"/>
                </w:tcPr>
                <w:p w14:paraId="5C75CC3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14:paraId="541DF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396BFE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18" w:type="pct"/>
                  <w:gridSpan w:val="3"/>
                  <w:tcBorders>
                    <w:tl2br w:val="nil"/>
                    <w:tr2bl w:val="nil"/>
                  </w:tcBorders>
                  <w:vAlign w:val="center"/>
                </w:tcPr>
                <w:p w14:paraId="06CDBD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总磷</w:t>
                  </w:r>
                </w:p>
              </w:tc>
              <w:tc>
                <w:tcPr>
                  <w:tcW w:w="587" w:type="pct"/>
                  <w:tcBorders>
                    <w:tl2br w:val="nil"/>
                    <w:tr2bl w:val="nil"/>
                  </w:tcBorders>
                  <w:vAlign w:val="center"/>
                </w:tcPr>
                <w:p w14:paraId="218D21B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0.168</w:t>
                  </w:r>
                </w:p>
              </w:tc>
              <w:tc>
                <w:tcPr>
                  <w:tcW w:w="520" w:type="pct"/>
                  <w:tcBorders>
                    <w:tl2br w:val="nil"/>
                    <w:tr2bl w:val="nil"/>
                  </w:tcBorders>
                  <w:vAlign w:val="center"/>
                </w:tcPr>
                <w:p w14:paraId="4589478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bidi="ar"/>
                    </w:rPr>
                    <w:t xml:space="preserve"> </w:t>
                  </w:r>
                </w:p>
              </w:tc>
              <w:tc>
                <w:tcPr>
                  <w:tcW w:w="509" w:type="pct"/>
                  <w:tcBorders>
                    <w:tl2br w:val="nil"/>
                    <w:tr2bl w:val="nil"/>
                  </w:tcBorders>
                  <w:vAlign w:val="center"/>
                </w:tcPr>
                <w:p w14:paraId="2E80DF8B">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0</w:t>
                  </w:r>
                </w:p>
              </w:tc>
              <w:tc>
                <w:tcPr>
                  <w:tcW w:w="531" w:type="pct"/>
                  <w:tcBorders>
                    <w:tl2br w:val="nil"/>
                    <w:tr2bl w:val="nil"/>
                  </w:tcBorders>
                  <w:vAlign w:val="center"/>
                </w:tcPr>
                <w:p w14:paraId="4D3B7DAD">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eastAsia="zh-CN" w:bidi="ar"/>
                    </w:rPr>
                  </w:pPr>
                  <w:r>
                    <w:rPr>
                      <w:rFonts w:hint="default" w:ascii="Times New Roman" w:hAnsi="Times New Roman" w:eastAsia="宋体" w:cs="Times New Roman"/>
                      <w:color w:val="auto"/>
                      <w:kern w:val="0"/>
                      <w:sz w:val="21"/>
                      <w:szCs w:val="21"/>
                      <w:highlight w:val="none"/>
                      <w:lang w:val="en-US" w:eastAsia="zh-CN" w:bidi="ar"/>
                    </w:rPr>
                    <w:t>0</w:t>
                  </w:r>
                </w:p>
              </w:tc>
              <w:tc>
                <w:tcPr>
                  <w:tcW w:w="554" w:type="pct"/>
                  <w:tcBorders>
                    <w:tl2br w:val="nil"/>
                    <w:tr2bl w:val="nil"/>
                  </w:tcBorders>
                  <w:vAlign w:val="center"/>
                </w:tcPr>
                <w:p w14:paraId="621C1C3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632" w:type="pct"/>
                  <w:tcBorders>
                    <w:tl2br w:val="nil"/>
                    <w:tr2bl w:val="nil"/>
                  </w:tcBorders>
                  <w:vAlign w:val="center"/>
                </w:tcPr>
                <w:p w14:paraId="2C473498">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499" w:type="pct"/>
                  <w:tcBorders>
                    <w:tl2br w:val="nil"/>
                    <w:tr2bl w:val="nil"/>
                  </w:tcBorders>
                  <w:vAlign w:val="center"/>
                </w:tcPr>
                <w:p w14:paraId="50E35F0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p>
              </w:tc>
            </w:tr>
            <w:tr w14:paraId="13F9F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440A2FA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18" w:type="pct"/>
                  <w:gridSpan w:val="3"/>
                  <w:tcBorders>
                    <w:tl2br w:val="nil"/>
                    <w:tr2bl w:val="nil"/>
                  </w:tcBorders>
                  <w:vAlign w:val="center"/>
                </w:tcPr>
                <w:p w14:paraId="585478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动植物油</w:t>
                  </w:r>
                </w:p>
              </w:tc>
              <w:tc>
                <w:tcPr>
                  <w:tcW w:w="587" w:type="pct"/>
                  <w:tcBorders>
                    <w:tl2br w:val="nil"/>
                    <w:tr2bl w:val="nil"/>
                  </w:tcBorders>
                  <w:vAlign w:val="center"/>
                </w:tcPr>
                <w:p w14:paraId="5E4E52B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0.768</w:t>
                  </w:r>
                </w:p>
              </w:tc>
              <w:tc>
                <w:tcPr>
                  <w:tcW w:w="520" w:type="pct"/>
                  <w:tcBorders>
                    <w:tl2br w:val="nil"/>
                    <w:tr2bl w:val="nil"/>
                  </w:tcBorders>
                  <w:vAlign w:val="center"/>
                </w:tcPr>
                <w:p w14:paraId="37394C32">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w:t>
                  </w:r>
                </w:p>
              </w:tc>
              <w:tc>
                <w:tcPr>
                  <w:tcW w:w="509" w:type="pct"/>
                  <w:tcBorders>
                    <w:tl2br w:val="nil"/>
                    <w:tr2bl w:val="nil"/>
                  </w:tcBorders>
                  <w:vAlign w:val="center"/>
                </w:tcPr>
                <w:p w14:paraId="0EA1CDA6">
                  <w:pPr>
                    <w:keepNext w:val="0"/>
                    <w:keepLines w:val="0"/>
                    <w:widowControl/>
                    <w:suppressLineNumbers w:val="0"/>
                    <w:snapToGrid w:val="0"/>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w:t>
                  </w:r>
                </w:p>
              </w:tc>
              <w:tc>
                <w:tcPr>
                  <w:tcW w:w="531" w:type="pct"/>
                  <w:tcBorders>
                    <w:tl2br w:val="nil"/>
                    <w:tr2bl w:val="nil"/>
                  </w:tcBorders>
                  <w:vAlign w:val="center"/>
                </w:tcPr>
                <w:p w14:paraId="1F330AD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w:t>
                  </w:r>
                </w:p>
              </w:tc>
              <w:tc>
                <w:tcPr>
                  <w:tcW w:w="554" w:type="pct"/>
                  <w:tcBorders>
                    <w:tl2br w:val="nil"/>
                    <w:tr2bl w:val="nil"/>
                  </w:tcBorders>
                  <w:vAlign w:val="center"/>
                </w:tcPr>
                <w:p w14:paraId="3732AE0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32" w:type="pct"/>
                  <w:tcBorders>
                    <w:tl2br w:val="nil"/>
                    <w:tr2bl w:val="nil"/>
                  </w:tcBorders>
                  <w:vAlign w:val="center"/>
                </w:tcPr>
                <w:p w14:paraId="378A83FC">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99" w:type="pct"/>
                  <w:tcBorders>
                    <w:tl2br w:val="nil"/>
                    <w:tr2bl w:val="nil"/>
                  </w:tcBorders>
                  <w:vAlign w:val="center"/>
                </w:tcPr>
                <w:p w14:paraId="1A3C26F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r>
            <w:tr w14:paraId="5ECD2B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restart"/>
                  <w:tcBorders>
                    <w:tl2br w:val="nil"/>
                    <w:tr2bl w:val="nil"/>
                  </w:tcBorders>
                  <w:vAlign w:val="center"/>
                </w:tcPr>
                <w:p w14:paraId="3CEB406C">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w:t>
                  </w:r>
                </w:p>
              </w:tc>
              <w:tc>
                <w:tcPr>
                  <w:tcW w:w="215" w:type="pct"/>
                  <w:vMerge w:val="restart"/>
                  <w:tcBorders>
                    <w:tl2br w:val="nil"/>
                    <w:tr2bl w:val="nil"/>
                  </w:tcBorders>
                  <w:vAlign w:val="center"/>
                </w:tcPr>
                <w:p w14:paraId="215507A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703" w:type="pct"/>
                  <w:gridSpan w:val="2"/>
                  <w:tcBorders>
                    <w:tl2br w:val="nil"/>
                    <w:tr2bl w:val="nil"/>
                  </w:tcBorders>
                  <w:vAlign w:val="center"/>
                </w:tcPr>
                <w:p w14:paraId="3EC6B1C7">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87" w:type="pct"/>
                  <w:tcBorders>
                    <w:tl2br w:val="nil"/>
                    <w:tr2bl w:val="nil"/>
                  </w:tcBorders>
                  <w:vAlign w:val="center"/>
                </w:tcPr>
                <w:p w14:paraId="405315D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0.125</w:t>
                  </w:r>
                </w:p>
              </w:tc>
              <w:tc>
                <w:tcPr>
                  <w:tcW w:w="520" w:type="pct"/>
                  <w:tcBorders>
                    <w:tl2br w:val="nil"/>
                    <w:tr2bl w:val="nil"/>
                  </w:tcBorders>
                  <w:vAlign w:val="center"/>
                </w:tcPr>
                <w:p w14:paraId="61AADE2A">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5.938</w:t>
                  </w:r>
                </w:p>
              </w:tc>
              <w:tc>
                <w:tcPr>
                  <w:tcW w:w="509" w:type="pct"/>
                  <w:tcBorders>
                    <w:tl2br w:val="nil"/>
                    <w:tr2bl w:val="nil"/>
                  </w:tcBorders>
                  <w:vAlign w:val="center"/>
                </w:tcPr>
                <w:p w14:paraId="5A35517B">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1" w:type="pct"/>
                  <w:tcBorders>
                    <w:tl2br w:val="nil"/>
                    <w:tr2bl w:val="nil"/>
                  </w:tcBorders>
                  <w:vAlign w:val="center"/>
                </w:tcPr>
                <w:p w14:paraId="35E6F85C">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0.1188</w:t>
                  </w:r>
                </w:p>
              </w:tc>
              <w:tc>
                <w:tcPr>
                  <w:tcW w:w="554" w:type="pct"/>
                  <w:tcBorders>
                    <w:tl2br w:val="nil"/>
                    <w:tr2bl w:val="nil"/>
                  </w:tcBorders>
                  <w:vAlign w:val="center"/>
                </w:tcPr>
                <w:p w14:paraId="1181B952">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632" w:type="pct"/>
                  <w:tcBorders>
                    <w:tl2br w:val="nil"/>
                    <w:tr2bl w:val="nil"/>
                  </w:tcBorders>
                  <w:vAlign w:val="center"/>
                </w:tcPr>
                <w:p w14:paraId="7500110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bidi="ar"/>
                    </w:rPr>
                  </w:pPr>
                  <w:r>
                    <w:rPr>
                      <w:rFonts w:hint="eastAsia" w:cs="Times New Roman"/>
                      <w:color w:val="auto"/>
                      <w:kern w:val="0"/>
                      <w:sz w:val="21"/>
                      <w:szCs w:val="21"/>
                      <w:highlight w:val="none"/>
                      <w:lang w:val="en-US" w:eastAsia="zh-CN" w:bidi="ar"/>
                    </w:rPr>
                    <w:t>0.2438</w:t>
                  </w:r>
                </w:p>
              </w:tc>
              <w:tc>
                <w:tcPr>
                  <w:tcW w:w="499" w:type="pct"/>
                  <w:tcBorders>
                    <w:tl2br w:val="nil"/>
                    <w:tr2bl w:val="nil"/>
                  </w:tcBorders>
                  <w:vAlign w:val="center"/>
                </w:tcPr>
                <w:p w14:paraId="60313521">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+0.1188</w:t>
                  </w:r>
                </w:p>
              </w:tc>
            </w:tr>
            <w:tr w14:paraId="3A1E8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52864C2B">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continue"/>
                  <w:tcBorders>
                    <w:tl2br w:val="nil"/>
                    <w:tr2bl w:val="nil"/>
                  </w:tcBorders>
                  <w:vAlign w:val="center"/>
                </w:tcPr>
                <w:p w14:paraId="38950D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3" w:type="pct"/>
                  <w:gridSpan w:val="2"/>
                  <w:tcBorders>
                    <w:tl2br w:val="nil"/>
                    <w:tr2bl w:val="nil"/>
                  </w:tcBorders>
                  <w:vAlign w:val="center"/>
                </w:tcPr>
                <w:p w14:paraId="1C76439E">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587" w:type="pct"/>
                  <w:tcBorders>
                    <w:tl2br w:val="nil"/>
                    <w:tr2bl w:val="nil"/>
                  </w:tcBorders>
                  <w:vAlign w:val="center"/>
                </w:tcPr>
                <w:p w14:paraId="635D7DD3">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0.3949</w:t>
                  </w:r>
                </w:p>
              </w:tc>
              <w:tc>
                <w:tcPr>
                  <w:tcW w:w="520" w:type="pct"/>
                  <w:tcBorders>
                    <w:tl2br w:val="nil"/>
                    <w:tr2bl w:val="nil"/>
                  </w:tcBorders>
                  <w:vAlign w:val="center"/>
                </w:tcPr>
                <w:p w14:paraId="292CEBF0">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1.3775</w:t>
                  </w:r>
                </w:p>
              </w:tc>
              <w:tc>
                <w:tcPr>
                  <w:tcW w:w="509" w:type="pct"/>
                  <w:tcBorders>
                    <w:tl2br w:val="nil"/>
                    <w:tr2bl w:val="nil"/>
                  </w:tcBorders>
                  <w:vAlign w:val="center"/>
                </w:tcPr>
                <w:p w14:paraId="59467B5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1" w:type="pct"/>
                  <w:tcBorders>
                    <w:tl2br w:val="nil"/>
                    <w:tr2bl w:val="nil"/>
                  </w:tcBorders>
                  <w:vAlign w:val="center"/>
                </w:tcPr>
                <w:p w14:paraId="704360A0">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0.1378</w:t>
                  </w:r>
                </w:p>
              </w:tc>
              <w:tc>
                <w:tcPr>
                  <w:tcW w:w="554" w:type="pct"/>
                  <w:tcBorders>
                    <w:tl2br w:val="nil"/>
                    <w:tr2bl w:val="nil"/>
                  </w:tcBorders>
                  <w:vAlign w:val="center"/>
                </w:tcPr>
                <w:p w14:paraId="624EC50E">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0.0234</w:t>
                  </w:r>
                </w:p>
              </w:tc>
              <w:tc>
                <w:tcPr>
                  <w:tcW w:w="632" w:type="pct"/>
                  <w:tcBorders>
                    <w:tl2br w:val="nil"/>
                    <w:tr2bl w:val="nil"/>
                  </w:tcBorders>
                  <w:vAlign w:val="center"/>
                </w:tcPr>
                <w:p w14:paraId="37062562">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0.5093</w:t>
                  </w:r>
                </w:p>
              </w:tc>
              <w:tc>
                <w:tcPr>
                  <w:tcW w:w="499" w:type="pct"/>
                  <w:tcBorders>
                    <w:tl2br w:val="nil"/>
                    <w:tr2bl w:val="nil"/>
                  </w:tcBorders>
                  <w:vAlign w:val="center"/>
                </w:tcPr>
                <w:p w14:paraId="285C3CB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+0.1144</w:t>
                  </w:r>
                </w:p>
              </w:tc>
            </w:tr>
            <w:tr w14:paraId="6005D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76BFCFC8">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continue"/>
                  <w:tcBorders>
                    <w:tl2br w:val="nil"/>
                    <w:tr2bl w:val="nil"/>
                  </w:tcBorders>
                  <w:vAlign w:val="center"/>
                </w:tcPr>
                <w:p w14:paraId="0ADD11A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15" w:type="pct"/>
                  <w:tcBorders>
                    <w:tl2br w:val="nil"/>
                    <w:tr2bl w:val="nil"/>
                  </w:tcBorders>
                  <w:vAlign w:val="center"/>
                </w:tcPr>
                <w:p w14:paraId="26C4D542">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包含</w:t>
                  </w:r>
                </w:p>
              </w:tc>
              <w:tc>
                <w:tcPr>
                  <w:tcW w:w="388" w:type="pct"/>
                  <w:tcBorders>
                    <w:tl2br w:val="nil"/>
                    <w:tr2bl w:val="nil"/>
                  </w:tcBorders>
                  <w:vAlign w:val="center"/>
                </w:tcPr>
                <w:p w14:paraId="5C88A543">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酚类</w:t>
                  </w:r>
                </w:p>
              </w:tc>
              <w:tc>
                <w:tcPr>
                  <w:tcW w:w="587" w:type="pct"/>
                  <w:tcBorders>
                    <w:tl2br w:val="nil"/>
                    <w:tr2bl w:val="nil"/>
                  </w:tcBorders>
                  <w:vAlign w:val="center"/>
                </w:tcPr>
                <w:p w14:paraId="48ECA35C">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0.0032</w:t>
                  </w:r>
                </w:p>
              </w:tc>
              <w:tc>
                <w:tcPr>
                  <w:tcW w:w="520" w:type="pct"/>
                  <w:tcBorders>
                    <w:tl2br w:val="nil"/>
                    <w:tr2bl w:val="nil"/>
                  </w:tcBorders>
                  <w:vAlign w:val="center"/>
                </w:tcPr>
                <w:p w14:paraId="07105E5D">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509" w:type="pct"/>
                  <w:tcBorders>
                    <w:tl2br w:val="nil"/>
                    <w:tr2bl w:val="nil"/>
                  </w:tcBorders>
                  <w:vAlign w:val="center"/>
                </w:tcPr>
                <w:p w14:paraId="5B3B4A02">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531" w:type="pct"/>
                  <w:tcBorders>
                    <w:tl2br w:val="nil"/>
                    <w:tr2bl w:val="nil"/>
                  </w:tcBorders>
                  <w:vAlign w:val="center"/>
                </w:tcPr>
                <w:p w14:paraId="7FAFFB0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554" w:type="pct"/>
                  <w:tcBorders>
                    <w:tl2br w:val="nil"/>
                    <w:tr2bl w:val="nil"/>
                  </w:tcBorders>
                  <w:vAlign w:val="center"/>
                </w:tcPr>
                <w:p w14:paraId="36375609">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632" w:type="pct"/>
                  <w:tcBorders>
                    <w:tl2br w:val="nil"/>
                    <w:tr2bl w:val="nil"/>
                  </w:tcBorders>
                  <w:vAlign w:val="center"/>
                </w:tcPr>
                <w:p w14:paraId="5E72554F">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0.0032</w:t>
                  </w:r>
                </w:p>
              </w:tc>
              <w:tc>
                <w:tcPr>
                  <w:tcW w:w="499" w:type="pct"/>
                  <w:tcBorders>
                    <w:tl2br w:val="nil"/>
                    <w:tr2bl w:val="nil"/>
                  </w:tcBorders>
                  <w:vAlign w:val="center"/>
                </w:tcPr>
                <w:p w14:paraId="6DF3373F">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r>
            <w:tr w14:paraId="7CE15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671D310B">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continue"/>
                  <w:tcBorders>
                    <w:tl2br w:val="nil"/>
                    <w:tr2bl w:val="nil"/>
                  </w:tcBorders>
                  <w:vAlign w:val="center"/>
                </w:tcPr>
                <w:p w14:paraId="651AC20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3" w:type="pct"/>
                  <w:gridSpan w:val="2"/>
                  <w:tcBorders>
                    <w:tl2br w:val="nil"/>
                    <w:tr2bl w:val="nil"/>
                  </w:tcBorders>
                  <w:vAlign w:val="center"/>
                </w:tcPr>
                <w:p w14:paraId="68B24AA1">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587" w:type="pct"/>
                  <w:tcBorders>
                    <w:tl2br w:val="nil"/>
                    <w:tr2bl w:val="nil"/>
                  </w:tcBorders>
                  <w:vAlign w:val="center"/>
                </w:tcPr>
                <w:p w14:paraId="74BB122B">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0.0007</w:t>
                  </w:r>
                </w:p>
              </w:tc>
              <w:tc>
                <w:tcPr>
                  <w:tcW w:w="520" w:type="pct"/>
                  <w:tcBorders>
                    <w:tl2br w:val="nil"/>
                    <w:tr2bl w:val="nil"/>
                  </w:tcBorders>
                  <w:vAlign w:val="center"/>
                </w:tcPr>
                <w:p w14:paraId="13B4CBF0">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09" w:type="pct"/>
                  <w:tcBorders>
                    <w:tl2br w:val="nil"/>
                    <w:tr2bl w:val="nil"/>
                  </w:tcBorders>
                  <w:vAlign w:val="center"/>
                </w:tcPr>
                <w:p w14:paraId="39FC1F6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1" w:type="pct"/>
                  <w:tcBorders>
                    <w:tl2br w:val="nil"/>
                    <w:tr2bl w:val="nil"/>
                  </w:tcBorders>
                  <w:vAlign w:val="center"/>
                </w:tcPr>
                <w:p w14:paraId="77037F4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54" w:type="pct"/>
                  <w:tcBorders>
                    <w:tl2br w:val="nil"/>
                    <w:tr2bl w:val="nil"/>
                  </w:tcBorders>
                  <w:vAlign w:val="center"/>
                </w:tcPr>
                <w:p w14:paraId="6E8C778A">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32" w:type="pct"/>
                  <w:tcBorders>
                    <w:tl2br w:val="nil"/>
                    <w:tr2bl w:val="nil"/>
                  </w:tcBorders>
                  <w:vAlign w:val="center"/>
                </w:tcPr>
                <w:p w14:paraId="2F68C7EA">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0.0007</w:t>
                  </w:r>
                </w:p>
              </w:tc>
              <w:tc>
                <w:tcPr>
                  <w:tcW w:w="499" w:type="pct"/>
                  <w:tcBorders>
                    <w:tl2br w:val="nil"/>
                    <w:tr2bl w:val="nil"/>
                  </w:tcBorders>
                  <w:vAlign w:val="center"/>
                </w:tcPr>
                <w:p w14:paraId="1384C110">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7BEBE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23D41E0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continue"/>
                  <w:tcBorders>
                    <w:tl2br w:val="nil"/>
                    <w:tr2bl w:val="nil"/>
                  </w:tcBorders>
                  <w:vAlign w:val="center"/>
                </w:tcPr>
                <w:p w14:paraId="4588305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3" w:type="pct"/>
                  <w:gridSpan w:val="2"/>
                  <w:tcBorders>
                    <w:tl2br w:val="nil"/>
                    <w:tr2bl w:val="nil"/>
                  </w:tcBorders>
                  <w:vAlign w:val="center"/>
                </w:tcPr>
                <w:p w14:paraId="006B43BD">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油烟</w:t>
                  </w:r>
                </w:p>
              </w:tc>
              <w:tc>
                <w:tcPr>
                  <w:tcW w:w="587" w:type="pct"/>
                  <w:tcBorders>
                    <w:tl2br w:val="nil"/>
                    <w:tr2bl w:val="nil"/>
                  </w:tcBorders>
                  <w:vAlign w:val="center"/>
                </w:tcPr>
                <w:p w14:paraId="30F17D90">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0.036</w:t>
                  </w:r>
                </w:p>
              </w:tc>
              <w:tc>
                <w:tcPr>
                  <w:tcW w:w="520" w:type="pct"/>
                  <w:tcBorders>
                    <w:tl2br w:val="nil"/>
                    <w:tr2bl w:val="nil"/>
                  </w:tcBorders>
                  <w:vAlign w:val="center"/>
                </w:tcPr>
                <w:p w14:paraId="1CE67209">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09" w:type="pct"/>
                  <w:tcBorders>
                    <w:tl2br w:val="nil"/>
                    <w:tr2bl w:val="nil"/>
                  </w:tcBorders>
                  <w:vAlign w:val="center"/>
                </w:tcPr>
                <w:p w14:paraId="6E1482C0">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31" w:type="pct"/>
                  <w:tcBorders>
                    <w:tl2br w:val="nil"/>
                    <w:tr2bl w:val="nil"/>
                  </w:tcBorders>
                  <w:vAlign w:val="center"/>
                </w:tcPr>
                <w:p w14:paraId="72D33786">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554" w:type="pct"/>
                  <w:tcBorders>
                    <w:tl2br w:val="nil"/>
                    <w:tr2bl w:val="nil"/>
                  </w:tcBorders>
                  <w:vAlign w:val="center"/>
                </w:tcPr>
                <w:p w14:paraId="1742F471">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c>
                <w:tcPr>
                  <w:tcW w:w="632" w:type="pct"/>
                  <w:tcBorders>
                    <w:tl2br w:val="nil"/>
                    <w:tr2bl w:val="nil"/>
                  </w:tcBorders>
                  <w:vAlign w:val="center"/>
                </w:tcPr>
                <w:p w14:paraId="2E0E1A2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0.036</w:t>
                  </w:r>
                </w:p>
              </w:tc>
              <w:tc>
                <w:tcPr>
                  <w:tcW w:w="499" w:type="pct"/>
                  <w:tcBorders>
                    <w:tl2br w:val="nil"/>
                    <w:tr2bl w:val="nil"/>
                  </w:tcBorders>
                  <w:vAlign w:val="center"/>
                </w:tcPr>
                <w:p w14:paraId="2493561B">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r w14:paraId="54844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07A88D45">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continue"/>
                  <w:tcBorders>
                    <w:tl2br w:val="nil"/>
                    <w:tr2bl w:val="nil"/>
                  </w:tcBorders>
                  <w:vAlign w:val="center"/>
                </w:tcPr>
                <w:p w14:paraId="690B1DE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3" w:type="pct"/>
                  <w:gridSpan w:val="2"/>
                  <w:tcBorders>
                    <w:tl2br w:val="nil"/>
                    <w:tr2bl w:val="nil"/>
                  </w:tcBorders>
                  <w:vAlign w:val="center"/>
                </w:tcPr>
                <w:p w14:paraId="0C2581B8">
                  <w:pPr>
                    <w:keepNext w:val="0"/>
                    <w:keepLines w:val="0"/>
                    <w:widowControl/>
                    <w:suppressLineNumbers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氮氧化物</w:t>
                  </w:r>
                </w:p>
              </w:tc>
              <w:tc>
                <w:tcPr>
                  <w:tcW w:w="587" w:type="pct"/>
                  <w:tcBorders>
                    <w:tl2br w:val="nil"/>
                    <w:tr2bl w:val="nil"/>
                  </w:tcBorders>
                  <w:vAlign w:val="center"/>
                </w:tcPr>
                <w:p w14:paraId="56A2115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0.0136</w:t>
                  </w:r>
                </w:p>
              </w:tc>
              <w:tc>
                <w:tcPr>
                  <w:tcW w:w="520" w:type="pct"/>
                  <w:tcBorders>
                    <w:tl2br w:val="nil"/>
                    <w:tr2bl w:val="nil"/>
                  </w:tcBorders>
                  <w:vAlign w:val="center"/>
                </w:tcPr>
                <w:p w14:paraId="204E519B">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09" w:type="pct"/>
                  <w:tcBorders>
                    <w:tl2br w:val="nil"/>
                    <w:tr2bl w:val="nil"/>
                  </w:tcBorders>
                  <w:vAlign w:val="center"/>
                </w:tcPr>
                <w:p w14:paraId="1A90668A">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1" w:type="pct"/>
                  <w:tcBorders>
                    <w:tl2br w:val="nil"/>
                    <w:tr2bl w:val="nil"/>
                  </w:tcBorders>
                  <w:vAlign w:val="center"/>
                </w:tcPr>
                <w:p w14:paraId="5BDAC6AD">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54" w:type="pct"/>
                  <w:tcBorders>
                    <w:tl2br w:val="nil"/>
                    <w:tr2bl w:val="nil"/>
                  </w:tcBorders>
                  <w:vAlign w:val="center"/>
                </w:tcPr>
                <w:p w14:paraId="15F5394A">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32" w:type="pct"/>
                  <w:tcBorders>
                    <w:tl2br w:val="nil"/>
                    <w:tr2bl w:val="nil"/>
                  </w:tcBorders>
                  <w:vAlign w:val="center"/>
                </w:tcPr>
                <w:p w14:paraId="21E7BE33">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0.0136</w:t>
                  </w:r>
                </w:p>
              </w:tc>
              <w:tc>
                <w:tcPr>
                  <w:tcW w:w="499" w:type="pct"/>
                  <w:tcBorders>
                    <w:tl2br w:val="nil"/>
                    <w:tr2bl w:val="nil"/>
                  </w:tcBorders>
                  <w:vAlign w:val="center"/>
                </w:tcPr>
                <w:p w14:paraId="74F61862">
                  <w:pPr>
                    <w:keepNext w:val="0"/>
                    <w:keepLines w:val="0"/>
                    <w:widowControl/>
                    <w:suppressLineNumbers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5268C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5" w:type="pct"/>
                  <w:vMerge w:val="continue"/>
                  <w:tcBorders>
                    <w:tl2br w:val="nil"/>
                    <w:tr2bl w:val="nil"/>
                  </w:tcBorders>
                  <w:vAlign w:val="center"/>
                </w:tcPr>
                <w:p w14:paraId="6D86B1B3">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restart"/>
                  <w:tcBorders>
                    <w:tl2br w:val="nil"/>
                    <w:tr2bl w:val="nil"/>
                  </w:tcBorders>
                  <w:vAlign w:val="center"/>
                </w:tcPr>
                <w:p w14:paraId="391B5163">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703" w:type="pct"/>
                  <w:gridSpan w:val="2"/>
                  <w:tcBorders>
                    <w:tl2br w:val="nil"/>
                    <w:tr2bl w:val="nil"/>
                  </w:tcBorders>
                  <w:vAlign w:val="center"/>
                </w:tcPr>
                <w:p w14:paraId="341A24FA">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587" w:type="pct"/>
                  <w:tcBorders>
                    <w:tl2br w:val="nil"/>
                    <w:tr2bl w:val="nil"/>
                  </w:tcBorders>
                  <w:vAlign w:val="center"/>
                </w:tcPr>
                <w:p w14:paraId="10ABA43C">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0.3289</w:t>
                  </w:r>
                </w:p>
              </w:tc>
              <w:tc>
                <w:tcPr>
                  <w:tcW w:w="520" w:type="pct"/>
                  <w:tcBorders>
                    <w:tl2br w:val="nil"/>
                    <w:tr2bl w:val="nil"/>
                  </w:tcBorders>
                  <w:vAlign w:val="center"/>
                </w:tcPr>
                <w:p w14:paraId="1D25901D">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0.3124</w:t>
                  </w:r>
                </w:p>
              </w:tc>
              <w:tc>
                <w:tcPr>
                  <w:tcW w:w="509" w:type="pct"/>
                  <w:tcBorders>
                    <w:tl2br w:val="nil"/>
                    <w:tr2bl w:val="nil"/>
                  </w:tcBorders>
                  <w:vAlign w:val="center"/>
                </w:tcPr>
                <w:p w14:paraId="035AF2CD">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1" w:type="pct"/>
                  <w:tcBorders>
                    <w:tl2br w:val="nil"/>
                    <w:tr2bl w:val="nil"/>
                  </w:tcBorders>
                  <w:vAlign w:val="center"/>
                </w:tcPr>
                <w:p w14:paraId="7A110DD5">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0.3124</w:t>
                  </w:r>
                </w:p>
              </w:tc>
              <w:tc>
                <w:tcPr>
                  <w:tcW w:w="554" w:type="pct"/>
                  <w:tcBorders>
                    <w:tl2br w:val="nil"/>
                    <w:tr2bl w:val="nil"/>
                  </w:tcBorders>
                  <w:vAlign w:val="center"/>
                </w:tcPr>
                <w:p w14:paraId="15F9AE11">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32" w:type="pct"/>
                  <w:tcBorders>
                    <w:tl2br w:val="nil"/>
                    <w:tr2bl w:val="nil"/>
                  </w:tcBorders>
                  <w:vAlign w:val="center"/>
                </w:tcPr>
                <w:p w14:paraId="0C9177A8">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0.6413</w:t>
                  </w:r>
                </w:p>
              </w:tc>
              <w:tc>
                <w:tcPr>
                  <w:tcW w:w="499" w:type="pct"/>
                  <w:tcBorders>
                    <w:tl2br w:val="nil"/>
                    <w:tr2bl w:val="nil"/>
                  </w:tcBorders>
                  <w:vAlign w:val="center"/>
                </w:tcPr>
                <w:p w14:paraId="0A41C5C3">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+0.3124</w:t>
                  </w:r>
                </w:p>
              </w:tc>
            </w:tr>
            <w:tr w14:paraId="51A75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05F6BD4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continue"/>
                  <w:tcBorders>
                    <w:tl2br w:val="nil"/>
                    <w:tr2bl w:val="nil"/>
                  </w:tcBorders>
                  <w:vAlign w:val="center"/>
                </w:tcPr>
                <w:p w14:paraId="531ABBF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3" w:type="pct"/>
                  <w:gridSpan w:val="2"/>
                  <w:tcBorders>
                    <w:tl2br w:val="nil"/>
                    <w:tr2bl w:val="nil"/>
                  </w:tcBorders>
                  <w:vAlign w:val="center"/>
                </w:tcPr>
                <w:p w14:paraId="0FB9BAA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587" w:type="pct"/>
                  <w:tcBorders>
                    <w:tl2br w:val="nil"/>
                    <w:tr2bl w:val="nil"/>
                  </w:tcBorders>
                  <w:vAlign w:val="center"/>
                </w:tcPr>
                <w:p w14:paraId="396529F8">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0.2919</w:t>
                  </w:r>
                </w:p>
              </w:tc>
              <w:tc>
                <w:tcPr>
                  <w:tcW w:w="520" w:type="pct"/>
                  <w:tcBorders>
                    <w:tl2br w:val="nil"/>
                    <w:tr2bl w:val="nil"/>
                  </w:tcBorders>
                  <w:vAlign w:val="center"/>
                </w:tcPr>
                <w:p w14:paraId="0C23D97E">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0.0724</w:t>
                  </w:r>
                </w:p>
              </w:tc>
              <w:tc>
                <w:tcPr>
                  <w:tcW w:w="509" w:type="pct"/>
                  <w:tcBorders>
                    <w:tl2br w:val="nil"/>
                    <w:tr2bl w:val="nil"/>
                  </w:tcBorders>
                  <w:vAlign w:val="center"/>
                </w:tcPr>
                <w:p w14:paraId="63FEA44C">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1" w:type="pct"/>
                  <w:tcBorders>
                    <w:tl2br w:val="nil"/>
                    <w:tr2bl w:val="nil"/>
                  </w:tcBorders>
                  <w:vAlign w:val="center"/>
                </w:tcPr>
                <w:p w14:paraId="34C9D486">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0.0724</w:t>
                  </w:r>
                </w:p>
              </w:tc>
              <w:tc>
                <w:tcPr>
                  <w:tcW w:w="554" w:type="pct"/>
                  <w:tcBorders>
                    <w:tl2br w:val="nil"/>
                    <w:tr2bl w:val="nil"/>
                  </w:tcBorders>
                  <w:vAlign w:val="center"/>
                </w:tcPr>
                <w:p w14:paraId="454DED9E">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0.026</w:t>
                  </w:r>
                </w:p>
              </w:tc>
              <w:tc>
                <w:tcPr>
                  <w:tcW w:w="632" w:type="pct"/>
                  <w:tcBorders>
                    <w:tl2br w:val="nil"/>
                    <w:tr2bl w:val="nil"/>
                  </w:tcBorders>
                  <w:vAlign w:val="center"/>
                </w:tcPr>
                <w:p w14:paraId="5C7BEF48">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0.3383</w:t>
                  </w:r>
                </w:p>
              </w:tc>
              <w:tc>
                <w:tcPr>
                  <w:tcW w:w="499" w:type="pct"/>
                  <w:tcBorders>
                    <w:tl2br w:val="nil"/>
                    <w:tr2bl w:val="nil"/>
                  </w:tcBorders>
                  <w:vAlign w:val="center"/>
                </w:tcPr>
                <w:p w14:paraId="5F7447D7">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+0.0464</w:t>
                  </w:r>
                </w:p>
              </w:tc>
            </w:tr>
            <w:tr w14:paraId="3D068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6B5C8F4A">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continue"/>
                  <w:tcBorders>
                    <w:tl2br w:val="nil"/>
                    <w:tr2bl w:val="nil"/>
                  </w:tcBorders>
                  <w:vAlign w:val="center"/>
                </w:tcPr>
                <w:p w14:paraId="636C8DB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315" w:type="pct"/>
                  <w:tcBorders>
                    <w:tl2br w:val="nil"/>
                    <w:tr2bl w:val="nil"/>
                  </w:tcBorders>
                  <w:vAlign w:val="center"/>
                </w:tcPr>
                <w:p w14:paraId="02BEE0E5">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lang w:val="en-US" w:eastAsia="zh-CN"/>
                    </w:rPr>
                    <w:t>包含</w:t>
                  </w:r>
                </w:p>
              </w:tc>
              <w:tc>
                <w:tcPr>
                  <w:tcW w:w="388" w:type="pct"/>
                  <w:tcBorders>
                    <w:tl2br w:val="nil"/>
                    <w:tr2bl w:val="nil"/>
                  </w:tcBorders>
                  <w:vAlign w:val="center"/>
                </w:tcPr>
                <w:p w14:paraId="36479C7B">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酚类</w:t>
                  </w:r>
                </w:p>
              </w:tc>
              <w:tc>
                <w:tcPr>
                  <w:tcW w:w="587" w:type="pct"/>
                  <w:tcBorders>
                    <w:tl2br w:val="nil"/>
                    <w:tr2bl w:val="nil"/>
                  </w:tcBorders>
                  <w:vAlign w:val="center"/>
                </w:tcPr>
                <w:p w14:paraId="01B50E94">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0.0035</w:t>
                  </w:r>
                </w:p>
              </w:tc>
              <w:tc>
                <w:tcPr>
                  <w:tcW w:w="520" w:type="pct"/>
                  <w:tcBorders>
                    <w:tl2br w:val="nil"/>
                    <w:tr2bl w:val="nil"/>
                  </w:tcBorders>
                  <w:vAlign w:val="center"/>
                </w:tcPr>
                <w:p w14:paraId="4765F75D">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09" w:type="pct"/>
                  <w:tcBorders>
                    <w:tl2br w:val="nil"/>
                    <w:tr2bl w:val="nil"/>
                  </w:tcBorders>
                  <w:vAlign w:val="center"/>
                </w:tcPr>
                <w:p w14:paraId="66EDAFA8">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1" w:type="pct"/>
                  <w:tcBorders>
                    <w:tl2br w:val="nil"/>
                    <w:tr2bl w:val="nil"/>
                  </w:tcBorders>
                  <w:vAlign w:val="center"/>
                </w:tcPr>
                <w:p w14:paraId="5E5871AE">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54" w:type="pct"/>
                  <w:tcBorders>
                    <w:tl2br w:val="nil"/>
                    <w:tr2bl w:val="nil"/>
                  </w:tcBorders>
                  <w:vAlign w:val="center"/>
                </w:tcPr>
                <w:p w14:paraId="59F5FEA4">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32" w:type="pct"/>
                  <w:tcBorders>
                    <w:tl2br w:val="nil"/>
                    <w:tr2bl w:val="nil"/>
                  </w:tcBorders>
                  <w:vAlign w:val="center"/>
                </w:tcPr>
                <w:p w14:paraId="30CF50F4">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0.0035</w:t>
                  </w:r>
                </w:p>
              </w:tc>
              <w:tc>
                <w:tcPr>
                  <w:tcW w:w="499" w:type="pct"/>
                  <w:tcBorders>
                    <w:tl2br w:val="nil"/>
                    <w:tr2bl w:val="nil"/>
                  </w:tcBorders>
                  <w:vAlign w:val="center"/>
                </w:tcPr>
                <w:p w14:paraId="44348D68">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57415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17F1B6AC">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continue"/>
                  <w:tcBorders>
                    <w:tl2br w:val="nil"/>
                    <w:tr2bl w:val="nil"/>
                  </w:tcBorders>
                  <w:vAlign w:val="center"/>
                </w:tcPr>
                <w:p w14:paraId="7C8B9ED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3" w:type="pct"/>
                  <w:gridSpan w:val="2"/>
                  <w:tcBorders>
                    <w:tl2br w:val="nil"/>
                    <w:tr2bl w:val="nil"/>
                  </w:tcBorders>
                  <w:vAlign w:val="center"/>
                </w:tcPr>
                <w:p w14:paraId="21D5B19A">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587" w:type="pct"/>
                  <w:tcBorders>
                    <w:tl2br w:val="nil"/>
                    <w:tr2bl w:val="nil"/>
                  </w:tcBorders>
                  <w:vAlign w:val="center"/>
                </w:tcPr>
                <w:p w14:paraId="07F44F57">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0.0008</w:t>
                  </w:r>
                </w:p>
              </w:tc>
              <w:tc>
                <w:tcPr>
                  <w:tcW w:w="520" w:type="pct"/>
                  <w:tcBorders>
                    <w:tl2br w:val="nil"/>
                    <w:tr2bl w:val="nil"/>
                  </w:tcBorders>
                  <w:vAlign w:val="center"/>
                </w:tcPr>
                <w:p w14:paraId="4510FA31">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09" w:type="pct"/>
                  <w:tcBorders>
                    <w:tl2br w:val="nil"/>
                    <w:tr2bl w:val="nil"/>
                  </w:tcBorders>
                  <w:vAlign w:val="center"/>
                </w:tcPr>
                <w:p w14:paraId="42F7BFBC">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1" w:type="pct"/>
                  <w:tcBorders>
                    <w:tl2br w:val="nil"/>
                    <w:tr2bl w:val="nil"/>
                  </w:tcBorders>
                  <w:vAlign w:val="center"/>
                </w:tcPr>
                <w:p w14:paraId="56A82FE6">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54" w:type="pct"/>
                  <w:tcBorders>
                    <w:tl2br w:val="nil"/>
                    <w:tr2bl w:val="nil"/>
                  </w:tcBorders>
                  <w:vAlign w:val="center"/>
                </w:tcPr>
                <w:p w14:paraId="2F26C8C5">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32" w:type="pct"/>
                  <w:tcBorders>
                    <w:tl2br w:val="nil"/>
                    <w:tr2bl w:val="nil"/>
                  </w:tcBorders>
                  <w:vAlign w:val="center"/>
                </w:tcPr>
                <w:p w14:paraId="29E96DC4">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0.0008</w:t>
                  </w:r>
                </w:p>
              </w:tc>
              <w:tc>
                <w:tcPr>
                  <w:tcW w:w="499" w:type="pct"/>
                  <w:tcBorders>
                    <w:tl2br w:val="nil"/>
                    <w:tr2bl w:val="nil"/>
                  </w:tcBorders>
                  <w:vAlign w:val="center"/>
                </w:tcPr>
                <w:p w14:paraId="4FFA091A">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11B11B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69FB8779">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15" w:type="pct"/>
                  <w:vMerge w:val="continue"/>
                  <w:tcBorders>
                    <w:tl2br w:val="nil"/>
                    <w:tr2bl w:val="nil"/>
                  </w:tcBorders>
                  <w:vAlign w:val="center"/>
                </w:tcPr>
                <w:p w14:paraId="5A1CBBD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03" w:type="pct"/>
                  <w:gridSpan w:val="2"/>
                  <w:tcBorders>
                    <w:tl2br w:val="nil"/>
                    <w:tr2bl w:val="nil"/>
                  </w:tcBorders>
                  <w:vAlign w:val="center"/>
                </w:tcPr>
                <w:p w14:paraId="78C3AFAD">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氮氧化物</w:t>
                  </w:r>
                </w:p>
              </w:tc>
              <w:tc>
                <w:tcPr>
                  <w:tcW w:w="587" w:type="pct"/>
                  <w:tcBorders>
                    <w:tl2br w:val="nil"/>
                    <w:tr2bl w:val="nil"/>
                  </w:tcBorders>
                  <w:vAlign w:val="center"/>
                </w:tcPr>
                <w:p w14:paraId="6DAA33A6">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0.0072</w:t>
                  </w:r>
                </w:p>
              </w:tc>
              <w:tc>
                <w:tcPr>
                  <w:tcW w:w="520" w:type="pct"/>
                  <w:tcBorders>
                    <w:tl2br w:val="nil"/>
                    <w:tr2bl w:val="nil"/>
                  </w:tcBorders>
                  <w:vAlign w:val="center"/>
                </w:tcPr>
                <w:p w14:paraId="38B72850">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09" w:type="pct"/>
                  <w:tcBorders>
                    <w:tl2br w:val="nil"/>
                    <w:tr2bl w:val="nil"/>
                  </w:tcBorders>
                  <w:vAlign w:val="center"/>
                </w:tcPr>
                <w:p w14:paraId="00F50838">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31" w:type="pct"/>
                  <w:tcBorders>
                    <w:tl2br w:val="nil"/>
                    <w:tr2bl w:val="nil"/>
                  </w:tcBorders>
                  <w:vAlign w:val="center"/>
                </w:tcPr>
                <w:p w14:paraId="0E0A6118">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554" w:type="pct"/>
                  <w:tcBorders>
                    <w:tl2br w:val="nil"/>
                    <w:tr2bl w:val="nil"/>
                  </w:tcBorders>
                  <w:vAlign w:val="center"/>
                </w:tcPr>
                <w:p w14:paraId="112E793D">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32" w:type="pct"/>
                  <w:tcBorders>
                    <w:tl2br w:val="nil"/>
                    <w:tr2bl w:val="nil"/>
                  </w:tcBorders>
                  <w:vAlign w:val="center"/>
                </w:tcPr>
                <w:p w14:paraId="191472FF">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0.0072</w:t>
                  </w:r>
                </w:p>
              </w:tc>
              <w:tc>
                <w:tcPr>
                  <w:tcW w:w="499" w:type="pct"/>
                  <w:tcBorders>
                    <w:tl2br w:val="nil"/>
                    <w:tr2bl w:val="nil"/>
                  </w:tcBorders>
                  <w:vAlign w:val="center"/>
                </w:tcPr>
                <w:p w14:paraId="497FC88C">
                  <w:pPr>
                    <w:keepNext w:val="0"/>
                    <w:keepLines w:val="0"/>
                    <w:widowControl/>
                    <w:suppressLineNumbers w:val="0"/>
                    <w:snapToGrid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40969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5" w:type="pct"/>
                  <w:vMerge w:val="restart"/>
                  <w:tcBorders>
                    <w:tl2br w:val="nil"/>
                    <w:tr2bl w:val="nil"/>
                  </w:tcBorders>
                  <w:vAlign w:val="center"/>
                </w:tcPr>
                <w:p w14:paraId="78B75EFC">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固体废物</w:t>
                  </w:r>
                </w:p>
              </w:tc>
              <w:tc>
                <w:tcPr>
                  <w:tcW w:w="918" w:type="pct"/>
                  <w:gridSpan w:val="3"/>
                  <w:tcBorders>
                    <w:tl2br w:val="nil"/>
                    <w:tr2bl w:val="nil"/>
                  </w:tcBorders>
                  <w:vAlign w:val="center"/>
                </w:tcPr>
                <w:p w14:paraId="67A92A1D">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一般固体废物</w:t>
                  </w:r>
                </w:p>
              </w:tc>
              <w:tc>
                <w:tcPr>
                  <w:tcW w:w="587" w:type="pct"/>
                  <w:tcBorders>
                    <w:tl2br w:val="nil"/>
                    <w:tr2bl w:val="nil"/>
                  </w:tcBorders>
                  <w:vAlign w:val="center"/>
                </w:tcPr>
                <w:p w14:paraId="63ABCCBF">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0</w:t>
                  </w:r>
                </w:p>
              </w:tc>
              <w:tc>
                <w:tcPr>
                  <w:tcW w:w="520" w:type="pct"/>
                  <w:tcBorders>
                    <w:tl2br w:val="nil"/>
                    <w:tr2bl w:val="nil"/>
                  </w:tcBorders>
                  <w:vAlign w:val="center"/>
                </w:tcPr>
                <w:p w14:paraId="5A391AC9">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7.82</w:t>
                  </w:r>
                </w:p>
              </w:tc>
              <w:tc>
                <w:tcPr>
                  <w:tcW w:w="509" w:type="pct"/>
                  <w:tcBorders>
                    <w:tl2br w:val="nil"/>
                    <w:tr2bl w:val="nil"/>
                  </w:tcBorders>
                  <w:vAlign w:val="center"/>
                </w:tcPr>
                <w:p w14:paraId="27FDF32E">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7.82</w:t>
                  </w:r>
                </w:p>
              </w:tc>
              <w:tc>
                <w:tcPr>
                  <w:tcW w:w="531" w:type="pct"/>
                  <w:tcBorders>
                    <w:tl2br w:val="nil"/>
                    <w:tr2bl w:val="nil"/>
                  </w:tcBorders>
                  <w:vAlign w:val="center"/>
                </w:tcPr>
                <w:p w14:paraId="4622BAE4">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554" w:type="pct"/>
                  <w:tcBorders>
                    <w:tl2br w:val="nil"/>
                    <w:tr2bl w:val="nil"/>
                  </w:tcBorders>
                  <w:vAlign w:val="center"/>
                </w:tcPr>
                <w:p w14:paraId="6C5DE32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w:t>
                  </w:r>
                </w:p>
              </w:tc>
              <w:tc>
                <w:tcPr>
                  <w:tcW w:w="632" w:type="pct"/>
                  <w:tcBorders>
                    <w:tl2br w:val="nil"/>
                    <w:tr2bl w:val="nil"/>
                  </w:tcBorders>
                  <w:vAlign w:val="center"/>
                </w:tcPr>
                <w:p w14:paraId="734836E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0</w:t>
                  </w:r>
                </w:p>
              </w:tc>
              <w:tc>
                <w:tcPr>
                  <w:tcW w:w="499" w:type="pct"/>
                  <w:tcBorders>
                    <w:tl2br w:val="nil"/>
                    <w:tr2bl w:val="nil"/>
                  </w:tcBorders>
                  <w:vAlign w:val="center"/>
                </w:tcPr>
                <w:p w14:paraId="4357F81A">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0</w:t>
                  </w:r>
                </w:p>
              </w:tc>
            </w:tr>
            <w:tr w14:paraId="3BF5E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75251F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18" w:type="pct"/>
                  <w:gridSpan w:val="3"/>
                  <w:tcBorders>
                    <w:tl2br w:val="nil"/>
                    <w:tr2bl w:val="nil"/>
                  </w:tcBorders>
                  <w:vAlign w:val="center"/>
                </w:tcPr>
                <w:p w14:paraId="3C2553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w:t>
                  </w:r>
                </w:p>
              </w:tc>
              <w:tc>
                <w:tcPr>
                  <w:tcW w:w="587" w:type="pct"/>
                  <w:tcBorders>
                    <w:tl2br w:val="nil"/>
                    <w:tr2bl w:val="nil"/>
                  </w:tcBorders>
                  <w:vAlign w:val="center"/>
                </w:tcPr>
                <w:p w14:paraId="5E8312CD">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20" w:type="pct"/>
                  <w:tcBorders>
                    <w:tl2br w:val="nil"/>
                    <w:tr2bl w:val="nil"/>
                  </w:tcBorders>
                  <w:vAlign w:val="center"/>
                </w:tcPr>
                <w:p w14:paraId="2F3A6871">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65.8715</w:t>
                  </w:r>
                </w:p>
              </w:tc>
              <w:tc>
                <w:tcPr>
                  <w:tcW w:w="509" w:type="pct"/>
                  <w:tcBorders>
                    <w:tl2br w:val="nil"/>
                    <w:tr2bl w:val="nil"/>
                  </w:tcBorders>
                  <w:vAlign w:val="center"/>
                </w:tcPr>
                <w:p w14:paraId="1605E5B1">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65.8715</w:t>
                  </w:r>
                </w:p>
              </w:tc>
              <w:tc>
                <w:tcPr>
                  <w:tcW w:w="531" w:type="pct"/>
                  <w:tcBorders>
                    <w:tl2br w:val="nil"/>
                    <w:tr2bl w:val="nil"/>
                  </w:tcBorders>
                  <w:vAlign w:val="center"/>
                </w:tcPr>
                <w:p w14:paraId="3A50F87D">
                  <w:pPr>
                    <w:keepNext w:val="0"/>
                    <w:keepLines w:val="0"/>
                    <w:widowControl/>
                    <w:suppressLineNumbers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54" w:type="pct"/>
                  <w:tcBorders>
                    <w:tl2br w:val="nil"/>
                    <w:tr2bl w:val="nil"/>
                  </w:tcBorders>
                  <w:vAlign w:val="center"/>
                </w:tcPr>
                <w:p w14:paraId="32231597">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632" w:type="pct"/>
                  <w:tcBorders>
                    <w:tl2br w:val="nil"/>
                    <w:tr2bl w:val="nil"/>
                  </w:tcBorders>
                  <w:vAlign w:val="center"/>
                </w:tcPr>
                <w:p w14:paraId="65C254F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499" w:type="pct"/>
                  <w:tcBorders>
                    <w:tl2br w:val="nil"/>
                    <w:tr2bl w:val="nil"/>
                  </w:tcBorders>
                  <w:vAlign w:val="center"/>
                </w:tcPr>
                <w:p w14:paraId="6E0C004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14:paraId="19D23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5" w:type="pct"/>
                  <w:vMerge w:val="continue"/>
                  <w:tcBorders>
                    <w:tl2br w:val="nil"/>
                    <w:tr2bl w:val="nil"/>
                  </w:tcBorders>
                  <w:vAlign w:val="center"/>
                </w:tcPr>
                <w:p w14:paraId="6FF494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918" w:type="pct"/>
                  <w:gridSpan w:val="3"/>
                  <w:tcBorders>
                    <w:tl2br w:val="nil"/>
                    <w:tr2bl w:val="nil"/>
                  </w:tcBorders>
                  <w:vAlign w:val="center"/>
                </w:tcPr>
                <w:p w14:paraId="51D1FE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生活垃圾</w:t>
                  </w:r>
                </w:p>
              </w:tc>
              <w:tc>
                <w:tcPr>
                  <w:tcW w:w="587" w:type="pct"/>
                  <w:tcBorders>
                    <w:tl2br w:val="nil"/>
                    <w:tr2bl w:val="nil"/>
                  </w:tcBorders>
                  <w:vAlign w:val="center"/>
                </w:tcPr>
                <w:p w14:paraId="59B384B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20" w:type="pct"/>
                  <w:tcBorders>
                    <w:tl2br w:val="nil"/>
                    <w:tr2bl w:val="nil"/>
                  </w:tcBorders>
                  <w:vAlign w:val="center"/>
                </w:tcPr>
                <w:p w14:paraId="6C43E5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509" w:type="pct"/>
                  <w:tcBorders>
                    <w:tl2br w:val="nil"/>
                    <w:tr2bl w:val="nil"/>
                  </w:tcBorders>
                  <w:vAlign w:val="center"/>
                </w:tcPr>
                <w:p w14:paraId="7DE142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531" w:type="pct"/>
                  <w:tcBorders>
                    <w:tl2br w:val="nil"/>
                    <w:tr2bl w:val="nil"/>
                  </w:tcBorders>
                  <w:vAlign w:val="center"/>
                </w:tcPr>
                <w:p w14:paraId="5D6B570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554" w:type="pct"/>
                  <w:tcBorders>
                    <w:tl2br w:val="nil"/>
                    <w:tr2bl w:val="nil"/>
                  </w:tcBorders>
                  <w:vAlign w:val="center"/>
                </w:tcPr>
                <w:p w14:paraId="73345AC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32" w:type="pct"/>
                  <w:tcBorders>
                    <w:tl2br w:val="nil"/>
                    <w:tr2bl w:val="nil"/>
                  </w:tcBorders>
                  <w:vAlign w:val="center"/>
                </w:tcPr>
                <w:p w14:paraId="14B7D3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499" w:type="pct"/>
                  <w:tcBorders>
                    <w:tl2br w:val="nil"/>
                    <w:tr2bl w:val="nil"/>
                  </w:tcBorders>
                  <w:vAlign w:val="center"/>
                </w:tcPr>
                <w:p w14:paraId="38FD76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bl>
          <w:p w14:paraId="08953F10">
            <w:pPr>
              <w:keepNext w:val="0"/>
              <w:keepLines w:val="0"/>
              <w:pageBreakBefore w:val="0"/>
              <w:widowControl w:val="0"/>
              <w:suppressLineNumbers w:val="0"/>
              <w:kinsoku/>
              <w:wordWrap/>
              <w:overflowPunct/>
              <w:topLinePunct w:val="0"/>
              <w:autoSpaceDE/>
              <w:autoSpaceDN/>
              <w:bidi w:val="0"/>
              <w:adjustRightInd w:val="0"/>
              <w:snapToGrid w:val="0"/>
              <w:spacing w:before="161"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废水：本项目</w:t>
            </w:r>
            <w:r>
              <w:rPr>
                <w:rFonts w:hint="eastAsia" w:cs="Times New Roman"/>
                <w:color w:val="auto"/>
                <w:sz w:val="24"/>
                <w:highlight w:val="none"/>
                <w:lang w:val="en-US" w:eastAsia="zh-CN"/>
              </w:rPr>
              <w:t>不新增废水产生及排放</w:t>
            </w:r>
            <w:r>
              <w:rPr>
                <w:rFonts w:hint="eastAsia" w:ascii="Times New Roman" w:hAnsi="Times New Roman" w:eastAsia="宋体" w:cs="Times New Roman"/>
                <w:color w:val="auto"/>
                <w:sz w:val="24"/>
                <w:highlight w:val="none"/>
                <w:lang w:val="en-US" w:eastAsia="zh-CN"/>
              </w:rPr>
              <w:t>。</w:t>
            </w:r>
          </w:p>
          <w:p w14:paraId="17BBB99D">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Calibri"/>
                <w:color w:val="auto"/>
                <w:sz w:val="24"/>
                <w:highlight w:val="none"/>
              </w:rPr>
            </w:pPr>
            <w:r>
              <w:rPr>
                <w:rFonts w:hint="default" w:ascii="Times New Roman" w:hAnsi="Times New Roman" w:eastAsia="宋体" w:cs="Calibri"/>
                <w:color w:val="auto"/>
                <w:sz w:val="24"/>
                <w:highlight w:val="none"/>
              </w:rPr>
              <w:t>废气：</w:t>
            </w:r>
            <w:r>
              <w:rPr>
                <w:rFonts w:hint="default" w:ascii="Times New Roman" w:hAnsi="Times New Roman" w:eastAsia="宋体" w:cs="Calibri"/>
                <w:color w:val="auto"/>
                <w:sz w:val="24"/>
                <w:highlight w:val="none"/>
                <w:lang w:eastAsia="zh-CN"/>
              </w:rPr>
              <w:t>废气污染物排放总量在无锡市新吴区区域内平衡</w:t>
            </w:r>
            <w:r>
              <w:rPr>
                <w:rFonts w:hint="default" w:ascii="Times New Roman" w:hAnsi="Times New Roman" w:eastAsia="宋体" w:cs="Calibri"/>
                <w:color w:val="auto"/>
                <w:sz w:val="24"/>
                <w:highlight w:val="none"/>
              </w:rPr>
              <w:t>。</w:t>
            </w:r>
          </w:p>
          <w:p w14:paraId="7D0D2C8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Calibri"/>
                <w:color w:val="auto"/>
                <w:sz w:val="24"/>
                <w:highlight w:val="none"/>
              </w:rPr>
            </w:pPr>
            <w:r>
              <w:rPr>
                <w:rFonts w:hint="eastAsia" w:cs="Calibri"/>
                <w:color w:val="auto"/>
                <w:sz w:val="24"/>
                <w:highlight w:val="none"/>
                <w:lang w:eastAsia="zh-CN"/>
              </w:rPr>
              <w:t>固体废物</w:t>
            </w:r>
            <w:r>
              <w:rPr>
                <w:rFonts w:hint="default" w:ascii="Times New Roman" w:hAnsi="Times New Roman" w:eastAsia="宋体" w:cs="Calibri"/>
                <w:color w:val="auto"/>
                <w:sz w:val="24"/>
                <w:highlight w:val="none"/>
              </w:rPr>
              <w:t>：零排放。</w:t>
            </w:r>
          </w:p>
          <w:p w14:paraId="424643DA">
            <w:pPr>
              <w:pStyle w:val="12"/>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auto"/>
                <w:sz w:val="24"/>
                <w:szCs w:val="32"/>
                <w:highlight w:val="none"/>
              </w:rPr>
            </w:pPr>
          </w:p>
          <w:p w14:paraId="0B3DAFA5">
            <w:pPr>
              <w:pStyle w:val="12"/>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auto"/>
                <w:sz w:val="24"/>
                <w:szCs w:val="32"/>
                <w:highlight w:val="none"/>
              </w:rPr>
            </w:pPr>
          </w:p>
          <w:p w14:paraId="6553554C">
            <w:pPr>
              <w:pStyle w:val="12"/>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auto"/>
                <w:sz w:val="24"/>
                <w:szCs w:val="32"/>
                <w:highlight w:val="none"/>
              </w:rPr>
            </w:pPr>
          </w:p>
          <w:p w14:paraId="2493C0CA">
            <w:pPr>
              <w:pStyle w:val="12"/>
              <w:keepNext w:val="0"/>
              <w:keepLines w:val="0"/>
              <w:numPr>
                <w:ilvl w:val="0"/>
                <w:numId w:val="0"/>
              </w:numPr>
              <w:suppressLineNumbers w:val="0"/>
              <w:snapToGrid w:val="0"/>
              <w:spacing w:before="0" w:beforeAutospacing="0" w:after="0" w:afterAutospacing="0"/>
              <w:ind w:left="0" w:right="0"/>
              <w:rPr>
                <w:rFonts w:hint="default" w:ascii="Times New Roman" w:hAnsi="Times New Roman" w:eastAsia="宋体" w:cs="Calibri"/>
                <w:color w:val="auto"/>
                <w:sz w:val="24"/>
                <w:szCs w:val="32"/>
                <w:highlight w:val="none"/>
              </w:rPr>
            </w:pPr>
          </w:p>
          <w:p w14:paraId="3CD44069">
            <w:pPr>
              <w:pStyle w:val="12"/>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p w14:paraId="38C76D88">
            <w:pPr>
              <w:pStyle w:val="12"/>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p w14:paraId="0D8531EF">
            <w:pPr>
              <w:pStyle w:val="12"/>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p w14:paraId="339AA7E8">
            <w:pPr>
              <w:pStyle w:val="12"/>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p w14:paraId="366A3B1B">
            <w:pPr>
              <w:pStyle w:val="12"/>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p w14:paraId="76FF62B9">
            <w:pPr>
              <w:pStyle w:val="12"/>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p w14:paraId="66509457">
            <w:pPr>
              <w:pStyle w:val="12"/>
              <w:keepNext w:val="0"/>
              <w:keepLines w:val="0"/>
              <w:numPr>
                <w:ilvl w:val="0"/>
                <w:numId w:val="0"/>
              </w:numPr>
              <w:suppressLineNumbers w:val="0"/>
              <w:snapToGrid w:val="0"/>
              <w:spacing w:before="0" w:beforeAutospacing="0" w:after="0" w:afterAutospacing="0"/>
              <w:ind w:left="0" w:leftChars="0" w:right="0" w:rightChars="0" w:firstLine="0" w:firstLineChars="0"/>
              <w:rPr>
                <w:rFonts w:hint="default" w:ascii="Times New Roman" w:hAnsi="Times New Roman" w:eastAsia="宋体" w:cs="Calibri"/>
                <w:color w:val="auto"/>
                <w:sz w:val="24"/>
                <w:szCs w:val="32"/>
                <w:highlight w:val="none"/>
              </w:rPr>
            </w:pPr>
          </w:p>
        </w:tc>
      </w:tr>
    </w:tbl>
    <w:p w14:paraId="5B1A928F">
      <w:pPr>
        <w:rPr>
          <w:rFonts w:ascii="Times New Roman" w:hAnsi="Times New Roman" w:eastAsia="宋体"/>
          <w:snapToGrid w:val="0"/>
          <w:color w:val="auto"/>
          <w:sz w:val="30"/>
          <w:szCs w:val="30"/>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p w14:paraId="4A42A64A">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Times New Roman" w:hAnsi="Times New Roman" w:eastAsia="宋体"/>
          <w:snapToGrid w:val="0"/>
          <w:color w:val="auto"/>
          <w:sz w:val="30"/>
          <w:szCs w:val="30"/>
          <w:highlight w:val="none"/>
          <w:lang w:eastAsia="zh-CN"/>
        </w:rPr>
      </w:pPr>
      <w:bookmarkStart w:id="8" w:name="_Toc6071"/>
      <w:r>
        <w:rPr>
          <w:rFonts w:ascii="Times New Roman" w:hAnsi="Times New Roman" w:eastAsia="宋体"/>
          <w:snapToGrid w:val="0"/>
          <w:color w:val="auto"/>
          <w:sz w:val="30"/>
          <w:szCs w:val="30"/>
          <w:highlight w:val="none"/>
        </w:rPr>
        <w:t>四、主要环境影响和保护措施</w:t>
      </w:r>
      <w:bookmarkEnd w:id="8"/>
    </w:p>
    <w:tbl>
      <w:tblPr>
        <w:tblStyle w:val="24"/>
        <w:tblW w:w="58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9393"/>
      </w:tblGrid>
      <w:tr w14:paraId="24DB1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1" w:hRule="atLeast"/>
          <w:jc w:val="center"/>
        </w:trPr>
        <w:tc>
          <w:tcPr>
            <w:tcW w:w="232" w:type="pct"/>
            <w:tcMar>
              <w:left w:w="28" w:type="dxa"/>
              <w:right w:w="28" w:type="dxa"/>
            </w:tcMar>
            <w:vAlign w:val="center"/>
          </w:tcPr>
          <w:p w14:paraId="36F2C5C0">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施工</w:t>
            </w:r>
          </w:p>
          <w:p w14:paraId="625F63A7">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期环</w:t>
            </w:r>
          </w:p>
          <w:p w14:paraId="6AF85494">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境保</w:t>
            </w:r>
          </w:p>
          <w:p w14:paraId="651C7064">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color w:val="auto"/>
                <w:kern w:val="2"/>
                <w:szCs w:val="24"/>
                <w:highlight w:val="none"/>
              </w:rPr>
              <w:t>护措</w:t>
            </w:r>
          </w:p>
          <w:p w14:paraId="77770CC1">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2"/>
                <w:szCs w:val="24"/>
                <w:highlight w:val="none"/>
              </w:rPr>
            </w:pPr>
            <w:r>
              <w:rPr>
                <w:rFonts w:hint="default" w:ascii="Times New Roman" w:hAnsi="Times New Roman" w:eastAsia="宋体"/>
                <w:color w:val="auto"/>
                <w:kern w:val="2"/>
                <w:szCs w:val="24"/>
                <w:highlight w:val="none"/>
              </w:rPr>
              <w:t>施</w:t>
            </w:r>
          </w:p>
        </w:tc>
        <w:tc>
          <w:tcPr>
            <w:tcW w:w="4767" w:type="pct"/>
          </w:tcPr>
          <w:p w14:paraId="4F3D8B0B">
            <w:pPr>
              <w:keepNext w:val="0"/>
              <w:keepLines w:val="0"/>
              <w:suppressLineNumbers w:val="0"/>
              <w:spacing w:before="0" w:beforeAutospacing="0" w:after="0" w:afterAutospacing="0" w:line="360" w:lineRule="auto"/>
              <w:ind w:left="0" w:right="0" w:firstLine="480" w:firstLineChars="200"/>
              <w:jc w:val="both"/>
              <w:rPr>
                <w:rFonts w:hint="default"/>
                <w:color w:val="auto"/>
                <w:sz w:val="24"/>
                <w:highlight w:val="none"/>
              </w:rPr>
            </w:pPr>
            <w:r>
              <w:rPr>
                <w:rFonts w:hint="eastAsia"/>
                <w:color w:val="auto"/>
                <w:sz w:val="24"/>
                <w:highlight w:val="none"/>
                <w:lang w:val="en-US" w:eastAsia="zh-CN"/>
              </w:rPr>
              <w:t>无锡时代天使生物科技有限公司</w:t>
            </w:r>
            <w:r>
              <w:rPr>
                <w:rFonts w:hint="eastAsia"/>
                <w:color w:val="auto"/>
                <w:sz w:val="24"/>
                <w:highlight w:val="none"/>
                <w:lang w:eastAsia="zh-CN"/>
              </w:rPr>
              <w:t>位于</w:t>
            </w:r>
            <w:r>
              <w:rPr>
                <w:rFonts w:hint="eastAsia"/>
                <w:color w:val="auto"/>
                <w:sz w:val="24"/>
                <w:highlight w:val="none"/>
                <w:lang w:val="en-US" w:eastAsia="zh-CN"/>
              </w:rPr>
              <w:t>江苏省无锡市新吴区观山路36号</w:t>
            </w:r>
            <w:r>
              <w:rPr>
                <w:rFonts w:hint="default"/>
                <w:color w:val="auto"/>
                <w:sz w:val="24"/>
                <w:highlight w:val="none"/>
              </w:rPr>
              <w:t>，</w:t>
            </w:r>
            <w:r>
              <w:rPr>
                <w:rFonts w:hint="eastAsia"/>
                <w:color w:val="auto"/>
                <w:sz w:val="24"/>
                <w:highlight w:val="none"/>
                <w:lang w:val="en-US" w:eastAsia="zh-CN"/>
              </w:rPr>
              <w:t>本项目利用现有已建成厂房进行技术改造，</w:t>
            </w:r>
            <w:r>
              <w:rPr>
                <w:rFonts w:hint="eastAsia"/>
                <w:color w:val="auto"/>
                <w:sz w:val="24"/>
                <w:highlight w:val="none"/>
              </w:rPr>
              <w:t>不新建建筑以及不再对车间进行装修</w:t>
            </w:r>
            <w:r>
              <w:rPr>
                <w:rFonts w:hint="default"/>
                <w:color w:val="auto"/>
                <w:sz w:val="24"/>
                <w:highlight w:val="none"/>
              </w:rPr>
              <w:t>，施工期主要</w:t>
            </w:r>
            <w:r>
              <w:rPr>
                <w:rFonts w:hint="eastAsia"/>
                <w:color w:val="auto"/>
                <w:sz w:val="24"/>
                <w:highlight w:val="none"/>
              </w:rPr>
              <w:t>是生产设备、废气处理设施等安装产生的废气、噪声和少量建筑垃圾</w:t>
            </w:r>
            <w:r>
              <w:rPr>
                <w:rFonts w:hint="eastAsia"/>
                <w:color w:val="auto"/>
                <w:sz w:val="24"/>
                <w:highlight w:val="none"/>
                <w:lang w:eastAsia="zh-CN"/>
              </w:rPr>
              <w:t>以及淘汰设备的拆除，拆除过程中应满足</w:t>
            </w:r>
            <w:r>
              <w:rPr>
                <w:rFonts w:hint="default" w:ascii="Times New Roman" w:hAnsi="Times New Roman" w:eastAsia="宋体" w:cs="Times New Roman"/>
                <w:color w:val="auto"/>
                <w:sz w:val="24"/>
                <w:szCs w:val="24"/>
                <w:highlight w:val="none"/>
              </w:rPr>
              <w:t>《企业拆除活动污染防治技术规定（试行）》（公告 2017 年第78 号）、《企业设备、建（构）筑物拆除活动污染防治技术指南》（T/CAEPI 16-2018）等文件</w:t>
            </w:r>
            <w:r>
              <w:rPr>
                <w:rFonts w:hint="eastAsia" w:cs="Times New Roman"/>
                <w:color w:val="auto"/>
                <w:sz w:val="24"/>
                <w:szCs w:val="24"/>
                <w:highlight w:val="none"/>
                <w:lang w:eastAsia="zh-CN"/>
              </w:rPr>
              <w:t>中的相关要求</w:t>
            </w:r>
            <w:r>
              <w:rPr>
                <w:rFonts w:hint="default" w:ascii="Times New Roman" w:hAnsi="Times New Roman" w:eastAsia="宋体" w:cs="Times New Roman"/>
                <w:color w:val="auto"/>
                <w:sz w:val="24"/>
                <w:szCs w:val="24"/>
                <w:highlight w:val="none"/>
              </w:rPr>
              <w:t>。</w:t>
            </w:r>
            <w:r>
              <w:rPr>
                <w:rFonts w:hint="eastAsia"/>
                <w:color w:val="auto"/>
                <w:sz w:val="24"/>
                <w:highlight w:val="none"/>
              </w:rPr>
              <w:t>废气主要来源于运输车辆所排放的废气及少量扬尘</w:t>
            </w:r>
            <w:r>
              <w:rPr>
                <w:rFonts w:hint="default"/>
                <w:color w:val="auto"/>
                <w:sz w:val="24"/>
                <w:highlight w:val="none"/>
              </w:rPr>
              <w:t>；噪声主要是运输机械和安装设备产生的噪声；固体废弃物主要为少量建筑垃圾和设备包装箱等</w:t>
            </w:r>
            <w:r>
              <w:rPr>
                <w:rFonts w:hint="eastAsia"/>
                <w:color w:val="auto"/>
                <w:sz w:val="24"/>
                <w:highlight w:val="none"/>
              </w:rPr>
              <w:t>。</w:t>
            </w:r>
          </w:p>
          <w:p w14:paraId="727B7577">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为防止建设项目在建设期间发生上述环境污染的现象，使建设项目在建设期间对周围环境的影响尽可能小，建议采取以下的污染防治措施：</w:t>
            </w:r>
          </w:p>
          <w:p w14:paraId="67BC77D0">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1、合理安排设施的使用，减少噪声设备的使用时间。</w:t>
            </w:r>
          </w:p>
          <w:p w14:paraId="40E09434">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2、对施工产生的固体废物，应尽可能利用或及时运走。</w:t>
            </w:r>
          </w:p>
          <w:p w14:paraId="2BDDB646">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3、注意清洁运输，防止在装卸、运输过程中的撒漏、扬尘及噪声。</w:t>
            </w:r>
          </w:p>
          <w:p w14:paraId="0E189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bCs/>
                <w:color w:val="auto"/>
                <w:spacing w:val="-10"/>
                <w:sz w:val="24"/>
                <w:highlight w:val="none"/>
              </w:rPr>
            </w:pPr>
            <w:r>
              <w:rPr>
                <w:rFonts w:hint="default"/>
                <w:bCs/>
                <w:color w:val="auto"/>
                <w:sz w:val="24"/>
                <w:highlight w:val="none"/>
              </w:rPr>
              <w:t>4、建设单位应做好施工期管理工作，以减</w:t>
            </w:r>
            <w:r>
              <w:rPr>
                <w:rFonts w:hint="eastAsia"/>
                <w:bCs/>
                <w:color w:val="auto"/>
                <w:sz w:val="24"/>
                <w:highlight w:val="none"/>
                <w:lang w:val="en-US" w:eastAsia="zh-CN"/>
              </w:rPr>
              <w:t>少</w:t>
            </w:r>
            <w:r>
              <w:rPr>
                <w:rFonts w:hint="default"/>
                <w:bCs/>
                <w:color w:val="auto"/>
                <w:sz w:val="24"/>
                <w:highlight w:val="none"/>
              </w:rPr>
              <w:t>对周围环境的影响。</w:t>
            </w:r>
          </w:p>
        </w:tc>
      </w:tr>
      <w:tr w14:paraId="606BE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99" w:hRule="atLeast"/>
          <w:jc w:val="center"/>
        </w:trPr>
        <w:tc>
          <w:tcPr>
            <w:tcW w:w="232" w:type="pct"/>
            <w:tcMar>
              <w:left w:w="28" w:type="dxa"/>
              <w:right w:w="28" w:type="dxa"/>
            </w:tcMar>
            <w:vAlign w:val="center"/>
          </w:tcPr>
          <w:p w14:paraId="55FDF9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运营</w:t>
            </w:r>
          </w:p>
          <w:p w14:paraId="019104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期环</w:t>
            </w:r>
          </w:p>
          <w:p w14:paraId="3BFAC7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境影</w:t>
            </w:r>
          </w:p>
          <w:p w14:paraId="1111BC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响和</w:t>
            </w:r>
          </w:p>
          <w:p w14:paraId="40956C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bCs/>
                <w:color w:val="auto"/>
                <w:sz w:val="24"/>
                <w:highlight w:val="none"/>
              </w:rPr>
            </w:pPr>
            <w:r>
              <w:rPr>
                <w:rFonts w:hint="default" w:ascii="Times New Roman" w:hAnsi="Times New Roman" w:eastAsia="宋体"/>
                <w:bCs/>
                <w:color w:val="auto"/>
                <w:sz w:val="24"/>
                <w:highlight w:val="none"/>
              </w:rPr>
              <w:t>保护</w:t>
            </w:r>
          </w:p>
          <w:p w14:paraId="223821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olor w:val="auto"/>
                <w:kern w:val="2"/>
                <w:szCs w:val="24"/>
                <w:highlight w:val="none"/>
              </w:rPr>
            </w:pPr>
            <w:r>
              <w:rPr>
                <w:rFonts w:hint="default" w:ascii="Times New Roman" w:hAnsi="Times New Roman" w:eastAsia="宋体"/>
                <w:bCs/>
                <w:color w:val="auto"/>
                <w:sz w:val="24"/>
                <w:highlight w:val="none"/>
              </w:rPr>
              <w:t>措施</w:t>
            </w:r>
          </w:p>
        </w:tc>
        <w:tc>
          <w:tcPr>
            <w:tcW w:w="4767" w:type="pct"/>
            <w:vAlign w:val="center"/>
          </w:tcPr>
          <w:p w14:paraId="2254405B">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sz w:val="24"/>
                <w:highlight w:val="none"/>
              </w:rPr>
              <w:t>废气</w:t>
            </w:r>
          </w:p>
          <w:p w14:paraId="3C117727">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（1）喷涂硅油-脱模剂废气G1</w:t>
            </w:r>
          </w:p>
          <w:p w14:paraId="3A379541">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bCs w:val="0"/>
                <w:color w:val="auto"/>
                <w:sz w:val="24"/>
                <w:highlight w:val="none"/>
                <w:lang w:val="en-US" w:eastAsia="zh-CN"/>
              </w:rPr>
            </w:pPr>
            <w:r>
              <w:rPr>
                <w:rFonts w:hint="default" w:ascii="Times New Roman" w:hAnsi="Times New Roman" w:eastAsia="宋体" w:cs="Segoe UI"/>
                <w:i w:val="0"/>
                <w:iCs w:val="0"/>
                <w:caps w:val="0"/>
                <w:color w:val="auto"/>
                <w:spacing w:val="0"/>
                <w:sz w:val="24"/>
                <w:szCs w:val="24"/>
                <w:highlight w:val="none"/>
                <w:shd w:val="clear" w:fill="FFFFFF"/>
              </w:rPr>
              <w:t>本项目新增的喷涂硅油-脱模剂工段采用人工手持喷壶的操作方式，将</w:t>
            </w:r>
            <w:r>
              <w:rPr>
                <w:rFonts w:hint="eastAsia" w:cs="Segoe UI"/>
                <w:i w:val="0"/>
                <w:iCs w:val="0"/>
                <w:caps w:val="0"/>
                <w:color w:val="auto"/>
                <w:spacing w:val="0"/>
                <w:sz w:val="24"/>
                <w:szCs w:val="24"/>
                <w:highlight w:val="none"/>
                <w:shd w:val="clear" w:fill="FFFFFF"/>
                <w:lang w:val="en-US" w:eastAsia="zh-CN"/>
              </w:rPr>
              <w:t>硅油-脱模剂</w:t>
            </w:r>
            <w:r>
              <w:rPr>
                <w:rFonts w:hint="default" w:ascii="Times New Roman" w:hAnsi="Times New Roman" w:eastAsia="宋体" w:cs="Segoe UI"/>
                <w:i w:val="0"/>
                <w:iCs w:val="0"/>
                <w:caps w:val="0"/>
                <w:color w:val="auto"/>
                <w:spacing w:val="0"/>
                <w:sz w:val="24"/>
                <w:szCs w:val="24"/>
                <w:highlight w:val="none"/>
                <w:shd w:val="clear" w:fill="FFFFFF"/>
              </w:rPr>
              <w:t>均匀附着于牙模表面。</w:t>
            </w:r>
            <w:r>
              <w:rPr>
                <w:rFonts w:hint="eastAsia" w:cs="Segoe UI"/>
                <w:i w:val="0"/>
                <w:iCs w:val="0"/>
                <w:caps w:val="0"/>
                <w:color w:val="auto"/>
                <w:spacing w:val="0"/>
                <w:sz w:val="24"/>
                <w:szCs w:val="24"/>
                <w:highlight w:val="none"/>
                <w:shd w:val="clear" w:fill="FFFFFF"/>
                <w:lang w:val="en-US" w:eastAsia="zh-CN"/>
              </w:rPr>
              <w:t>脱模剂挥发产生有机废气，以非甲烷总烃计。本项目采用的硅油-脱模剂共计1.45t/a，脱模剂全部挥发，则产生非甲烷总烃1.45t/a。经通风橱收集（收集效率以95%计）后与压膜废气一并进入一级碱喷淋+一级水喷淋+除雾器+二级活性炭吸附装置（处理效率以90%计）。据建设单位提供信息，本项目将喷涂硅油-脱模剂工序分别设置在1至4号楼的压膜车间内，每个车间内单独设置1个脱模车间。硅油-脱模剂的使用量平均分配至四个脱模车间，各车间年使用量均为0.3625吨，则四个脱膜车间各产生非甲烷总烃0.3625t/a。最终</w:t>
            </w:r>
            <w:r>
              <w:rPr>
                <w:rFonts w:hint="eastAsia" w:ascii="Times New Roman" w:hAnsi="Times New Roman" w:eastAsia="宋体" w:cs="Segoe UI"/>
                <w:i w:val="0"/>
                <w:iCs w:val="0"/>
                <w:caps w:val="0"/>
                <w:color w:val="auto"/>
                <w:spacing w:val="0"/>
                <w:sz w:val="24"/>
                <w:szCs w:val="24"/>
                <w:highlight w:val="none"/>
                <w:shd w:val="clear" w:fill="FFFFFF"/>
                <w:lang w:val="en-US" w:eastAsia="zh-CN"/>
              </w:rPr>
              <w:t>通过28m高排气筒FQ07、FQ09、FQ10、FQ11排放。本工段工作时间为1800h</w:t>
            </w:r>
            <w:r>
              <w:rPr>
                <w:rFonts w:hint="default" w:ascii="Times New Roman" w:hAnsi="Times New Roman" w:eastAsia="宋体" w:cs="Segoe UI"/>
                <w:i w:val="0"/>
                <w:iCs w:val="0"/>
                <w:caps w:val="0"/>
                <w:color w:val="auto"/>
                <w:spacing w:val="0"/>
                <w:sz w:val="24"/>
                <w:szCs w:val="24"/>
                <w:highlight w:val="none"/>
                <w:shd w:val="clear" w:fill="FFFFFF"/>
                <w:lang w:val="en-US" w:eastAsia="zh-CN"/>
              </w:rPr>
              <w:t>。</w:t>
            </w:r>
          </w:p>
          <w:p w14:paraId="27429510">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（2）精细抛光废气G2</w:t>
            </w:r>
          </w:p>
          <w:p w14:paraId="1DCAAF01">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本项目在现有的初步抛光基础上</w:t>
            </w:r>
            <w:r>
              <w:rPr>
                <w:rFonts w:hint="eastAsia" w:cs="Times New Roman"/>
                <w:color w:val="auto"/>
                <w:sz w:val="24"/>
                <w:highlight w:val="none"/>
                <w:lang w:val="en-US" w:eastAsia="zh-CN"/>
              </w:rPr>
              <w:t>购置</w:t>
            </w:r>
            <w:r>
              <w:rPr>
                <w:rFonts w:hint="default" w:ascii="Times New Roman" w:hAnsi="Times New Roman" w:eastAsia="宋体" w:cs="Times New Roman"/>
                <w:color w:val="auto"/>
                <w:sz w:val="24"/>
                <w:highlight w:val="none"/>
              </w:rPr>
              <w:t>新型抛光机进行二次精细抛光。精细抛光过程中产生的废气以颗粒物计。参考《无锡时代天使医疗器械科技有限公司隐形矫治器智能化综合车间项目环境影响报告表》抛光工段产污系数约为5kg/t原料，本项目抛光工段产污系数取5kg/t，本项目使用聚氨酯膜片1250t/a，产生颗粒物</w:t>
            </w:r>
            <w:r>
              <w:rPr>
                <w:rFonts w:hint="eastAsia" w:cs="Times New Roman"/>
                <w:color w:val="auto"/>
                <w:sz w:val="24"/>
                <w:highlight w:val="none"/>
                <w:lang w:val="en-US" w:eastAsia="zh-CN"/>
              </w:rPr>
              <w:t>共计</w:t>
            </w:r>
            <w:r>
              <w:rPr>
                <w:rFonts w:hint="default" w:ascii="Times New Roman" w:hAnsi="Times New Roman" w:eastAsia="宋体" w:cs="Times New Roman"/>
                <w:color w:val="auto"/>
                <w:sz w:val="24"/>
                <w:highlight w:val="none"/>
              </w:rPr>
              <w:t>6.25t/a。本项目抛光工作台各个工位上装有罩子，罩子仅留双手进出孔洞，</w:t>
            </w:r>
            <w:r>
              <w:rPr>
                <w:rFonts w:hint="eastAsia" w:cs="Times New Roman"/>
                <w:color w:val="auto"/>
                <w:sz w:val="24"/>
                <w:highlight w:val="none"/>
                <w:lang w:val="en-US" w:eastAsia="zh-CN"/>
              </w:rPr>
              <w:t>设备内置</w:t>
            </w:r>
            <w:r>
              <w:rPr>
                <w:rFonts w:hint="default" w:ascii="Times New Roman" w:hAnsi="Times New Roman" w:eastAsia="宋体" w:cs="Times New Roman"/>
                <w:color w:val="auto"/>
                <w:sz w:val="24"/>
                <w:highlight w:val="none"/>
              </w:rPr>
              <w:t>抽风装置收集废气</w:t>
            </w:r>
            <w:r>
              <w:rPr>
                <w:rFonts w:hint="eastAsia" w:cs="Times New Roman"/>
                <w:color w:val="auto"/>
                <w:sz w:val="24"/>
                <w:highlight w:val="none"/>
                <w:lang w:eastAsia="zh-CN"/>
              </w:rPr>
              <w:t>（</w:t>
            </w:r>
            <w:r>
              <w:rPr>
                <w:rFonts w:hint="eastAsia" w:cs="Times New Roman"/>
                <w:color w:val="auto"/>
                <w:sz w:val="24"/>
                <w:highlight w:val="none"/>
                <w:lang w:val="en-US" w:eastAsia="zh-CN"/>
              </w:rPr>
              <w:t>收集效率以95%计</w:t>
            </w:r>
            <w:r>
              <w:rPr>
                <w:rFonts w:hint="eastAsia" w:cs="Times New Roman"/>
                <w:color w:val="auto"/>
                <w:sz w:val="24"/>
                <w:highlight w:val="none"/>
                <w:lang w:eastAsia="zh-CN"/>
              </w:rPr>
              <w:t>）；</w:t>
            </w:r>
            <w:r>
              <w:rPr>
                <w:rFonts w:hint="eastAsia" w:cs="Times New Roman"/>
                <w:color w:val="auto"/>
                <w:sz w:val="24"/>
                <w:highlight w:val="none"/>
                <w:lang w:val="en-US" w:eastAsia="zh-CN"/>
              </w:rPr>
              <w:t>收集进入</w:t>
            </w:r>
            <w:r>
              <w:rPr>
                <w:rFonts w:hint="default" w:ascii="Times New Roman" w:hAnsi="Times New Roman" w:eastAsia="宋体" w:cs="Times New Roman"/>
                <w:color w:val="auto"/>
                <w:sz w:val="24"/>
                <w:highlight w:val="none"/>
              </w:rPr>
              <w:t>布袋除尘装置处理</w:t>
            </w:r>
            <w:r>
              <w:rPr>
                <w:rFonts w:hint="eastAsia" w:cs="Times New Roman"/>
                <w:color w:val="auto"/>
                <w:sz w:val="24"/>
                <w:highlight w:val="none"/>
                <w:lang w:eastAsia="zh-CN"/>
              </w:rPr>
              <w:t>（</w:t>
            </w:r>
            <w:r>
              <w:rPr>
                <w:rFonts w:hint="eastAsia" w:cs="Times New Roman"/>
                <w:color w:val="auto"/>
                <w:sz w:val="24"/>
                <w:highlight w:val="none"/>
                <w:lang w:val="en-US" w:eastAsia="zh-CN"/>
              </w:rPr>
              <w:t>处理效率以98%计</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据</w:t>
            </w:r>
            <w:r>
              <w:rPr>
                <w:rFonts w:hint="default" w:ascii="Times New Roman" w:hAnsi="Times New Roman" w:eastAsia="宋体" w:cs="Times New Roman"/>
                <w:color w:val="auto"/>
                <w:sz w:val="24"/>
                <w:highlight w:val="none"/>
              </w:rPr>
              <w:t>建设单位介绍，</w:t>
            </w: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分别在1-4号楼的抛光车间内新增新型抛光机，3号楼</w:t>
            </w:r>
            <w:r>
              <w:rPr>
                <w:rFonts w:hint="eastAsia" w:cs="Times New Roman"/>
                <w:color w:val="auto"/>
                <w:sz w:val="24"/>
                <w:highlight w:val="none"/>
                <w:lang w:val="en-US" w:eastAsia="zh-CN"/>
              </w:rPr>
              <w:t>抛光</w:t>
            </w:r>
            <w:r>
              <w:rPr>
                <w:rFonts w:hint="default" w:ascii="Times New Roman" w:hAnsi="Times New Roman" w:eastAsia="宋体" w:cs="Times New Roman"/>
                <w:color w:val="auto"/>
                <w:sz w:val="24"/>
                <w:highlight w:val="none"/>
              </w:rPr>
              <w:t>车间新增新型抛光机56台、2号楼新增58台，1号楼新增58台，4号楼新增58台。</w:t>
            </w:r>
            <w:r>
              <w:rPr>
                <w:rFonts w:hint="eastAsia" w:cs="Times New Roman"/>
                <w:color w:val="auto"/>
                <w:sz w:val="24"/>
                <w:highlight w:val="none"/>
                <w:lang w:val="en-US" w:eastAsia="zh-CN"/>
              </w:rPr>
              <w:t>最终通过28m排气筒FQ08、FQ12、FQ13、FQ14排放。</w:t>
            </w:r>
          </w:p>
          <w:p w14:paraId="79AC816A">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b w:val="0"/>
                <w:bCs/>
                <w:color w:val="auto"/>
                <w:sz w:val="24"/>
                <w:highlight w:val="none"/>
                <w:lang w:val="en-US" w:eastAsia="zh-CN"/>
              </w:rPr>
            </w:pPr>
            <w:r>
              <w:rPr>
                <w:rFonts w:hint="default" w:ascii="Segoe UI" w:hAnsi="Segoe UI" w:eastAsia="Segoe UI" w:cs="Segoe UI"/>
                <w:i w:val="0"/>
                <w:iCs w:val="0"/>
                <w:caps w:val="0"/>
                <w:color w:val="auto"/>
                <w:spacing w:val="0"/>
                <w:sz w:val="24"/>
                <w:szCs w:val="24"/>
                <w:highlight w:val="none"/>
              </w:rPr>
              <w:t>本项目新增二次精细抛光</w:t>
            </w:r>
            <w:r>
              <w:rPr>
                <w:rFonts w:hint="eastAsia" w:ascii="Segoe UI" w:hAnsi="Segoe UI" w:eastAsia="宋体" w:cs="Segoe UI"/>
                <w:i w:val="0"/>
                <w:iCs w:val="0"/>
                <w:caps w:val="0"/>
                <w:color w:val="auto"/>
                <w:spacing w:val="0"/>
                <w:sz w:val="24"/>
                <w:szCs w:val="24"/>
                <w:highlight w:val="none"/>
                <w:lang w:val="en-US" w:eastAsia="zh-CN"/>
              </w:rPr>
              <w:t>后，</w:t>
            </w:r>
            <w:r>
              <w:rPr>
                <w:rFonts w:hint="default" w:ascii="Segoe UI" w:hAnsi="Segoe UI" w:eastAsia="Segoe UI" w:cs="Segoe UI"/>
                <w:i w:val="0"/>
                <w:iCs w:val="0"/>
                <w:caps w:val="0"/>
                <w:color w:val="auto"/>
                <w:spacing w:val="0"/>
                <w:sz w:val="24"/>
                <w:szCs w:val="24"/>
                <w:highlight w:val="none"/>
              </w:rPr>
              <w:t>在确保抛光总量维持不变的前提下，初步抛光阶段的操作时长得以相应缩短</w:t>
            </w:r>
            <w:r>
              <w:rPr>
                <w:rFonts w:hint="default" w:ascii="Times New Roman" w:hAnsi="Times New Roman" w:eastAsia="宋体" w:cs="Times New Roman"/>
                <w:color w:val="auto"/>
                <w:sz w:val="24"/>
                <w:highlight w:val="none"/>
              </w:rPr>
              <w:t>。同时，新型抛光机与现有的抛光机可并行作业</w:t>
            </w:r>
            <w:r>
              <w:rPr>
                <w:rFonts w:hint="eastAsia" w:cs="Times New Roman"/>
                <w:color w:val="auto"/>
                <w:sz w:val="24"/>
                <w:highlight w:val="none"/>
                <w:lang w:eastAsia="zh-CN"/>
              </w:rPr>
              <w:t>。</w:t>
            </w:r>
            <w:r>
              <w:rPr>
                <w:rFonts w:hint="eastAsia" w:cs="Times New Roman"/>
                <w:color w:val="auto"/>
                <w:sz w:val="24"/>
                <w:highlight w:val="none"/>
                <w:lang w:val="en-US" w:eastAsia="zh-CN"/>
              </w:rPr>
              <w:t>因此本次技术改造</w:t>
            </w:r>
            <w:r>
              <w:rPr>
                <w:rFonts w:hint="default" w:ascii="Times New Roman" w:hAnsi="Times New Roman" w:eastAsia="宋体" w:cs="Times New Roman"/>
                <w:color w:val="auto"/>
                <w:sz w:val="24"/>
                <w:highlight w:val="none"/>
              </w:rPr>
              <w:t>后，抛光工段的总时长为</w:t>
            </w:r>
            <w:r>
              <w:rPr>
                <w:rFonts w:hint="eastAsia" w:cs="Times New Roman"/>
                <w:color w:val="auto"/>
                <w:sz w:val="24"/>
                <w:highlight w:val="none"/>
                <w:lang w:val="en-US" w:eastAsia="zh-CN"/>
              </w:rPr>
              <w:t>1500</w:t>
            </w:r>
            <w:r>
              <w:rPr>
                <w:rFonts w:hint="default" w:ascii="Times New Roman" w:hAnsi="Times New Roman" w:eastAsia="宋体" w:cs="Times New Roman"/>
                <w:color w:val="auto"/>
                <w:sz w:val="24"/>
                <w:highlight w:val="none"/>
              </w:rPr>
              <w:t>小时。</w:t>
            </w:r>
          </w:p>
          <w:p w14:paraId="1D94E76E">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b/>
                <w:bCs/>
                <w:color w:val="auto"/>
                <w:sz w:val="24"/>
                <w:szCs w:val="36"/>
                <w:highlight w:val="none"/>
              </w:rPr>
            </w:pPr>
            <w:r>
              <w:rPr>
                <w:rFonts w:hint="eastAsia"/>
                <w:b/>
                <w:bCs/>
                <w:color w:val="auto"/>
                <w:sz w:val="24"/>
                <w:szCs w:val="36"/>
                <w:highlight w:val="none"/>
                <w:lang w:val="en-US" w:eastAsia="zh-CN"/>
              </w:rPr>
              <w:t xml:space="preserve">表4-1  </w:t>
            </w:r>
            <w:r>
              <w:rPr>
                <w:rFonts w:hint="default" w:ascii="Times New Roman" w:hAnsi="Times New Roman" w:eastAsia="宋体"/>
                <w:b/>
                <w:bCs/>
                <w:color w:val="auto"/>
                <w:sz w:val="24"/>
                <w:szCs w:val="36"/>
                <w:highlight w:val="none"/>
              </w:rPr>
              <w:t>本项目废气污染物产生情况表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54"/>
              <w:gridCol w:w="1200"/>
              <w:gridCol w:w="1110"/>
              <w:gridCol w:w="1920"/>
              <w:gridCol w:w="802"/>
              <w:gridCol w:w="1182"/>
              <w:gridCol w:w="1098"/>
            </w:tblGrid>
            <w:tr w14:paraId="78D73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11" w:type="pct"/>
                  <w:vAlign w:val="center"/>
                </w:tcPr>
                <w:p w14:paraId="5C2AE7F8">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产生工序</w:t>
                  </w:r>
                </w:p>
              </w:tc>
              <w:tc>
                <w:tcPr>
                  <w:tcW w:w="654" w:type="pct"/>
                  <w:vAlign w:val="center"/>
                </w:tcPr>
                <w:p w14:paraId="609E7323">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污染物</w:t>
                  </w:r>
                </w:p>
              </w:tc>
              <w:tc>
                <w:tcPr>
                  <w:tcW w:w="605" w:type="pct"/>
                  <w:vAlign w:val="center"/>
                </w:tcPr>
                <w:p w14:paraId="27B0308F">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产生量t/a</w:t>
                  </w:r>
                </w:p>
              </w:tc>
              <w:tc>
                <w:tcPr>
                  <w:tcW w:w="1047" w:type="pct"/>
                  <w:vAlign w:val="center"/>
                </w:tcPr>
                <w:p w14:paraId="2E31C8F0">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收集方式</w:t>
                  </w:r>
                </w:p>
              </w:tc>
              <w:tc>
                <w:tcPr>
                  <w:tcW w:w="437" w:type="pct"/>
                  <w:vAlign w:val="center"/>
                </w:tcPr>
                <w:p w14:paraId="690A2309">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捕集率</w:t>
                  </w:r>
                </w:p>
              </w:tc>
              <w:tc>
                <w:tcPr>
                  <w:tcW w:w="644" w:type="pct"/>
                  <w:vAlign w:val="center"/>
                </w:tcPr>
                <w:p w14:paraId="2A48FF2E">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捕集到的量t/a</w:t>
                  </w:r>
                </w:p>
              </w:tc>
              <w:tc>
                <w:tcPr>
                  <w:tcW w:w="598" w:type="pct"/>
                  <w:vAlign w:val="center"/>
                </w:tcPr>
                <w:p w14:paraId="4911370E">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bCs/>
                      <w:color w:val="auto"/>
                      <w:szCs w:val="21"/>
                      <w:highlight w:val="none"/>
                    </w:rPr>
                  </w:pPr>
                  <w:r>
                    <w:rPr>
                      <w:rFonts w:hint="default" w:ascii="Times New Roman" w:hAnsi="Times New Roman" w:eastAsia="宋体"/>
                      <w:b/>
                      <w:bCs/>
                      <w:color w:val="auto"/>
                      <w:szCs w:val="21"/>
                      <w:highlight w:val="none"/>
                    </w:rPr>
                    <w:t>未捕集到的量t/a</w:t>
                  </w:r>
                </w:p>
              </w:tc>
            </w:tr>
            <w:tr w14:paraId="073D4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11" w:type="pct"/>
                  <w:vAlign w:val="center"/>
                </w:tcPr>
                <w:p w14:paraId="0CA2415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3号楼喷涂硅油-脱模剂废模</w:t>
                  </w:r>
                </w:p>
              </w:tc>
              <w:tc>
                <w:tcPr>
                  <w:tcW w:w="654" w:type="pct"/>
                  <w:vAlign w:val="center"/>
                </w:tcPr>
                <w:p w14:paraId="2E5714D0">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eastAsia="zh-CN"/>
                    </w:rPr>
                    <w:t>非甲烷总烃</w:t>
                  </w:r>
                </w:p>
              </w:tc>
              <w:tc>
                <w:tcPr>
                  <w:tcW w:w="605" w:type="pct"/>
                  <w:vAlign w:val="center"/>
                </w:tcPr>
                <w:p w14:paraId="32CB356D">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0.3625</w:t>
                  </w:r>
                </w:p>
              </w:tc>
              <w:tc>
                <w:tcPr>
                  <w:tcW w:w="1047" w:type="pct"/>
                  <w:vAlign w:val="center"/>
                </w:tcPr>
                <w:p w14:paraId="183D19B5">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通风橱收集</w:t>
                  </w:r>
                </w:p>
              </w:tc>
              <w:tc>
                <w:tcPr>
                  <w:tcW w:w="437" w:type="pct"/>
                  <w:vAlign w:val="center"/>
                </w:tcPr>
                <w:p w14:paraId="19705E2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rPr>
                  </w:pPr>
                  <w:r>
                    <w:rPr>
                      <w:rFonts w:hint="eastAsia" w:ascii="Times New Roman" w:hAnsi="Times New Roman" w:eastAsia="宋体"/>
                      <w:color w:val="auto"/>
                      <w:szCs w:val="21"/>
                      <w:highlight w:val="none"/>
                      <w:lang w:val="en-US" w:eastAsia="zh-CN"/>
                    </w:rPr>
                    <w:t>95</w:t>
                  </w:r>
                  <w:r>
                    <w:rPr>
                      <w:rFonts w:hint="eastAsia" w:ascii="Times New Roman" w:hAnsi="Times New Roman" w:eastAsia="宋体"/>
                      <w:color w:val="auto"/>
                      <w:szCs w:val="21"/>
                      <w:highlight w:val="none"/>
                    </w:rPr>
                    <w:t>%</w:t>
                  </w:r>
                </w:p>
              </w:tc>
              <w:tc>
                <w:tcPr>
                  <w:tcW w:w="644" w:type="pct"/>
                  <w:vAlign w:val="center"/>
                </w:tcPr>
                <w:p w14:paraId="3EFC990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0.3444</w:t>
                  </w:r>
                </w:p>
              </w:tc>
              <w:tc>
                <w:tcPr>
                  <w:tcW w:w="598" w:type="pct"/>
                  <w:vAlign w:val="center"/>
                </w:tcPr>
                <w:p w14:paraId="0101F94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0.0181</w:t>
                  </w:r>
                </w:p>
              </w:tc>
            </w:tr>
            <w:tr w14:paraId="79EC1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11" w:type="pct"/>
                  <w:vAlign w:val="center"/>
                </w:tcPr>
                <w:p w14:paraId="0137550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1号楼喷涂硅油-脱模剂废气</w:t>
                  </w:r>
                </w:p>
              </w:tc>
              <w:tc>
                <w:tcPr>
                  <w:tcW w:w="654" w:type="pct"/>
                  <w:vAlign w:val="center"/>
                </w:tcPr>
                <w:p w14:paraId="374C575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b w:val="0"/>
                      <w:bCs w:val="0"/>
                      <w:color w:val="auto"/>
                      <w:szCs w:val="21"/>
                      <w:highlight w:val="none"/>
                      <w:lang w:eastAsia="zh-CN"/>
                    </w:rPr>
                    <w:t>非甲烷总烃</w:t>
                  </w:r>
                </w:p>
              </w:tc>
              <w:tc>
                <w:tcPr>
                  <w:tcW w:w="605" w:type="pct"/>
                  <w:vAlign w:val="center"/>
                </w:tcPr>
                <w:p w14:paraId="4E380CA1">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rPr>
                      <w:rFonts w:hint="default" w:ascii="Times New Roman" w:hAnsi="Times New Roman" w:eastAsia="宋体"/>
                      <w:color w:val="auto"/>
                      <w:szCs w:val="21"/>
                      <w:highlight w:val="none"/>
                      <w:lang w:val="en-US" w:eastAsia="zh-CN"/>
                    </w:rPr>
                  </w:pPr>
                  <w:r>
                    <w:rPr>
                      <w:rFonts w:hint="eastAsia"/>
                      <w:b w:val="0"/>
                      <w:bCs w:val="0"/>
                      <w:color w:val="auto"/>
                      <w:szCs w:val="21"/>
                      <w:highlight w:val="none"/>
                      <w:lang w:val="en-US" w:eastAsia="zh-CN"/>
                    </w:rPr>
                    <w:t>0.3625</w:t>
                  </w:r>
                </w:p>
              </w:tc>
              <w:tc>
                <w:tcPr>
                  <w:tcW w:w="1047" w:type="pct"/>
                  <w:vAlign w:val="center"/>
                </w:tcPr>
                <w:p w14:paraId="2C65828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r>
                    <w:rPr>
                      <w:rFonts w:hint="eastAsia"/>
                      <w:b w:val="0"/>
                      <w:bCs w:val="0"/>
                      <w:color w:val="auto"/>
                      <w:szCs w:val="21"/>
                      <w:highlight w:val="none"/>
                      <w:lang w:val="en-US" w:eastAsia="zh-CN"/>
                    </w:rPr>
                    <w:t>通风橱收集</w:t>
                  </w:r>
                </w:p>
              </w:tc>
              <w:tc>
                <w:tcPr>
                  <w:tcW w:w="437" w:type="pct"/>
                  <w:vAlign w:val="center"/>
                </w:tcPr>
                <w:p w14:paraId="744E47D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95</w:t>
                  </w:r>
                  <w:r>
                    <w:rPr>
                      <w:rFonts w:hint="eastAsia" w:ascii="Times New Roman" w:hAnsi="Times New Roman" w:eastAsia="宋体"/>
                      <w:color w:val="auto"/>
                      <w:szCs w:val="21"/>
                      <w:highlight w:val="none"/>
                    </w:rPr>
                    <w:t>%</w:t>
                  </w:r>
                </w:p>
              </w:tc>
              <w:tc>
                <w:tcPr>
                  <w:tcW w:w="644" w:type="pct"/>
                  <w:vAlign w:val="center"/>
                </w:tcPr>
                <w:p w14:paraId="5F73A14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r>
                    <w:rPr>
                      <w:rFonts w:hint="eastAsia"/>
                      <w:b w:val="0"/>
                      <w:bCs w:val="0"/>
                      <w:color w:val="auto"/>
                      <w:szCs w:val="21"/>
                      <w:highlight w:val="none"/>
                      <w:lang w:val="en-US" w:eastAsia="zh-CN"/>
                    </w:rPr>
                    <w:t>0.3444</w:t>
                  </w:r>
                </w:p>
              </w:tc>
              <w:tc>
                <w:tcPr>
                  <w:tcW w:w="598" w:type="pct"/>
                  <w:vAlign w:val="center"/>
                </w:tcPr>
                <w:p w14:paraId="1F2A0005">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0.0181</w:t>
                  </w:r>
                </w:p>
              </w:tc>
            </w:tr>
            <w:tr w14:paraId="3FC47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11" w:type="pct"/>
                  <w:vAlign w:val="center"/>
                </w:tcPr>
                <w:p w14:paraId="7063887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2号楼喷涂硅油-脱模剂废气</w:t>
                  </w:r>
                </w:p>
              </w:tc>
              <w:tc>
                <w:tcPr>
                  <w:tcW w:w="654" w:type="pct"/>
                  <w:vAlign w:val="center"/>
                </w:tcPr>
                <w:p w14:paraId="55002D8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b w:val="0"/>
                      <w:bCs w:val="0"/>
                      <w:color w:val="auto"/>
                      <w:szCs w:val="21"/>
                      <w:highlight w:val="none"/>
                      <w:lang w:eastAsia="zh-CN"/>
                    </w:rPr>
                    <w:t>非甲烷总烃</w:t>
                  </w:r>
                </w:p>
              </w:tc>
              <w:tc>
                <w:tcPr>
                  <w:tcW w:w="605" w:type="pct"/>
                  <w:vAlign w:val="center"/>
                </w:tcPr>
                <w:p w14:paraId="3183A317">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rPr>
                      <w:rFonts w:hint="default" w:ascii="Times New Roman" w:hAnsi="Times New Roman" w:eastAsia="宋体"/>
                      <w:color w:val="auto"/>
                      <w:szCs w:val="21"/>
                      <w:highlight w:val="none"/>
                      <w:lang w:val="en-US" w:eastAsia="zh-CN"/>
                    </w:rPr>
                  </w:pPr>
                  <w:r>
                    <w:rPr>
                      <w:rFonts w:hint="eastAsia"/>
                      <w:b w:val="0"/>
                      <w:bCs w:val="0"/>
                      <w:color w:val="auto"/>
                      <w:szCs w:val="21"/>
                      <w:highlight w:val="none"/>
                      <w:lang w:val="en-US" w:eastAsia="zh-CN"/>
                    </w:rPr>
                    <w:t>0.3625</w:t>
                  </w:r>
                </w:p>
              </w:tc>
              <w:tc>
                <w:tcPr>
                  <w:tcW w:w="1047" w:type="pct"/>
                  <w:vAlign w:val="center"/>
                </w:tcPr>
                <w:p w14:paraId="6482ECDF">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highlight w:val="none"/>
                      <w:lang w:val="en-US" w:eastAsia="zh-CN"/>
                    </w:rPr>
                  </w:pPr>
                  <w:r>
                    <w:rPr>
                      <w:rFonts w:hint="eastAsia"/>
                      <w:b w:val="0"/>
                      <w:bCs w:val="0"/>
                      <w:color w:val="auto"/>
                      <w:szCs w:val="21"/>
                      <w:highlight w:val="none"/>
                      <w:lang w:val="en-US" w:eastAsia="zh-CN"/>
                    </w:rPr>
                    <w:t>通风橱收集</w:t>
                  </w:r>
                </w:p>
              </w:tc>
              <w:tc>
                <w:tcPr>
                  <w:tcW w:w="437" w:type="pct"/>
                  <w:vAlign w:val="center"/>
                </w:tcPr>
                <w:p w14:paraId="0A0C912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95</w:t>
                  </w:r>
                  <w:r>
                    <w:rPr>
                      <w:rFonts w:hint="eastAsia" w:ascii="Times New Roman" w:hAnsi="Times New Roman" w:eastAsia="宋体"/>
                      <w:color w:val="auto"/>
                      <w:szCs w:val="21"/>
                      <w:highlight w:val="none"/>
                    </w:rPr>
                    <w:t>%</w:t>
                  </w:r>
                </w:p>
              </w:tc>
              <w:tc>
                <w:tcPr>
                  <w:tcW w:w="644" w:type="pct"/>
                  <w:vAlign w:val="center"/>
                </w:tcPr>
                <w:p w14:paraId="190090A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0.3444</w:t>
                  </w:r>
                </w:p>
              </w:tc>
              <w:tc>
                <w:tcPr>
                  <w:tcW w:w="598" w:type="pct"/>
                  <w:vAlign w:val="center"/>
                </w:tcPr>
                <w:p w14:paraId="444FD18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0.0181</w:t>
                  </w:r>
                </w:p>
              </w:tc>
            </w:tr>
            <w:tr w14:paraId="61487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11" w:type="pct"/>
                  <w:vAlign w:val="center"/>
                </w:tcPr>
                <w:p w14:paraId="52EC8DA8">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4号楼喷涂硅油-脱模剂废气</w:t>
                  </w:r>
                </w:p>
              </w:tc>
              <w:tc>
                <w:tcPr>
                  <w:tcW w:w="654" w:type="pct"/>
                  <w:vAlign w:val="center"/>
                </w:tcPr>
                <w:p w14:paraId="0913B61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olor w:val="auto"/>
                      <w:szCs w:val="21"/>
                      <w:highlight w:val="none"/>
                    </w:rPr>
                  </w:pPr>
                  <w:r>
                    <w:rPr>
                      <w:rFonts w:hint="eastAsia" w:ascii="Times New Roman" w:hAnsi="Times New Roman" w:eastAsia="宋体"/>
                      <w:b w:val="0"/>
                      <w:bCs w:val="0"/>
                      <w:color w:val="auto"/>
                      <w:szCs w:val="21"/>
                      <w:highlight w:val="none"/>
                      <w:lang w:eastAsia="zh-CN"/>
                    </w:rPr>
                    <w:t>非甲烷总烃</w:t>
                  </w:r>
                </w:p>
              </w:tc>
              <w:tc>
                <w:tcPr>
                  <w:tcW w:w="605" w:type="pct"/>
                  <w:vAlign w:val="center"/>
                </w:tcPr>
                <w:p w14:paraId="6BCB43C7">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rPr>
                      <w:rFonts w:hint="default" w:ascii="Times New Roman" w:hAnsi="Times New Roman" w:eastAsia="宋体"/>
                      <w:color w:val="auto"/>
                      <w:szCs w:val="21"/>
                      <w:highlight w:val="none"/>
                      <w:lang w:val="en-US" w:eastAsia="zh-CN"/>
                    </w:rPr>
                  </w:pPr>
                  <w:r>
                    <w:rPr>
                      <w:rFonts w:hint="eastAsia"/>
                      <w:b w:val="0"/>
                      <w:bCs w:val="0"/>
                      <w:color w:val="auto"/>
                      <w:szCs w:val="21"/>
                      <w:highlight w:val="none"/>
                      <w:lang w:val="en-US" w:eastAsia="zh-CN"/>
                    </w:rPr>
                    <w:t>0.3625</w:t>
                  </w:r>
                </w:p>
              </w:tc>
              <w:tc>
                <w:tcPr>
                  <w:tcW w:w="1047" w:type="pct"/>
                  <w:vAlign w:val="center"/>
                </w:tcPr>
                <w:p w14:paraId="7762F4BF">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highlight w:val="none"/>
                      <w:lang w:val="en-US" w:eastAsia="zh-CN"/>
                    </w:rPr>
                  </w:pPr>
                  <w:r>
                    <w:rPr>
                      <w:rFonts w:hint="eastAsia"/>
                      <w:b w:val="0"/>
                      <w:bCs w:val="0"/>
                      <w:color w:val="auto"/>
                      <w:szCs w:val="21"/>
                      <w:highlight w:val="none"/>
                      <w:lang w:val="en-US" w:eastAsia="zh-CN"/>
                    </w:rPr>
                    <w:t>通风橱收集</w:t>
                  </w:r>
                </w:p>
              </w:tc>
              <w:tc>
                <w:tcPr>
                  <w:tcW w:w="437" w:type="pct"/>
                  <w:vAlign w:val="center"/>
                </w:tcPr>
                <w:p w14:paraId="3FE3BCBF">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95</w:t>
                  </w:r>
                  <w:r>
                    <w:rPr>
                      <w:rFonts w:hint="eastAsia" w:ascii="Times New Roman" w:hAnsi="Times New Roman" w:eastAsia="宋体"/>
                      <w:color w:val="auto"/>
                      <w:szCs w:val="21"/>
                      <w:highlight w:val="none"/>
                    </w:rPr>
                    <w:t>%</w:t>
                  </w:r>
                </w:p>
              </w:tc>
              <w:tc>
                <w:tcPr>
                  <w:tcW w:w="644" w:type="pct"/>
                  <w:vAlign w:val="center"/>
                </w:tcPr>
                <w:p w14:paraId="612BE3A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r>
                    <w:rPr>
                      <w:rFonts w:hint="eastAsia"/>
                      <w:b w:val="0"/>
                      <w:bCs w:val="0"/>
                      <w:color w:val="auto"/>
                      <w:szCs w:val="21"/>
                      <w:highlight w:val="none"/>
                      <w:lang w:val="en-US" w:eastAsia="zh-CN"/>
                    </w:rPr>
                    <w:t>0.3444</w:t>
                  </w:r>
                </w:p>
              </w:tc>
              <w:tc>
                <w:tcPr>
                  <w:tcW w:w="598" w:type="pct"/>
                  <w:vAlign w:val="center"/>
                </w:tcPr>
                <w:p w14:paraId="02A9C6B7">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0.0181</w:t>
                  </w:r>
                </w:p>
              </w:tc>
            </w:tr>
            <w:tr w14:paraId="03C3D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11" w:type="pct"/>
                  <w:vAlign w:val="center"/>
                </w:tcPr>
                <w:p w14:paraId="1204C334">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3号楼精细抛光废气</w:t>
                  </w:r>
                </w:p>
              </w:tc>
              <w:tc>
                <w:tcPr>
                  <w:tcW w:w="654" w:type="pct"/>
                  <w:vAlign w:val="center"/>
                </w:tcPr>
                <w:p w14:paraId="6DC8882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eastAsia"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颗粒物</w:t>
                  </w:r>
                </w:p>
              </w:tc>
              <w:tc>
                <w:tcPr>
                  <w:tcW w:w="605" w:type="pct"/>
                  <w:vAlign w:val="center"/>
                </w:tcPr>
                <w:p w14:paraId="6A7E13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1.5217</w:t>
                  </w:r>
                </w:p>
              </w:tc>
              <w:tc>
                <w:tcPr>
                  <w:tcW w:w="1047" w:type="pct"/>
                  <w:vAlign w:val="center"/>
                </w:tcPr>
                <w:p w14:paraId="0F0952B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highlight w:val="none"/>
                      <w:lang w:val="en-US" w:eastAsia="zh-CN"/>
                    </w:rPr>
                  </w:pPr>
                  <w:r>
                    <w:rPr>
                      <w:rFonts w:hint="eastAsia"/>
                      <w:b w:val="0"/>
                      <w:bCs w:val="0"/>
                      <w:color w:val="auto"/>
                      <w:highlight w:val="none"/>
                      <w:lang w:val="en-US" w:eastAsia="zh-CN"/>
                    </w:rPr>
                    <w:t>设备半密闭抽风收集</w:t>
                  </w:r>
                </w:p>
              </w:tc>
              <w:tc>
                <w:tcPr>
                  <w:tcW w:w="437" w:type="pct"/>
                  <w:vAlign w:val="center"/>
                </w:tcPr>
                <w:p w14:paraId="013690A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b w:val="0"/>
                      <w:bCs w:val="0"/>
                      <w:color w:val="auto"/>
                      <w:szCs w:val="21"/>
                      <w:highlight w:val="none"/>
                      <w:lang w:val="en-US" w:eastAsia="zh-CN"/>
                    </w:rPr>
                  </w:pPr>
                  <w:r>
                    <w:rPr>
                      <w:rFonts w:hint="eastAsia" w:ascii="Times New Roman" w:hAnsi="Times New Roman" w:eastAsia="宋体"/>
                      <w:b w:val="0"/>
                      <w:bCs w:val="0"/>
                      <w:color w:val="auto"/>
                      <w:szCs w:val="21"/>
                      <w:highlight w:val="none"/>
                      <w:lang w:val="en-US" w:eastAsia="zh-CN"/>
                    </w:rPr>
                    <w:t>95%</w:t>
                  </w:r>
                </w:p>
              </w:tc>
              <w:tc>
                <w:tcPr>
                  <w:tcW w:w="644" w:type="pct"/>
                  <w:vAlign w:val="center"/>
                </w:tcPr>
                <w:p w14:paraId="09FFF74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1.4457</w:t>
                  </w:r>
                </w:p>
              </w:tc>
              <w:tc>
                <w:tcPr>
                  <w:tcW w:w="598" w:type="pct"/>
                  <w:vAlign w:val="center"/>
                </w:tcPr>
                <w:p w14:paraId="0611E833">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0.076</w:t>
                  </w:r>
                </w:p>
              </w:tc>
            </w:tr>
            <w:tr w14:paraId="2AC7A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11" w:type="pct"/>
                  <w:vAlign w:val="center"/>
                </w:tcPr>
                <w:p w14:paraId="4E458899">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olor w:val="auto"/>
                      <w:szCs w:val="21"/>
                      <w:highlight w:val="none"/>
                      <w:lang w:val="en-US" w:eastAsia="zh-CN"/>
                    </w:rPr>
                  </w:pPr>
                  <w:r>
                    <w:rPr>
                      <w:rFonts w:hint="eastAsia"/>
                      <w:color w:val="auto"/>
                      <w:szCs w:val="21"/>
                      <w:highlight w:val="none"/>
                      <w:lang w:val="en-US" w:eastAsia="zh-CN"/>
                    </w:rPr>
                    <w:t>1号楼精细抛光废气</w:t>
                  </w:r>
                </w:p>
              </w:tc>
              <w:tc>
                <w:tcPr>
                  <w:tcW w:w="654" w:type="pct"/>
                  <w:vAlign w:val="center"/>
                </w:tcPr>
                <w:p w14:paraId="51914C8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颗粒物</w:t>
                  </w:r>
                </w:p>
              </w:tc>
              <w:tc>
                <w:tcPr>
                  <w:tcW w:w="605" w:type="pct"/>
                  <w:vAlign w:val="center"/>
                </w:tcPr>
                <w:p w14:paraId="038823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1.5761</w:t>
                  </w:r>
                </w:p>
              </w:tc>
              <w:tc>
                <w:tcPr>
                  <w:tcW w:w="1047" w:type="pct"/>
                  <w:vAlign w:val="center"/>
                </w:tcPr>
                <w:p w14:paraId="5A6FA92F">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color w:val="auto"/>
                      <w:highlight w:val="none"/>
                      <w:lang w:val="en-US" w:eastAsia="zh-CN"/>
                    </w:rPr>
                  </w:pPr>
                  <w:r>
                    <w:rPr>
                      <w:rFonts w:hint="eastAsia"/>
                      <w:color w:val="auto"/>
                      <w:highlight w:val="none"/>
                      <w:lang w:val="en-US" w:eastAsia="zh-CN"/>
                    </w:rPr>
                    <w:t>设备半密闭抽风收集</w:t>
                  </w:r>
                </w:p>
              </w:tc>
              <w:tc>
                <w:tcPr>
                  <w:tcW w:w="437" w:type="pct"/>
                  <w:vAlign w:val="center"/>
                </w:tcPr>
                <w:p w14:paraId="58BFA01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95%</w:t>
                  </w:r>
                </w:p>
              </w:tc>
              <w:tc>
                <w:tcPr>
                  <w:tcW w:w="644" w:type="pct"/>
                  <w:vAlign w:val="center"/>
                </w:tcPr>
                <w:p w14:paraId="6A4086F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1.4973</w:t>
                  </w:r>
                </w:p>
              </w:tc>
              <w:tc>
                <w:tcPr>
                  <w:tcW w:w="598" w:type="pct"/>
                  <w:vAlign w:val="center"/>
                </w:tcPr>
                <w:p w14:paraId="78613C5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0.0788</w:t>
                  </w:r>
                </w:p>
              </w:tc>
            </w:tr>
            <w:tr w14:paraId="0D0B7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11" w:type="pct"/>
                  <w:vAlign w:val="center"/>
                </w:tcPr>
                <w:p w14:paraId="4BC5BE83">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2号楼精细抛光废气</w:t>
                  </w:r>
                </w:p>
              </w:tc>
              <w:tc>
                <w:tcPr>
                  <w:tcW w:w="654" w:type="pct"/>
                  <w:vAlign w:val="center"/>
                </w:tcPr>
                <w:p w14:paraId="4D4B6D1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颗粒物</w:t>
                  </w:r>
                </w:p>
              </w:tc>
              <w:tc>
                <w:tcPr>
                  <w:tcW w:w="605" w:type="pct"/>
                  <w:vAlign w:val="center"/>
                </w:tcPr>
                <w:p w14:paraId="48C652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1.5761</w:t>
                  </w:r>
                </w:p>
              </w:tc>
              <w:tc>
                <w:tcPr>
                  <w:tcW w:w="1047" w:type="pct"/>
                  <w:vAlign w:val="center"/>
                </w:tcPr>
                <w:p w14:paraId="0324CB3E">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auto"/>
                      <w:highlight w:val="none"/>
                      <w:lang w:val="en-US" w:eastAsia="zh-CN"/>
                    </w:rPr>
                  </w:pPr>
                  <w:r>
                    <w:rPr>
                      <w:rFonts w:hint="eastAsia"/>
                      <w:color w:val="auto"/>
                      <w:highlight w:val="none"/>
                      <w:lang w:val="en-US" w:eastAsia="zh-CN"/>
                    </w:rPr>
                    <w:t>设备半密闭抽风收集</w:t>
                  </w:r>
                </w:p>
              </w:tc>
              <w:tc>
                <w:tcPr>
                  <w:tcW w:w="437" w:type="pct"/>
                  <w:vAlign w:val="center"/>
                </w:tcPr>
                <w:p w14:paraId="73D36B7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95%</w:t>
                  </w:r>
                </w:p>
              </w:tc>
              <w:tc>
                <w:tcPr>
                  <w:tcW w:w="644" w:type="pct"/>
                  <w:vAlign w:val="center"/>
                </w:tcPr>
                <w:p w14:paraId="48F31921">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1.4973</w:t>
                  </w:r>
                </w:p>
              </w:tc>
              <w:tc>
                <w:tcPr>
                  <w:tcW w:w="598" w:type="pct"/>
                  <w:vAlign w:val="center"/>
                </w:tcPr>
                <w:p w14:paraId="35A1297A">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0.0788</w:t>
                  </w:r>
                </w:p>
              </w:tc>
            </w:tr>
            <w:tr w14:paraId="3E1D5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011" w:type="pct"/>
                  <w:vAlign w:val="center"/>
                </w:tcPr>
                <w:p w14:paraId="64157AFF">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4号楼精细抛光废气</w:t>
                  </w:r>
                </w:p>
              </w:tc>
              <w:tc>
                <w:tcPr>
                  <w:tcW w:w="654" w:type="pct"/>
                  <w:vAlign w:val="center"/>
                </w:tcPr>
                <w:p w14:paraId="2C3B514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b w:val="0"/>
                      <w:bCs w:val="0"/>
                      <w:color w:val="auto"/>
                      <w:szCs w:val="21"/>
                      <w:highlight w:val="none"/>
                      <w:lang w:val="en-US" w:eastAsia="zh-CN"/>
                    </w:rPr>
                  </w:pPr>
                  <w:r>
                    <w:rPr>
                      <w:rFonts w:hint="eastAsia"/>
                      <w:b w:val="0"/>
                      <w:bCs w:val="0"/>
                      <w:color w:val="auto"/>
                      <w:szCs w:val="21"/>
                      <w:highlight w:val="none"/>
                      <w:lang w:val="en-US" w:eastAsia="zh-CN"/>
                    </w:rPr>
                    <w:t>颗粒物</w:t>
                  </w:r>
                </w:p>
              </w:tc>
              <w:tc>
                <w:tcPr>
                  <w:tcW w:w="605" w:type="pct"/>
                  <w:vAlign w:val="center"/>
                </w:tcPr>
                <w:p w14:paraId="703EC9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1.5761</w:t>
                  </w:r>
                </w:p>
              </w:tc>
              <w:tc>
                <w:tcPr>
                  <w:tcW w:w="1047" w:type="pct"/>
                  <w:vAlign w:val="center"/>
                </w:tcPr>
                <w:p w14:paraId="300710DE">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auto"/>
                      <w:highlight w:val="none"/>
                      <w:lang w:val="en-US" w:eastAsia="zh-CN"/>
                    </w:rPr>
                  </w:pPr>
                  <w:r>
                    <w:rPr>
                      <w:rFonts w:hint="eastAsia"/>
                      <w:color w:val="auto"/>
                      <w:highlight w:val="none"/>
                      <w:lang w:val="en-US" w:eastAsia="zh-CN"/>
                    </w:rPr>
                    <w:t>设备半密闭抽风收集</w:t>
                  </w:r>
                </w:p>
              </w:tc>
              <w:tc>
                <w:tcPr>
                  <w:tcW w:w="437" w:type="pct"/>
                  <w:vAlign w:val="center"/>
                </w:tcPr>
                <w:p w14:paraId="1CD00AE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95%</w:t>
                  </w:r>
                </w:p>
              </w:tc>
              <w:tc>
                <w:tcPr>
                  <w:tcW w:w="644" w:type="pct"/>
                  <w:vAlign w:val="center"/>
                </w:tcPr>
                <w:p w14:paraId="7C51687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1.4973</w:t>
                  </w:r>
                </w:p>
              </w:tc>
              <w:tc>
                <w:tcPr>
                  <w:tcW w:w="598" w:type="pct"/>
                  <w:vAlign w:val="center"/>
                </w:tcPr>
                <w:p w14:paraId="7316FC5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0.0788</w:t>
                  </w:r>
                </w:p>
              </w:tc>
            </w:tr>
          </w:tbl>
          <w:p w14:paraId="0FE257F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A.有组织废气</w:t>
            </w:r>
          </w:p>
          <w:p w14:paraId="590FA4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有组织废气主要为收集到的</w:t>
            </w:r>
            <w:r>
              <w:rPr>
                <w:rFonts w:hint="eastAsia" w:cs="Times New Roman"/>
                <w:color w:val="auto"/>
                <w:sz w:val="24"/>
                <w:highlight w:val="none"/>
                <w:lang w:val="en-US" w:eastAsia="zh-CN"/>
              </w:rPr>
              <w:t>喷涂硅油-脱模剂工序产生</w:t>
            </w:r>
            <w:r>
              <w:rPr>
                <w:rFonts w:hint="eastAsia" w:ascii="Times New Roman" w:hAnsi="Times New Roman" w:eastAsia="宋体" w:cs="Times New Roman"/>
                <w:color w:val="auto"/>
                <w:sz w:val="24"/>
                <w:highlight w:val="none"/>
                <w:lang w:val="en-US" w:eastAsia="zh-CN"/>
              </w:rPr>
              <w:t>的非甲烷总烃</w:t>
            </w:r>
            <w:r>
              <w:rPr>
                <w:rFonts w:hint="eastAsia" w:cs="Times New Roman"/>
                <w:color w:val="auto"/>
                <w:sz w:val="24"/>
                <w:highlight w:val="none"/>
                <w:lang w:val="en-US" w:eastAsia="zh-CN"/>
              </w:rPr>
              <w:t>和精细抛光工序产生的颗粒物</w:t>
            </w:r>
            <w:r>
              <w:rPr>
                <w:rFonts w:hint="eastAsia" w:ascii="Times New Roman" w:hAnsi="Times New Roman" w:eastAsia="宋体" w:cs="Times New Roman"/>
                <w:color w:val="auto"/>
                <w:sz w:val="24"/>
                <w:highlight w:val="none"/>
                <w:lang w:val="en-US" w:eastAsia="zh-CN"/>
              </w:rPr>
              <w:t>，年</w:t>
            </w:r>
            <w:r>
              <w:rPr>
                <w:rFonts w:hint="eastAsia" w:cs="Times New Roman"/>
                <w:color w:val="auto"/>
                <w:sz w:val="24"/>
                <w:highlight w:val="none"/>
                <w:lang w:val="en-US" w:eastAsia="zh-CN"/>
              </w:rPr>
              <w:t>喷涂硅油-脱模剂</w:t>
            </w:r>
            <w:r>
              <w:rPr>
                <w:rFonts w:hint="eastAsia" w:ascii="Times New Roman" w:hAnsi="Times New Roman" w:eastAsia="宋体" w:cs="Times New Roman"/>
                <w:color w:val="auto"/>
                <w:sz w:val="24"/>
                <w:highlight w:val="none"/>
                <w:lang w:val="en-US" w:eastAsia="zh-CN"/>
              </w:rPr>
              <w:t>时长为</w:t>
            </w:r>
            <w:r>
              <w:rPr>
                <w:rFonts w:hint="eastAsia" w:cs="Times New Roman"/>
                <w:color w:val="auto"/>
                <w:sz w:val="24"/>
                <w:highlight w:val="none"/>
                <w:lang w:val="en-US" w:eastAsia="zh-CN"/>
              </w:rPr>
              <w:t>1800</w:t>
            </w:r>
            <w:r>
              <w:rPr>
                <w:rFonts w:hint="eastAsia" w:ascii="Times New Roman" w:hAnsi="Times New Roman" w:eastAsia="宋体" w:cs="Times New Roman"/>
                <w:color w:val="auto"/>
                <w:sz w:val="24"/>
                <w:highlight w:val="none"/>
                <w:lang w:val="en-US" w:eastAsia="zh-CN"/>
              </w:rPr>
              <w:t>h</w:t>
            </w:r>
            <w:r>
              <w:rPr>
                <w:rFonts w:hint="eastAsia" w:cs="Times New Roman"/>
                <w:color w:val="auto"/>
                <w:sz w:val="24"/>
                <w:highlight w:val="none"/>
                <w:lang w:val="en-US" w:eastAsia="zh-CN"/>
              </w:rPr>
              <w:t>、年精细抛光时长为1500h</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本项目有组织废气</w:t>
            </w:r>
            <w:r>
              <w:rPr>
                <w:rFonts w:hint="default" w:ascii="Times New Roman" w:hAnsi="Times New Roman" w:eastAsia="宋体" w:cs="Times New Roman"/>
                <w:color w:val="auto"/>
                <w:sz w:val="24"/>
                <w:highlight w:val="none"/>
                <w:lang w:val="en-US" w:eastAsia="zh-CN"/>
              </w:rPr>
              <w:t>产生源强</w:t>
            </w:r>
            <w:r>
              <w:rPr>
                <w:rFonts w:hint="default" w:ascii="Times New Roman" w:hAnsi="Times New Roman" w:eastAsia="宋体" w:cs="Times New Roman"/>
                <w:color w:val="auto"/>
                <w:sz w:val="24"/>
                <w:highlight w:val="none"/>
              </w:rPr>
              <w:t>见下表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，本项目建成后全厂有组织产生废气源强详见表4-</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w:t>
            </w:r>
          </w:p>
          <w:p w14:paraId="6EE9DC72">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auto"/>
                <w:sz w:val="24"/>
                <w:szCs w:val="36"/>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2  </w:t>
            </w:r>
            <w:r>
              <w:rPr>
                <w:rFonts w:hint="eastAsia" w:ascii="Times New Roman" w:hAnsi="Times New Roman" w:eastAsia="宋体" w:cs="Times New Roman"/>
                <w:b/>
                <w:bCs/>
                <w:color w:val="auto"/>
                <w:sz w:val="24"/>
                <w:szCs w:val="36"/>
                <w:highlight w:val="none"/>
                <w:lang w:val="en-US" w:eastAsia="zh-CN"/>
              </w:rPr>
              <w:t>本项目</w:t>
            </w:r>
            <w:r>
              <w:rPr>
                <w:rFonts w:hint="default" w:ascii="Times New Roman" w:hAnsi="Times New Roman" w:eastAsia="宋体" w:cs="Times New Roman"/>
                <w:b/>
                <w:bCs/>
                <w:color w:val="auto"/>
                <w:sz w:val="24"/>
                <w:szCs w:val="36"/>
                <w:highlight w:val="none"/>
                <w:lang w:val="en-US" w:eastAsia="zh-CN"/>
              </w:rPr>
              <w:t>有组织产生废气源强统计表</w:t>
            </w:r>
          </w:p>
          <w:tbl>
            <w:tblPr>
              <w:tblStyle w:val="24"/>
              <w:tblW w:w="89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8"/>
              <w:gridCol w:w="510"/>
              <w:gridCol w:w="568"/>
              <w:gridCol w:w="600"/>
              <w:gridCol w:w="750"/>
              <w:gridCol w:w="795"/>
              <w:gridCol w:w="690"/>
              <w:gridCol w:w="1095"/>
              <w:gridCol w:w="465"/>
              <w:gridCol w:w="720"/>
              <w:gridCol w:w="750"/>
              <w:gridCol w:w="661"/>
              <w:gridCol w:w="433"/>
            </w:tblGrid>
            <w:tr w14:paraId="2354C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6" w:hRule="atLeast"/>
                <w:jc w:val="center"/>
              </w:trPr>
              <w:tc>
                <w:tcPr>
                  <w:tcW w:w="1468" w:type="dxa"/>
                  <w:gridSpan w:val="2"/>
                  <w:vMerge w:val="restart"/>
                  <w:tcBorders>
                    <w:bottom w:val="single" w:color="auto" w:sz="4" w:space="0"/>
                    <w:right w:val="single" w:color="auto" w:sz="4" w:space="0"/>
                  </w:tcBorders>
                  <w:noWrap w:val="0"/>
                  <w:vAlign w:val="center"/>
                </w:tcPr>
                <w:p w14:paraId="3A84C98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污染物</w:t>
                  </w:r>
                </w:p>
              </w:tc>
              <w:tc>
                <w:tcPr>
                  <w:tcW w:w="568" w:type="dxa"/>
                  <w:vMerge w:val="restart"/>
                  <w:tcBorders>
                    <w:left w:val="single" w:color="auto" w:sz="4" w:space="0"/>
                    <w:bottom w:val="single" w:color="auto" w:sz="4" w:space="0"/>
                    <w:right w:val="single" w:color="auto" w:sz="4" w:space="0"/>
                  </w:tcBorders>
                  <w:noWrap w:val="0"/>
                  <w:vAlign w:val="center"/>
                </w:tcPr>
                <w:p w14:paraId="2E40677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排气量(m</w:t>
                  </w:r>
                  <w:r>
                    <w:rPr>
                      <w:rFonts w:hint="default" w:ascii="Times New Roman" w:hAnsi="Times New Roman" w:eastAsia="宋体" w:cs="Times New Roman"/>
                      <w:b/>
                      <w:color w:val="auto"/>
                      <w:sz w:val="18"/>
                      <w:szCs w:val="18"/>
                      <w:highlight w:val="none"/>
                      <w:vertAlign w:val="superscript"/>
                    </w:rPr>
                    <w:t>3</w:t>
                  </w:r>
                  <w:r>
                    <w:rPr>
                      <w:rFonts w:hint="default" w:ascii="Times New Roman" w:hAnsi="Times New Roman" w:eastAsia="宋体" w:cs="Times New Roman"/>
                      <w:b/>
                      <w:color w:val="auto"/>
                      <w:sz w:val="18"/>
                      <w:szCs w:val="18"/>
                      <w:highlight w:val="none"/>
                    </w:rPr>
                    <w:t>/h)</w:t>
                  </w:r>
                </w:p>
              </w:tc>
              <w:tc>
                <w:tcPr>
                  <w:tcW w:w="600" w:type="dxa"/>
                  <w:vMerge w:val="restart"/>
                  <w:tcBorders>
                    <w:left w:val="single" w:color="auto" w:sz="4" w:space="0"/>
                    <w:bottom w:val="single" w:color="auto" w:sz="4" w:space="0"/>
                    <w:right w:val="single" w:color="auto" w:sz="4" w:space="0"/>
                  </w:tcBorders>
                  <w:noWrap w:val="0"/>
                  <w:vAlign w:val="center"/>
                </w:tcPr>
                <w:p w14:paraId="1E9E65C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工作时长（h/a）</w:t>
                  </w:r>
                </w:p>
              </w:tc>
              <w:tc>
                <w:tcPr>
                  <w:tcW w:w="2235" w:type="dxa"/>
                  <w:gridSpan w:val="3"/>
                  <w:tcBorders>
                    <w:left w:val="single" w:color="auto" w:sz="4" w:space="0"/>
                    <w:bottom w:val="single" w:color="auto" w:sz="4" w:space="0"/>
                    <w:right w:val="single" w:color="auto" w:sz="4" w:space="0"/>
                  </w:tcBorders>
                  <w:noWrap w:val="0"/>
                  <w:vAlign w:val="center"/>
                </w:tcPr>
                <w:p w14:paraId="57DE6F8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产生情况</w:t>
                  </w:r>
                </w:p>
              </w:tc>
              <w:tc>
                <w:tcPr>
                  <w:tcW w:w="1095" w:type="dxa"/>
                  <w:vMerge w:val="restart"/>
                  <w:tcBorders>
                    <w:left w:val="single" w:color="auto" w:sz="4" w:space="0"/>
                    <w:bottom w:val="single" w:color="auto" w:sz="4" w:space="0"/>
                    <w:right w:val="single" w:color="auto" w:sz="4" w:space="0"/>
                  </w:tcBorders>
                  <w:noWrap w:val="0"/>
                  <w:vAlign w:val="center"/>
                </w:tcPr>
                <w:p w14:paraId="20015279">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处理方式</w:t>
                  </w:r>
                </w:p>
              </w:tc>
              <w:tc>
                <w:tcPr>
                  <w:tcW w:w="465" w:type="dxa"/>
                  <w:vMerge w:val="restart"/>
                  <w:tcBorders>
                    <w:left w:val="single" w:color="auto" w:sz="4" w:space="0"/>
                    <w:bottom w:val="single" w:color="auto" w:sz="4" w:space="0"/>
                    <w:right w:val="single" w:color="auto" w:sz="4" w:space="0"/>
                  </w:tcBorders>
                  <w:noWrap w:val="0"/>
                  <w:vAlign w:val="center"/>
                </w:tcPr>
                <w:p w14:paraId="4DF8A49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去除率</w:t>
                  </w:r>
                </w:p>
              </w:tc>
              <w:tc>
                <w:tcPr>
                  <w:tcW w:w="2131" w:type="dxa"/>
                  <w:gridSpan w:val="3"/>
                  <w:tcBorders>
                    <w:left w:val="single" w:color="auto" w:sz="4" w:space="0"/>
                    <w:bottom w:val="single" w:color="auto" w:sz="4" w:space="0"/>
                    <w:right w:val="single" w:color="auto" w:sz="4" w:space="0"/>
                  </w:tcBorders>
                  <w:noWrap w:val="0"/>
                  <w:vAlign w:val="center"/>
                </w:tcPr>
                <w:p w14:paraId="4CFC6AA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排放情况</w:t>
                  </w:r>
                </w:p>
              </w:tc>
              <w:tc>
                <w:tcPr>
                  <w:tcW w:w="433" w:type="dxa"/>
                  <w:vMerge w:val="restart"/>
                  <w:tcBorders>
                    <w:left w:val="single" w:color="auto" w:sz="4" w:space="0"/>
                    <w:bottom w:val="single" w:color="auto" w:sz="4" w:space="0"/>
                  </w:tcBorders>
                  <w:noWrap w:val="0"/>
                  <w:vAlign w:val="center"/>
                </w:tcPr>
                <w:p w14:paraId="08DAD40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排放去向</w:t>
                  </w:r>
                </w:p>
              </w:tc>
            </w:tr>
            <w:tr w14:paraId="0848C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0" w:hRule="atLeast"/>
                <w:jc w:val="center"/>
              </w:trPr>
              <w:tc>
                <w:tcPr>
                  <w:tcW w:w="1468" w:type="dxa"/>
                  <w:gridSpan w:val="2"/>
                  <w:vMerge w:val="continue"/>
                  <w:tcBorders>
                    <w:top w:val="single" w:color="auto" w:sz="4" w:space="0"/>
                    <w:bottom w:val="single" w:color="auto" w:sz="4" w:space="0"/>
                    <w:right w:val="single" w:color="auto" w:sz="4" w:space="0"/>
                  </w:tcBorders>
                  <w:noWrap w:val="0"/>
                  <w:vAlign w:val="center"/>
                </w:tcPr>
                <w:p w14:paraId="5F1031D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14:paraId="6C78172F">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600" w:type="dxa"/>
                  <w:vMerge w:val="continue"/>
                  <w:tcBorders>
                    <w:top w:val="single" w:color="auto" w:sz="4" w:space="0"/>
                    <w:left w:val="single" w:color="auto" w:sz="4" w:space="0"/>
                    <w:bottom w:val="single" w:color="auto" w:sz="4" w:space="0"/>
                    <w:right w:val="single" w:color="auto" w:sz="4" w:space="0"/>
                  </w:tcBorders>
                  <w:noWrap w:val="0"/>
                  <w:vAlign w:val="center"/>
                </w:tcPr>
                <w:p w14:paraId="307A5FD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74B3ADE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浓度</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lang w:val="en-US" w:eastAsia="zh-CN"/>
                    </w:rPr>
                    <w:t>)</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1AE6634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bCs/>
                      <w:color w:val="auto"/>
                      <w:sz w:val="18"/>
                      <w:szCs w:val="18"/>
                      <w:highlight w:val="none"/>
                    </w:rPr>
                    <w:t>速率</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default" w:ascii="Times New Roman" w:hAnsi="Times New Roman" w:eastAsia="宋体" w:cs="Times New Roman"/>
                      <w:b/>
                      <w:bCs/>
                      <w:color w:val="auto"/>
                      <w:sz w:val="18"/>
                      <w:szCs w:val="18"/>
                      <w:highlight w:val="none"/>
                      <w:lang w:val="en-US" w:eastAsia="zh-CN"/>
                    </w:rPr>
                    <w:t>)</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3A872AA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b/>
                      <w:bCs/>
                      <w:color w:val="auto"/>
                      <w:sz w:val="18"/>
                      <w:szCs w:val="18"/>
                      <w:highlight w:val="none"/>
                      <w:lang w:val="en-US" w:eastAsia="zh-CN"/>
                    </w:rPr>
                    <w:t>产生</w:t>
                  </w:r>
                  <w:r>
                    <w:rPr>
                      <w:rFonts w:hint="default" w:ascii="Times New Roman" w:hAnsi="Times New Roman" w:eastAsia="宋体" w:cs="Times New Roman"/>
                      <w:b/>
                      <w:bCs/>
                      <w:color w:val="auto"/>
                      <w:sz w:val="18"/>
                      <w:szCs w:val="18"/>
                      <w:highlight w:val="none"/>
                    </w:rPr>
                    <w:t>量</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t/a</w:t>
                  </w:r>
                  <w:r>
                    <w:rPr>
                      <w:rFonts w:hint="default" w:ascii="Times New Roman" w:hAnsi="Times New Roman" w:eastAsia="宋体" w:cs="Times New Roman"/>
                      <w:b/>
                      <w:bCs/>
                      <w:color w:val="auto"/>
                      <w:sz w:val="18"/>
                      <w:szCs w:val="18"/>
                      <w:highlight w:val="none"/>
                      <w:lang w:val="en-US" w:eastAsia="zh-CN"/>
                    </w:rPr>
                    <w:t>)</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14:paraId="014BFBC1">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465" w:type="dxa"/>
                  <w:vMerge w:val="continue"/>
                  <w:tcBorders>
                    <w:top w:val="single" w:color="auto" w:sz="4" w:space="0"/>
                    <w:left w:val="single" w:color="auto" w:sz="4" w:space="0"/>
                    <w:bottom w:val="single" w:color="auto" w:sz="4" w:space="0"/>
                    <w:right w:val="single" w:color="auto" w:sz="4" w:space="0"/>
                  </w:tcBorders>
                  <w:noWrap w:val="0"/>
                  <w:vAlign w:val="center"/>
                </w:tcPr>
                <w:p w14:paraId="2FB2A79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14:paraId="756AD48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浓度</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default" w:ascii="Times New Roman" w:hAnsi="Times New Roman" w:eastAsia="宋体" w:cs="Times New Roman"/>
                      <w:b/>
                      <w:bCs/>
                      <w:color w:val="auto"/>
                      <w:sz w:val="18"/>
                      <w:szCs w:val="18"/>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47F544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速率</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default" w:ascii="Times New Roman" w:hAnsi="Times New Roman" w:eastAsia="宋体" w:cs="Times New Roman"/>
                      <w:b/>
                      <w:bCs/>
                      <w:color w:val="auto"/>
                      <w:sz w:val="18"/>
                      <w:szCs w:val="18"/>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21A4692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bCs/>
                      <w:color w:val="auto"/>
                      <w:sz w:val="18"/>
                      <w:szCs w:val="18"/>
                      <w:highlight w:val="none"/>
                    </w:rPr>
                    <w:t>排放量</w:t>
                  </w:r>
                  <w:r>
                    <w:rPr>
                      <w:rFonts w:hint="default"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t/a</w:t>
                  </w:r>
                  <w:r>
                    <w:rPr>
                      <w:rFonts w:hint="default" w:ascii="Times New Roman" w:hAnsi="Times New Roman" w:eastAsia="宋体" w:cs="Times New Roman"/>
                      <w:b/>
                      <w:bCs/>
                      <w:color w:val="auto"/>
                      <w:sz w:val="18"/>
                      <w:szCs w:val="18"/>
                      <w:highlight w:val="none"/>
                      <w:lang w:val="en-US" w:eastAsia="zh-CN"/>
                    </w:rPr>
                    <w:t>)</w:t>
                  </w:r>
                </w:p>
              </w:tc>
              <w:tc>
                <w:tcPr>
                  <w:tcW w:w="433" w:type="dxa"/>
                  <w:vMerge w:val="continue"/>
                  <w:tcBorders>
                    <w:top w:val="single" w:color="auto" w:sz="4" w:space="0"/>
                    <w:left w:val="single" w:color="auto" w:sz="4" w:space="0"/>
                    <w:bottom w:val="single" w:color="auto" w:sz="4" w:space="0"/>
                  </w:tcBorders>
                  <w:noWrap w:val="0"/>
                  <w:vAlign w:val="center"/>
                </w:tcPr>
                <w:p w14:paraId="2B8F55A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bCs/>
                      <w:color w:val="auto"/>
                      <w:sz w:val="18"/>
                      <w:szCs w:val="18"/>
                      <w:highlight w:val="none"/>
                    </w:rPr>
                  </w:pPr>
                </w:p>
              </w:tc>
            </w:tr>
            <w:tr w14:paraId="3D4BB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3" w:hRule="atLeast"/>
                <w:jc w:val="center"/>
              </w:trPr>
              <w:tc>
                <w:tcPr>
                  <w:tcW w:w="958" w:type="dxa"/>
                  <w:tcBorders>
                    <w:top w:val="single" w:color="auto" w:sz="4" w:space="0"/>
                    <w:bottom w:val="single" w:color="auto" w:sz="4" w:space="0"/>
                    <w:right w:val="single" w:color="auto" w:sz="4" w:space="0"/>
                  </w:tcBorders>
                  <w:noWrap w:val="0"/>
                  <w:vAlign w:val="center"/>
                </w:tcPr>
                <w:p w14:paraId="03B7D690">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eastAsia"/>
                      <w:b w:val="0"/>
                      <w:bCs w:val="0"/>
                      <w:color w:val="auto"/>
                      <w:sz w:val="18"/>
                      <w:szCs w:val="18"/>
                      <w:highlight w:val="none"/>
                      <w:lang w:val="en-US" w:eastAsia="zh-CN"/>
                    </w:rPr>
                    <w:t>3号楼喷涂硅油-脱模剂废模</w:t>
                  </w:r>
                </w:p>
              </w:tc>
              <w:tc>
                <w:tcPr>
                  <w:tcW w:w="510" w:type="dxa"/>
                  <w:tcBorders>
                    <w:top w:val="single" w:color="auto" w:sz="4" w:space="0"/>
                    <w:left w:val="single" w:color="auto" w:sz="4" w:space="0"/>
                    <w:bottom w:val="single" w:color="auto" w:sz="4" w:space="0"/>
                    <w:right w:val="single" w:color="auto" w:sz="4" w:space="0"/>
                  </w:tcBorders>
                  <w:noWrap w:val="0"/>
                  <w:vAlign w:val="center"/>
                </w:tcPr>
                <w:p w14:paraId="2EAEF5B1">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b w:val="0"/>
                      <w:bCs w:val="0"/>
                      <w:color w:val="auto"/>
                      <w:sz w:val="18"/>
                      <w:szCs w:val="18"/>
                      <w:highlight w:val="none"/>
                      <w:lang w:eastAsia="zh-CN"/>
                    </w:rPr>
                    <w:t>非甲烷总烃</w:t>
                  </w:r>
                </w:p>
              </w:tc>
              <w:tc>
                <w:tcPr>
                  <w:tcW w:w="568" w:type="dxa"/>
                  <w:tcBorders>
                    <w:top w:val="single" w:color="auto" w:sz="4" w:space="0"/>
                    <w:left w:val="single" w:color="auto" w:sz="4" w:space="0"/>
                    <w:bottom w:val="single" w:color="auto" w:sz="4" w:space="0"/>
                    <w:right w:val="single" w:color="auto" w:sz="4" w:space="0"/>
                  </w:tcBorders>
                  <w:noWrap w:val="0"/>
                  <w:vAlign w:val="center"/>
                </w:tcPr>
                <w:p w14:paraId="0E1801C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17500</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10AE53C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1800</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DCE254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10.93</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200B141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0.1913</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04360B4B">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0.3444</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2F22E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632BF3D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1EDD202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1.093</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10DA457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0.01913</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5ADA1385">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0.03444</w:t>
                  </w:r>
                </w:p>
              </w:tc>
              <w:tc>
                <w:tcPr>
                  <w:tcW w:w="433" w:type="dxa"/>
                  <w:tcBorders>
                    <w:top w:val="single" w:color="auto" w:sz="4" w:space="0"/>
                    <w:left w:val="single" w:color="auto" w:sz="4" w:space="0"/>
                    <w:bottom w:val="single" w:color="auto" w:sz="4" w:space="0"/>
                  </w:tcBorders>
                  <w:noWrap w:val="0"/>
                  <w:vAlign w:val="center"/>
                </w:tcPr>
                <w:p w14:paraId="6D0269E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FQ07</w:t>
                  </w:r>
                  <w:r>
                    <w:rPr>
                      <w:rFonts w:hint="default" w:ascii="Times New Roman" w:hAnsi="Times New Roman" w:eastAsia="宋体" w:cs="Times New Roman"/>
                      <w:color w:val="auto"/>
                      <w:sz w:val="18"/>
                      <w:szCs w:val="18"/>
                      <w:highlight w:val="none"/>
                      <w:lang w:val="en-US" w:eastAsia="zh-CN"/>
                    </w:rPr>
                    <w:t xml:space="preserve"> </w:t>
                  </w:r>
                </w:p>
              </w:tc>
            </w:tr>
            <w:tr w14:paraId="18CBD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8" w:hRule="atLeast"/>
                <w:jc w:val="center"/>
              </w:trPr>
              <w:tc>
                <w:tcPr>
                  <w:tcW w:w="958" w:type="dxa"/>
                  <w:tcBorders>
                    <w:top w:val="single" w:color="auto" w:sz="4" w:space="0"/>
                    <w:bottom w:val="single" w:color="auto" w:sz="4" w:space="0"/>
                    <w:right w:val="single" w:color="auto" w:sz="4" w:space="0"/>
                  </w:tcBorders>
                  <w:noWrap w:val="0"/>
                  <w:vAlign w:val="center"/>
                </w:tcPr>
                <w:p w14:paraId="6DBD8A16">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1号楼喷涂硅油-脱模剂废气</w:t>
                  </w:r>
                </w:p>
              </w:tc>
              <w:tc>
                <w:tcPr>
                  <w:tcW w:w="510" w:type="dxa"/>
                  <w:tcBorders>
                    <w:top w:val="single" w:color="auto" w:sz="4" w:space="0"/>
                    <w:left w:val="single" w:color="auto" w:sz="4" w:space="0"/>
                    <w:bottom w:val="single" w:color="auto" w:sz="4" w:space="0"/>
                    <w:right w:val="single" w:color="auto" w:sz="4" w:space="0"/>
                  </w:tcBorders>
                  <w:noWrap w:val="0"/>
                  <w:vAlign w:val="center"/>
                </w:tcPr>
                <w:p w14:paraId="53A56CB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b w:val="0"/>
                      <w:bCs w:val="0"/>
                      <w:color w:val="auto"/>
                      <w:sz w:val="18"/>
                      <w:szCs w:val="18"/>
                      <w:highlight w:val="none"/>
                      <w:lang w:eastAsia="zh-CN"/>
                    </w:rPr>
                    <w:t>非甲烷总烃</w:t>
                  </w:r>
                </w:p>
              </w:tc>
              <w:tc>
                <w:tcPr>
                  <w:tcW w:w="568" w:type="dxa"/>
                  <w:tcBorders>
                    <w:top w:val="single" w:color="auto" w:sz="4" w:space="0"/>
                    <w:left w:val="single" w:color="auto" w:sz="4" w:space="0"/>
                    <w:bottom w:val="single" w:color="auto" w:sz="4" w:space="0"/>
                    <w:right w:val="single" w:color="auto" w:sz="4" w:space="0"/>
                  </w:tcBorders>
                  <w:noWrap w:val="0"/>
                  <w:vAlign w:val="center"/>
                </w:tcPr>
                <w:p w14:paraId="4014455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7500</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12827D4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1800</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6C2434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25.51</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7244176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0.1913</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21CFC2F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0.3444</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D215BF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6BC6BFB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445978E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2.551</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EB272C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0.01913</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09421C5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0.03444</w:t>
                  </w:r>
                </w:p>
              </w:tc>
              <w:tc>
                <w:tcPr>
                  <w:tcW w:w="433" w:type="dxa"/>
                  <w:tcBorders>
                    <w:top w:val="single" w:color="auto" w:sz="4" w:space="0"/>
                    <w:left w:val="single" w:color="auto" w:sz="4" w:space="0"/>
                    <w:bottom w:val="single" w:color="auto" w:sz="4" w:space="0"/>
                  </w:tcBorders>
                  <w:noWrap w:val="0"/>
                  <w:vAlign w:val="center"/>
                </w:tcPr>
                <w:p w14:paraId="305E093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FQ09</w:t>
                  </w:r>
                  <w:r>
                    <w:rPr>
                      <w:rFonts w:hint="default" w:ascii="Times New Roman" w:hAnsi="Times New Roman" w:eastAsia="宋体" w:cs="Times New Roman"/>
                      <w:color w:val="auto"/>
                      <w:sz w:val="18"/>
                      <w:szCs w:val="18"/>
                      <w:highlight w:val="none"/>
                      <w:lang w:val="en-US" w:eastAsia="zh-CN"/>
                    </w:rPr>
                    <w:t xml:space="preserve"> </w:t>
                  </w:r>
                </w:p>
              </w:tc>
            </w:tr>
            <w:tr w14:paraId="55B46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8" w:hRule="atLeast"/>
                <w:jc w:val="center"/>
              </w:trPr>
              <w:tc>
                <w:tcPr>
                  <w:tcW w:w="958" w:type="dxa"/>
                  <w:tcBorders>
                    <w:top w:val="single" w:color="auto" w:sz="4" w:space="0"/>
                    <w:bottom w:val="single" w:color="auto" w:sz="4" w:space="0"/>
                    <w:right w:val="single" w:color="auto" w:sz="4" w:space="0"/>
                  </w:tcBorders>
                  <w:noWrap w:val="0"/>
                  <w:vAlign w:val="center"/>
                </w:tcPr>
                <w:p w14:paraId="3A7E8E54">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2号楼喷涂硅油-脱模剂废气</w:t>
                  </w:r>
                </w:p>
              </w:tc>
              <w:tc>
                <w:tcPr>
                  <w:tcW w:w="510" w:type="dxa"/>
                  <w:tcBorders>
                    <w:top w:val="single" w:color="auto" w:sz="4" w:space="0"/>
                    <w:left w:val="single" w:color="auto" w:sz="4" w:space="0"/>
                    <w:bottom w:val="single" w:color="auto" w:sz="4" w:space="0"/>
                    <w:right w:val="single" w:color="auto" w:sz="4" w:space="0"/>
                  </w:tcBorders>
                  <w:noWrap w:val="0"/>
                  <w:vAlign w:val="center"/>
                </w:tcPr>
                <w:p w14:paraId="50C8120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b w:val="0"/>
                      <w:bCs w:val="0"/>
                      <w:color w:val="auto"/>
                      <w:sz w:val="18"/>
                      <w:szCs w:val="18"/>
                      <w:highlight w:val="none"/>
                      <w:lang w:eastAsia="zh-CN"/>
                    </w:rPr>
                    <w:t>非甲烷总烃</w:t>
                  </w:r>
                </w:p>
              </w:tc>
              <w:tc>
                <w:tcPr>
                  <w:tcW w:w="568" w:type="dxa"/>
                  <w:tcBorders>
                    <w:top w:val="single" w:color="auto" w:sz="4" w:space="0"/>
                    <w:left w:val="single" w:color="auto" w:sz="4" w:space="0"/>
                    <w:bottom w:val="single" w:color="auto" w:sz="4" w:space="0"/>
                    <w:right w:val="single" w:color="auto" w:sz="4" w:space="0"/>
                  </w:tcBorders>
                  <w:noWrap w:val="0"/>
                  <w:vAlign w:val="center"/>
                </w:tcPr>
                <w:p w14:paraId="5681460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7500</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7B3A803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1800</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7648B9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25.51</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6A9D735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0.1913</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516CF3EE">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0.3444</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2A4344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499A3DB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357DFC7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2.551</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4A4E6AB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0.01913</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4B6881C6">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0.03444</w:t>
                  </w:r>
                </w:p>
              </w:tc>
              <w:tc>
                <w:tcPr>
                  <w:tcW w:w="433" w:type="dxa"/>
                  <w:tcBorders>
                    <w:top w:val="single" w:color="auto" w:sz="4" w:space="0"/>
                    <w:left w:val="single" w:color="auto" w:sz="4" w:space="0"/>
                    <w:bottom w:val="single" w:color="auto" w:sz="4" w:space="0"/>
                  </w:tcBorders>
                  <w:noWrap w:val="0"/>
                  <w:vAlign w:val="center"/>
                </w:tcPr>
                <w:p w14:paraId="559A1B8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both"/>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FQ10</w:t>
                  </w:r>
                </w:p>
              </w:tc>
            </w:tr>
            <w:tr w14:paraId="306F4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78" w:hRule="atLeast"/>
                <w:jc w:val="center"/>
              </w:trPr>
              <w:tc>
                <w:tcPr>
                  <w:tcW w:w="958" w:type="dxa"/>
                  <w:tcBorders>
                    <w:top w:val="single" w:color="auto" w:sz="4" w:space="0"/>
                    <w:bottom w:val="single" w:color="auto" w:sz="4" w:space="0"/>
                    <w:right w:val="single" w:color="auto" w:sz="4" w:space="0"/>
                  </w:tcBorders>
                  <w:noWrap w:val="0"/>
                  <w:vAlign w:val="center"/>
                </w:tcPr>
                <w:p w14:paraId="72D9C895">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4号楼喷涂硅油-脱模剂废气</w:t>
                  </w:r>
                </w:p>
              </w:tc>
              <w:tc>
                <w:tcPr>
                  <w:tcW w:w="510" w:type="dxa"/>
                  <w:tcBorders>
                    <w:top w:val="single" w:color="auto" w:sz="4" w:space="0"/>
                    <w:left w:val="single" w:color="auto" w:sz="4" w:space="0"/>
                    <w:bottom w:val="single" w:color="auto" w:sz="4" w:space="0"/>
                    <w:right w:val="single" w:color="auto" w:sz="4" w:space="0"/>
                  </w:tcBorders>
                  <w:noWrap w:val="0"/>
                  <w:vAlign w:val="center"/>
                </w:tcPr>
                <w:p w14:paraId="29C2ABC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b w:val="0"/>
                      <w:bCs w:val="0"/>
                      <w:color w:val="auto"/>
                      <w:sz w:val="18"/>
                      <w:szCs w:val="18"/>
                      <w:highlight w:val="none"/>
                      <w:lang w:eastAsia="zh-CN"/>
                    </w:rPr>
                    <w:t>非甲烷总烃</w:t>
                  </w:r>
                </w:p>
              </w:tc>
              <w:tc>
                <w:tcPr>
                  <w:tcW w:w="568" w:type="dxa"/>
                  <w:tcBorders>
                    <w:top w:val="single" w:color="auto" w:sz="4" w:space="0"/>
                    <w:left w:val="single" w:color="auto" w:sz="4" w:space="0"/>
                    <w:bottom w:val="single" w:color="auto" w:sz="4" w:space="0"/>
                    <w:right w:val="single" w:color="auto" w:sz="4" w:space="0"/>
                  </w:tcBorders>
                  <w:noWrap w:val="0"/>
                  <w:vAlign w:val="center"/>
                </w:tcPr>
                <w:p w14:paraId="27B7497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7500</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32588F0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1800</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C7E06F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25.51</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43238AF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0.1913</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5021B599">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0.3444</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5BC5A2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387CBDE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3E7CD00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2.551</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BB1228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0.01913</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162D5D4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0.03444</w:t>
                  </w:r>
                </w:p>
              </w:tc>
              <w:tc>
                <w:tcPr>
                  <w:tcW w:w="433" w:type="dxa"/>
                  <w:tcBorders>
                    <w:top w:val="single" w:color="auto" w:sz="4" w:space="0"/>
                    <w:left w:val="single" w:color="auto" w:sz="4" w:space="0"/>
                    <w:bottom w:val="single" w:color="auto" w:sz="4" w:space="0"/>
                  </w:tcBorders>
                  <w:noWrap w:val="0"/>
                  <w:vAlign w:val="center"/>
                </w:tcPr>
                <w:p w14:paraId="4206B5D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FQ11</w:t>
                  </w:r>
                  <w:r>
                    <w:rPr>
                      <w:rFonts w:hint="default" w:ascii="Times New Roman" w:hAnsi="Times New Roman" w:eastAsia="宋体" w:cs="Times New Roman"/>
                      <w:color w:val="auto"/>
                      <w:sz w:val="18"/>
                      <w:szCs w:val="18"/>
                      <w:highlight w:val="none"/>
                      <w:lang w:val="en-US" w:eastAsia="zh-CN"/>
                    </w:rPr>
                    <w:t xml:space="preserve"> </w:t>
                  </w:r>
                </w:p>
              </w:tc>
            </w:tr>
            <w:tr w14:paraId="15B1B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96" w:hRule="atLeast"/>
                <w:jc w:val="center"/>
              </w:trPr>
              <w:tc>
                <w:tcPr>
                  <w:tcW w:w="958" w:type="dxa"/>
                  <w:tcBorders>
                    <w:top w:val="single" w:color="auto" w:sz="4" w:space="0"/>
                    <w:bottom w:val="single" w:color="auto" w:sz="4" w:space="0"/>
                    <w:right w:val="single" w:color="auto" w:sz="4" w:space="0"/>
                  </w:tcBorders>
                  <w:noWrap w:val="0"/>
                  <w:vAlign w:val="center"/>
                </w:tcPr>
                <w:p w14:paraId="74841315">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1号楼精细抛光废气</w:t>
                  </w:r>
                </w:p>
              </w:tc>
              <w:tc>
                <w:tcPr>
                  <w:tcW w:w="510" w:type="dxa"/>
                  <w:tcBorders>
                    <w:top w:val="single" w:color="auto" w:sz="4" w:space="0"/>
                    <w:left w:val="single" w:color="auto" w:sz="4" w:space="0"/>
                    <w:bottom w:val="single" w:color="auto" w:sz="4" w:space="0"/>
                    <w:right w:val="single" w:color="auto" w:sz="4" w:space="0"/>
                  </w:tcBorders>
                  <w:noWrap w:val="0"/>
                  <w:vAlign w:val="center"/>
                </w:tcPr>
                <w:p w14:paraId="04D3952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颗粒物</w:t>
                  </w:r>
                </w:p>
              </w:tc>
              <w:tc>
                <w:tcPr>
                  <w:tcW w:w="568" w:type="dxa"/>
                  <w:tcBorders>
                    <w:top w:val="single" w:color="auto" w:sz="4" w:space="0"/>
                    <w:left w:val="single" w:color="auto" w:sz="4" w:space="0"/>
                    <w:bottom w:val="single" w:color="auto" w:sz="4" w:space="0"/>
                    <w:right w:val="single" w:color="auto" w:sz="4" w:space="0"/>
                  </w:tcBorders>
                  <w:noWrap w:val="0"/>
                  <w:vAlign w:val="center"/>
                </w:tcPr>
                <w:p w14:paraId="428BA9A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16000</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3567809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1500</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52B288C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65.67</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64769F6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1.051</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2B1C3717">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i w:val="0"/>
                      <w:iCs w:val="0"/>
                      <w:color w:val="auto"/>
                      <w:kern w:val="0"/>
                      <w:sz w:val="18"/>
                      <w:szCs w:val="21"/>
                      <w:highlight w:val="none"/>
                      <w:u w:val="none"/>
                      <w:lang w:val="en-US" w:eastAsia="zh-CN" w:bidi="ar"/>
                    </w:rPr>
                    <w:t>1.4973</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952483E">
                  <w:pPr>
                    <w:keepNext w:val="0"/>
                    <w:keepLines w:val="0"/>
                    <w:pageBreakBefore w:val="0"/>
                    <w:widowControl/>
                    <w:suppressLineNumbers w:val="0"/>
                    <w:tabs>
                      <w:tab w:val="left" w:pos="538"/>
                    </w:tabs>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布袋除尘装置</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0C804A0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98%</w:t>
                  </w:r>
                </w:p>
              </w:tc>
              <w:tc>
                <w:tcPr>
                  <w:tcW w:w="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65555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1.244</w:t>
                  </w:r>
                </w:p>
              </w:tc>
              <w:tc>
                <w:tcPr>
                  <w:tcW w:w="75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E156B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0.0199</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0F5B292A">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0.02995</w:t>
                  </w:r>
                </w:p>
              </w:tc>
              <w:tc>
                <w:tcPr>
                  <w:tcW w:w="433" w:type="dxa"/>
                  <w:tcBorders>
                    <w:top w:val="single" w:color="auto" w:sz="4" w:space="0"/>
                    <w:left w:val="single" w:color="auto" w:sz="4" w:space="0"/>
                    <w:bottom w:val="single" w:color="auto" w:sz="4" w:space="0"/>
                  </w:tcBorders>
                  <w:noWrap w:val="0"/>
                  <w:vAlign w:val="center"/>
                </w:tcPr>
                <w:p w14:paraId="710EFE3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FQ12</w:t>
                  </w:r>
                </w:p>
              </w:tc>
            </w:tr>
            <w:tr w14:paraId="1D9C5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96" w:hRule="atLeast"/>
                <w:jc w:val="center"/>
              </w:trPr>
              <w:tc>
                <w:tcPr>
                  <w:tcW w:w="958" w:type="dxa"/>
                  <w:tcBorders>
                    <w:top w:val="single" w:color="auto" w:sz="4" w:space="0"/>
                    <w:bottom w:val="single" w:color="auto" w:sz="4" w:space="0"/>
                    <w:right w:val="single" w:color="auto" w:sz="4" w:space="0"/>
                  </w:tcBorders>
                  <w:noWrap w:val="0"/>
                  <w:vAlign w:val="center"/>
                </w:tcPr>
                <w:p w14:paraId="1BF301A2">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2号楼精细抛光废气</w:t>
                  </w:r>
                </w:p>
              </w:tc>
              <w:tc>
                <w:tcPr>
                  <w:tcW w:w="510" w:type="dxa"/>
                  <w:tcBorders>
                    <w:top w:val="single" w:color="auto" w:sz="4" w:space="0"/>
                    <w:left w:val="single" w:color="auto" w:sz="4" w:space="0"/>
                    <w:bottom w:val="single" w:color="auto" w:sz="4" w:space="0"/>
                    <w:right w:val="single" w:color="auto" w:sz="4" w:space="0"/>
                  </w:tcBorders>
                  <w:noWrap w:val="0"/>
                  <w:vAlign w:val="center"/>
                </w:tcPr>
                <w:p w14:paraId="6FAF966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b w:val="0"/>
                      <w:bCs w:val="0"/>
                      <w:color w:val="auto"/>
                      <w:sz w:val="18"/>
                      <w:szCs w:val="18"/>
                      <w:highlight w:val="none"/>
                      <w:lang w:val="en-US" w:eastAsia="zh-CN"/>
                    </w:rPr>
                    <w:t>颗粒物</w:t>
                  </w:r>
                </w:p>
              </w:tc>
              <w:tc>
                <w:tcPr>
                  <w:tcW w:w="568" w:type="dxa"/>
                  <w:tcBorders>
                    <w:top w:val="single" w:color="auto" w:sz="4" w:space="0"/>
                    <w:left w:val="single" w:color="auto" w:sz="4" w:space="0"/>
                    <w:bottom w:val="single" w:color="auto" w:sz="4" w:space="0"/>
                    <w:right w:val="single" w:color="auto" w:sz="4" w:space="0"/>
                  </w:tcBorders>
                  <w:noWrap w:val="0"/>
                  <w:vAlign w:val="center"/>
                </w:tcPr>
                <w:p w14:paraId="7AE35D2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16000</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76108D5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1500</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675845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65.67</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10482AD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1.051</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684860B7">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i w:val="0"/>
                      <w:iCs w:val="0"/>
                      <w:color w:val="auto"/>
                      <w:kern w:val="0"/>
                      <w:sz w:val="18"/>
                      <w:szCs w:val="21"/>
                      <w:highlight w:val="none"/>
                      <w:u w:val="none"/>
                      <w:lang w:val="en-US" w:eastAsia="zh-CN" w:bidi="ar"/>
                    </w:rPr>
                    <w:t>1.4973</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64575A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布袋除尘装置</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666B9B6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98%</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3210B3C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1.244</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6FB6CB6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0.0199</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3B07AF12">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0.02995</w:t>
                  </w:r>
                </w:p>
              </w:tc>
              <w:tc>
                <w:tcPr>
                  <w:tcW w:w="433" w:type="dxa"/>
                  <w:tcBorders>
                    <w:top w:val="single" w:color="auto" w:sz="4" w:space="0"/>
                    <w:left w:val="single" w:color="auto" w:sz="4" w:space="0"/>
                    <w:bottom w:val="single" w:color="auto" w:sz="4" w:space="0"/>
                  </w:tcBorders>
                  <w:noWrap w:val="0"/>
                  <w:vAlign w:val="center"/>
                </w:tcPr>
                <w:p w14:paraId="653D50F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FQ13</w:t>
                  </w:r>
                </w:p>
              </w:tc>
            </w:tr>
            <w:tr w14:paraId="21244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96" w:hRule="atLeast"/>
                <w:jc w:val="center"/>
              </w:trPr>
              <w:tc>
                <w:tcPr>
                  <w:tcW w:w="958" w:type="dxa"/>
                  <w:tcBorders>
                    <w:top w:val="single" w:color="auto" w:sz="4" w:space="0"/>
                    <w:bottom w:val="single" w:color="auto" w:sz="4" w:space="0"/>
                    <w:right w:val="single" w:color="auto" w:sz="4" w:space="0"/>
                  </w:tcBorders>
                  <w:noWrap w:val="0"/>
                  <w:vAlign w:val="center"/>
                </w:tcPr>
                <w:p w14:paraId="27B37C04">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3号楼精细抛光废气</w:t>
                  </w:r>
                </w:p>
              </w:tc>
              <w:tc>
                <w:tcPr>
                  <w:tcW w:w="510" w:type="dxa"/>
                  <w:tcBorders>
                    <w:top w:val="single" w:color="auto" w:sz="4" w:space="0"/>
                    <w:left w:val="single" w:color="auto" w:sz="4" w:space="0"/>
                    <w:bottom w:val="single" w:color="auto" w:sz="4" w:space="0"/>
                    <w:right w:val="single" w:color="auto" w:sz="4" w:space="0"/>
                  </w:tcBorders>
                  <w:noWrap w:val="0"/>
                  <w:vAlign w:val="center"/>
                </w:tcPr>
                <w:p w14:paraId="2A145DD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b w:val="0"/>
                      <w:bCs w:val="0"/>
                      <w:color w:val="auto"/>
                      <w:sz w:val="18"/>
                      <w:szCs w:val="18"/>
                      <w:highlight w:val="none"/>
                      <w:lang w:val="en-US" w:eastAsia="zh-CN"/>
                    </w:rPr>
                    <w:t>颗粒物</w:t>
                  </w:r>
                </w:p>
              </w:tc>
              <w:tc>
                <w:tcPr>
                  <w:tcW w:w="568" w:type="dxa"/>
                  <w:tcBorders>
                    <w:top w:val="single" w:color="auto" w:sz="4" w:space="0"/>
                    <w:left w:val="single" w:color="auto" w:sz="4" w:space="0"/>
                    <w:bottom w:val="single" w:color="auto" w:sz="4" w:space="0"/>
                    <w:right w:val="single" w:color="auto" w:sz="4" w:space="0"/>
                  </w:tcBorders>
                  <w:noWrap w:val="0"/>
                  <w:vAlign w:val="center"/>
                </w:tcPr>
                <w:p w14:paraId="6194D18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16000</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3DD9290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1500</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0270A02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60.24</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3CDF5A1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0.9638</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3BF14FE">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olor w:val="auto"/>
                      <w:sz w:val="18"/>
                      <w:szCs w:val="21"/>
                      <w:highlight w:val="none"/>
                      <w:lang w:val="en-US" w:eastAsia="zh-CN"/>
                    </w:rPr>
                    <w:t>1.4457</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DAAFB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布袋除尘装置</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286B701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98%</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6D5C7C4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1.204</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45663E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0.01927</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468C7A10">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0.02895</w:t>
                  </w:r>
                </w:p>
              </w:tc>
              <w:tc>
                <w:tcPr>
                  <w:tcW w:w="433" w:type="dxa"/>
                  <w:tcBorders>
                    <w:top w:val="single" w:color="auto" w:sz="4" w:space="0"/>
                    <w:left w:val="single" w:color="auto" w:sz="4" w:space="0"/>
                    <w:bottom w:val="single" w:color="auto" w:sz="4" w:space="0"/>
                  </w:tcBorders>
                  <w:noWrap w:val="0"/>
                  <w:vAlign w:val="center"/>
                </w:tcPr>
                <w:p w14:paraId="0736DD1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FQ08</w:t>
                  </w:r>
                </w:p>
              </w:tc>
            </w:tr>
            <w:tr w14:paraId="2DD74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46" w:hRule="atLeast"/>
                <w:jc w:val="center"/>
              </w:trPr>
              <w:tc>
                <w:tcPr>
                  <w:tcW w:w="958" w:type="dxa"/>
                  <w:tcBorders>
                    <w:top w:val="single" w:color="auto" w:sz="4" w:space="0"/>
                    <w:bottom w:val="single" w:color="auto" w:sz="4" w:space="0"/>
                    <w:right w:val="single" w:color="auto" w:sz="4" w:space="0"/>
                  </w:tcBorders>
                  <w:noWrap w:val="0"/>
                  <w:vAlign w:val="center"/>
                </w:tcPr>
                <w:p w14:paraId="4F6DFF69">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olor w:val="auto"/>
                      <w:sz w:val="18"/>
                      <w:szCs w:val="18"/>
                      <w:highlight w:val="none"/>
                      <w:lang w:val="en-US" w:eastAsia="zh-CN"/>
                    </w:rPr>
                    <w:t>4号楼精细抛光废气</w:t>
                  </w:r>
                </w:p>
              </w:tc>
              <w:tc>
                <w:tcPr>
                  <w:tcW w:w="510" w:type="dxa"/>
                  <w:tcBorders>
                    <w:top w:val="single" w:color="auto" w:sz="4" w:space="0"/>
                    <w:left w:val="single" w:color="auto" w:sz="4" w:space="0"/>
                    <w:bottom w:val="single" w:color="auto" w:sz="4" w:space="0"/>
                    <w:right w:val="single" w:color="auto" w:sz="4" w:space="0"/>
                  </w:tcBorders>
                  <w:noWrap w:val="0"/>
                  <w:vAlign w:val="center"/>
                </w:tcPr>
                <w:p w14:paraId="225C996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b w:val="0"/>
                      <w:bCs w:val="0"/>
                      <w:color w:val="auto"/>
                      <w:sz w:val="18"/>
                      <w:szCs w:val="18"/>
                      <w:highlight w:val="none"/>
                      <w:lang w:val="en-US" w:eastAsia="zh-CN"/>
                    </w:rPr>
                    <w:t>颗粒物</w:t>
                  </w:r>
                </w:p>
              </w:tc>
              <w:tc>
                <w:tcPr>
                  <w:tcW w:w="568" w:type="dxa"/>
                  <w:tcBorders>
                    <w:top w:val="single" w:color="auto" w:sz="4" w:space="0"/>
                    <w:left w:val="single" w:color="auto" w:sz="4" w:space="0"/>
                    <w:bottom w:val="single" w:color="auto" w:sz="4" w:space="0"/>
                    <w:right w:val="single" w:color="auto" w:sz="4" w:space="0"/>
                  </w:tcBorders>
                  <w:noWrap w:val="0"/>
                  <w:vAlign w:val="center"/>
                </w:tcPr>
                <w:p w14:paraId="579968C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16000</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15A14DCE">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1500</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6A21565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65.67</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0309FA0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1.051</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7B5CBD9D">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i w:val="0"/>
                      <w:iCs w:val="0"/>
                      <w:color w:val="auto"/>
                      <w:kern w:val="0"/>
                      <w:sz w:val="18"/>
                      <w:szCs w:val="21"/>
                      <w:highlight w:val="none"/>
                      <w:u w:val="none"/>
                      <w:lang w:val="en-US" w:eastAsia="zh-CN" w:bidi="ar"/>
                    </w:rPr>
                    <w:t>1.4973</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2070A2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布袋除尘装置</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659BFA8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98%</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1A9A0EF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1.244</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12F118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0.0199</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4C47EE54">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0.02995</w:t>
                  </w:r>
                </w:p>
              </w:tc>
              <w:tc>
                <w:tcPr>
                  <w:tcW w:w="433" w:type="dxa"/>
                  <w:tcBorders>
                    <w:top w:val="single" w:color="auto" w:sz="4" w:space="0"/>
                    <w:left w:val="single" w:color="auto" w:sz="4" w:space="0"/>
                    <w:bottom w:val="single" w:color="auto" w:sz="4" w:space="0"/>
                  </w:tcBorders>
                  <w:noWrap w:val="0"/>
                  <w:vAlign w:val="center"/>
                </w:tcPr>
                <w:p w14:paraId="6734A11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FQ14</w:t>
                  </w:r>
                </w:p>
              </w:tc>
            </w:tr>
            <w:tr w14:paraId="09BF9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46" w:hRule="atLeast"/>
                <w:jc w:val="center"/>
              </w:trPr>
              <w:tc>
                <w:tcPr>
                  <w:tcW w:w="958" w:type="dxa"/>
                  <w:vMerge w:val="restart"/>
                  <w:tcBorders>
                    <w:top w:val="single" w:color="auto" w:sz="4" w:space="0"/>
                    <w:right w:val="single" w:color="auto" w:sz="4" w:space="0"/>
                  </w:tcBorders>
                  <w:noWrap w:val="0"/>
                  <w:vAlign w:val="center"/>
                </w:tcPr>
                <w:p w14:paraId="06D13535">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default"/>
                      <w:b/>
                      <w:bCs/>
                      <w:color w:val="auto"/>
                      <w:sz w:val="18"/>
                      <w:szCs w:val="18"/>
                      <w:highlight w:val="none"/>
                      <w:lang w:val="en-US" w:eastAsia="zh-CN"/>
                    </w:rPr>
                  </w:pPr>
                  <w:r>
                    <w:rPr>
                      <w:rFonts w:hint="eastAsia"/>
                      <w:b/>
                      <w:bCs/>
                      <w:color w:val="auto"/>
                      <w:sz w:val="18"/>
                      <w:szCs w:val="18"/>
                      <w:highlight w:val="none"/>
                      <w:lang w:val="en-US" w:eastAsia="zh-CN"/>
                    </w:rPr>
                    <w:t>合计</w:t>
                  </w:r>
                </w:p>
              </w:tc>
              <w:tc>
                <w:tcPr>
                  <w:tcW w:w="510" w:type="dxa"/>
                  <w:tcBorders>
                    <w:top w:val="single" w:color="auto" w:sz="4" w:space="0"/>
                    <w:left w:val="single" w:color="auto" w:sz="4" w:space="0"/>
                    <w:bottom w:val="single" w:color="auto" w:sz="4" w:space="0"/>
                    <w:right w:val="single" w:color="auto" w:sz="4" w:space="0"/>
                  </w:tcBorders>
                  <w:noWrap w:val="0"/>
                  <w:vAlign w:val="center"/>
                </w:tcPr>
                <w:p w14:paraId="734C73B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b/>
                      <w:bCs/>
                      <w:color w:val="auto"/>
                      <w:sz w:val="18"/>
                      <w:szCs w:val="18"/>
                      <w:highlight w:val="none"/>
                      <w:lang w:val="en-US" w:eastAsia="zh-CN"/>
                    </w:rPr>
                  </w:pPr>
                  <w:r>
                    <w:rPr>
                      <w:rFonts w:hint="eastAsia"/>
                      <w:b/>
                      <w:bCs/>
                      <w:color w:val="auto"/>
                      <w:sz w:val="18"/>
                      <w:szCs w:val="18"/>
                      <w:highlight w:val="none"/>
                      <w:lang w:val="en-US" w:eastAsia="zh-CN"/>
                    </w:rPr>
                    <w:t>非甲烷总烃</w:t>
                  </w:r>
                </w:p>
              </w:tc>
              <w:tc>
                <w:tcPr>
                  <w:tcW w:w="568" w:type="dxa"/>
                  <w:tcBorders>
                    <w:top w:val="single" w:color="auto" w:sz="4" w:space="0"/>
                    <w:left w:val="single" w:color="auto" w:sz="4" w:space="0"/>
                    <w:bottom w:val="single" w:color="auto" w:sz="4" w:space="0"/>
                    <w:right w:val="single" w:color="auto" w:sz="4" w:space="0"/>
                  </w:tcBorders>
                  <w:noWrap w:val="0"/>
                  <w:vAlign w:val="center"/>
                </w:tcPr>
                <w:p w14:paraId="20BC62C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69A57EC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28A1E71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795" w:type="dxa"/>
                  <w:tcBorders>
                    <w:top w:val="single" w:color="auto" w:sz="4" w:space="0"/>
                    <w:left w:val="single" w:color="auto" w:sz="4" w:space="0"/>
                    <w:bottom w:val="single" w:color="auto" w:sz="4" w:space="0"/>
                    <w:right w:val="single" w:color="auto" w:sz="4" w:space="0"/>
                  </w:tcBorders>
                  <w:noWrap w:val="0"/>
                  <w:vAlign w:val="center"/>
                </w:tcPr>
                <w:p w14:paraId="2F924B7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690" w:type="dxa"/>
                  <w:tcBorders>
                    <w:top w:val="single" w:color="auto" w:sz="4" w:space="0"/>
                    <w:left w:val="single" w:color="auto" w:sz="4" w:space="0"/>
                    <w:bottom w:val="single" w:color="auto" w:sz="4" w:space="0"/>
                    <w:right w:val="single" w:color="auto" w:sz="4" w:space="0"/>
                  </w:tcBorders>
                  <w:noWrap w:val="0"/>
                  <w:vAlign w:val="center"/>
                </w:tcPr>
                <w:p w14:paraId="107E7E8F">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cs="Times New Roman"/>
                      <w:b/>
                      <w:bCs/>
                      <w:i w:val="0"/>
                      <w:iCs w:val="0"/>
                      <w:color w:val="auto"/>
                      <w:kern w:val="0"/>
                      <w:sz w:val="18"/>
                      <w:szCs w:val="21"/>
                      <w:highlight w:val="none"/>
                      <w:u w:val="none"/>
                      <w:lang w:val="en-US" w:eastAsia="zh-CN" w:bidi="ar"/>
                    </w:rPr>
                  </w:pPr>
                  <w:r>
                    <w:rPr>
                      <w:rFonts w:hint="eastAsia" w:cs="Times New Roman"/>
                      <w:b/>
                      <w:bCs/>
                      <w:i w:val="0"/>
                      <w:iCs w:val="0"/>
                      <w:color w:val="auto"/>
                      <w:kern w:val="0"/>
                      <w:sz w:val="18"/>
                      <w:szCs w:val="21"/>
                      <w:highlight w:val="none"/>
                      <w:u w:val="none"/>
                      <w:lang w:val="en-US" w:eastAsia="zh-CN" w:bidi="ar"/>
                    </w:rPr>
                    <w:t>1.3778</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263DDA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465" w:type="dxa"/>
                  <w:tcBorders>
                    <w:top w:val="single" w:color="auto" w:sz="4" w:space="0"/>
                    <w:left w:val="single" w:color="auto" w:sz="4" w:space="0"/>
                    <w:bottom w:val="single" w:color="auto" w:sz="4" w:space="0"/>
                    <w:right w:val="single" w:color="auto" w:sz="4" w:space="0"/>
                  </w:tcBorders>
                  <w:noWrap w:val="0"/>
                  <w:vAlign w:val="center"/>
                </w:tcPr>
                <w:p w14:paraId="237F135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720" w:type="dxa"/>
                  <w:tcBorders>
                    <w:top w:val="single" w:color="auto" w:sz="4" w:space="0"/>
                    <w:left w:val="single" w:color="auto" w:sz="4" w:space="0"/>
                    <w:bottom w:val="single" w:color="auto" w:sz="4" w:space="0"/>
                    <w:right w:val="single" w:color="auto" w:sz="4" w:space="0"/>
                  </w:tcBorders>
                  <w:noWrap w:val="0"/>
                  <w:vAlign w:val="center"/>
                </w:tcPr>
                <w:p w14:paraId="371C1D9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3AC3CE1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w:t>
                  </w:r>
                </w:p>
              </w:tc>
              <w:tc>
                <w:tcPr>
                  <w:tcW w:w="661" w:type="dxa"/>
                  <w:tcBorders>
                    <w:top w:val="single" w:color="auto" w:sz="4" w:space="0"/>
                    <w:left w:val="single" w:color="auto" w:sz="4" w:space="0"/>
                    <w:bottom w:val="single" w:color="auto" w:sz="4" w:space="0"/>
                    <w:right w:val="single" w:color="auto" w:sz="4" w:space="0"/>
                  </w:tcBorders>
                  <w:noWrap w:val="0"/>
                  <w:vAlign w:val="center"/>
                </w:tcPr>
                <w:p w14:paraId="268BEFD2">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0.1378</w:t>
                  </w:r>
                </w:p>
              </w:tc>
              <w:tc>
                <w:tcPr>
                  <w:tcW w:w="433" w:type="dxa"/>
                  <w:tcBorders>
                    <w:top w:val="single" w:color="auto" w:sz="4" w:space="0"/>
                    <w:left w:val="single" w:color="auto" w:sz="4" w:space="0"/>
                    <w:bottom w:val="single" w:color="auto" w:sz="4" w:space="0"/>
                  </w:tcBorders>
                  <w:noWrap w:val="0"/>
                  <w:vAlign w:val="center"/>
                </w:tcPr>
                <w:p w14:paraId="2EBE1D7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r>
            <w:tr w14:paraId="443B1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46" w:hRule="atLeast"/>
                <w:jc w:val="center"/>
              </w:trPr>
              <w:tc>
                <w:tcPr>
                  <w:tcW w:w="958" w:type="dxa"/>
                  <w:vMerge w:val="continue"/>
                  <w:tcBorders>
                    <w:right w:val="single" w:color="auto" w:sz="4" w:space="0"/>
                  </w:tcBorders>
                  <w:noWrap w:val="0"/>
                  <w:vAlign w:val="center"/>
                </w:tcPr>
                <w:p w14:paraId="541AB207">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rPr>
                      <w:rFonts w:hint="eastAsia"/>
                      <w:b/>
                      <w:bCs/>
                      <w:color w:val="auto"/>
                      <w:sz w:val="18"/>
                      <w:szCs w:val="18"/>
                      <w:highlight w:val="none"/>
                      <w:lang w:val="en-US" w:eastAsia="zh-CN"/>
                    </w:rPr>
                  </w:pPr>
                </w:p>
              </w:tc>
              <w:tc>
                <w:tcPr>
                  <w:tcW w:w="510" w:type="dxa"/>
                  <w:tcBorders>
                    <w:top w:val="single" w:color="auto" w:sz="4" w:space="0"/>
                    <w:left w:val="single" w:color="auto" w:sz="4" w:space="0"/>
                    <w:bottom w:val="single" w:color="auto" w:sz="12" w:space="0"/>
                    <w:right w:val="single" w:color="auto" w:sz="4" w:space="0"/>
                  </w:tcBorders>
                  <w:noWrap w:val="0"/>
                  <w:vAlign w:val="center"/>
                </w:tcPr>
                <w:p w14:paraId="7429FE7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b/>
                      <w:bCs/>
                      <w:color w:val="auto"/>
                      <w:sz w:val="18"/>
                      <w:szCs w:val="18"/>
                      <w:highlight w:val="none"/>
                      <w:lang w:val="en-US" w:eastAsia="zh-CN"/>
                    </w:rPr>
                  </w:pPr>
                  <w:r>
                    <w:rPr>
                      <w:rFonts w:hint="eastAsia"/>
                      <w:b/>
                      <w:bCs/>
                      <w:color w:val="auto"/>
                      <w:sz w:val="18"/>
                      <w:szCs w:val="18"/>
                      <w:highlight w:val="none"/>
                      <w:lang w:val="en-US" w:eastAsia="zh-CN"/>
                    </w:rPr>
                    <w:t>颗粒物</w:t>
                  </w:r>
                </w:p>
              </w:tc>
              <w:tc>
                <w:tcPr>
                  <w:tcW w:w="568" w:type="dxa"/>
                  <w:tcBorders>
                    <w:top w:val="single" w:color="auto" w:sz="4" w:space="0"/>
                    <w:left w:val="single" w:color="auto" w:sz="4" w:space="0"/>
                    <w:bottom w:val="single" w:color="auto" w:sz="12" w:space="0"/>
                    <w:right w:val="single" w:color="auto" w:sz="4" w:space="0"/>
                  </w:tcBorders>
                  <w:noWrap w:val="0"/>
                  <w:vAlign w:val="center"/>
                </w:tcPr>
                <w:p w14:paraId="1614D94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600" w:type="dxa"/>
                  <w:tcBorders>
                    <w:top w:val="single" w:color="auto" w:sz="4" w:space="0"/>
                    <w:left w:val="single" w:color="auto" w:sz="4" w:space="0"/>
                    <w:right w:val="single" w:color="auto" w:sz="4" w:space="0"/>
                  </w:tcBorders>
                  <w:noWrap w:val="0"/>
                  <w:vAlign w:val="center"/>
                </w:tcPr>
                <w:p w14:paraId="0836F9C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750" w:type="dxa"/>
                  <w:tcBorders>
                    <w:top w:val="single" w:color="auto" w:sz="4" w:space="0"/>
                    <w:left w:val="single" w:color="auto" w:sz="4" w:space="0"/>
                    <w:right w:val="single" w:color="auto" w:sz="4" w:space="0"/>
                  </w:tcBorders>
                  <w:noWrap w:val="0"/>
                  <w:vAlign w:val="center"/>
                </w:tcPr>
                <w:p w14:paraId="59510DA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795" w:type="dxa"/>
                  <w:tcBorders>
                    <w:top w:val="single" w:color="auto" w:sz="4" w:space="0"/>
                    <w:left w:val="single" w:color="auto" w:sz="4" w:space="0"/>
                    <w:right w:val="single" w:color="auto" w:sz="4" w:space="0"/>
                  </w:tcBorders>
                  <w:noWrap w:val="0"/>
                  <w:vAlign w:val="center"/>
                </w:tcPr>
                <w:p w14:paraId="3937C49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690" w:type="dxa"/>
                  <w:tcBorders>
                    <w:top w:val="single" w:color="auto" w:sz="4" w:space="0"/>
                    <w:left w:val="single" w:color="auto" w:sz="4" w:space="0"/>
                    <w:right w:val="single" w:color="auto" w:sz="4" w:space="0"/>
                  </w:tcBorders>
                  <w:noWrap w:val="0"/>
                  <w:vAlign w:val="center"/>
                </w:tcPr>
                <w:p w14:paraId="1952E231">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cs="Times New Roman"/>
                      <w:b/>
                      <w:bCs/>
                      <w:i w:val="0"/>
                      <w:iCs w:val="0"/>
                      <w:color w:val="auto"/>
                      <w:kern w:val="0"/>
                      <w:sz w:val="18"/>
                      <w:szCs w:val="21"/>
                      <w:highlight w:val="none"/>
                      <w:u w:val="none"/>
                      <w:lang w:val="en-US" w:eastAsia="zh-CN" w:bidi="ar"/>
                    </w:rPr>
                  </w:pPr>
                  <w:r>
                    <w:rPr>
                      <w:rFonts w:hint="eastAsia" w:cs="Times New Roman"/>
                      <w:b/>
                      <w:bCs/>
                      <w:i w:val="0"/>
                      <w:iCs w:val="0"/>
                      <w:color w:val="auto"/>
                      <w:kern w:val="0"/>
                      <w:sz w:val="18"/>
                      <w:szCs w:val="21"/>
                      <w:highlight w:val="none"/>
                      <w:u w:val="none"/>
                      <w:lang w:val="en-US" w:eastAsia="zh-CN" w:bidi="ar"/>
                    </w:rPr>
                    <w:t>5.9376</w:t>
                  </w:r>
                </w:p>
              </w:tc>
              <w:tc>
                <w:tcPr>
                  <w:tcW w:w="1095" w:type="dxa"/>
                  <w:tcBorders>
                    <w:top w:val="single" w:color="auto" w:sz="4" w:space="0"/>
                    <w:left w:val="single" w:color="auto" w:sz="4" w:space="0"/>
                    <w:right w:val="single" w:color="auto" w:sz="4" w:space="0"/>
                  </w:tcBorders>
                  <w:noWrap w:val="0"/>
                  <w:vAlign w:val="center"/>
                </w:tcPr>
                <w:p w14:paraId="56913FC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465" w:type="dxa"/>
                  <w:tcBorders>
                    <w:top w:val="single" w:color="auto" w:sz="4" w:space="0"/>
                    <w:left w:val="single" w:color="auto" w:sz="4" w:space="0"/>
                    <w:right w:val="single" w:color="auto" w:sz="4" w:space="0"/>
                  </w:tcBorders>
                  <w:noWrap w:val="0"/>
                  <w:vAlign w:val="center"/>
                </w:tcPr>
                <w:p w14:paraId="32F8D92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c>
                <w:tcPr>
                  <w:tcW w:w="720" w:type="dxa"/>
                  <w:tcBorders>
                    <w:top w:val="single" w:color="auto" w:sz="4" w:space="0"/>
                    <w:left w:val="single" w:color="auto" w:sz="4" w:space="0"/>
                    <w:right w:val="single" w:color="auto" w:sz="4" w:space="0"/>
                  </w:tcBorders>
                  <w:noWrap w:val="0"/>
                  <w:vAlign w:val="center"/>
                </w:tcPr>
                <w:p w14:paraId="78C1E3A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w:t>
                  </w:r>
                </w:p>
              </w:tc>
              <w:tc>
                <w:tcPr>
                  <w:tcW w:w="750" w:type="dxa"/>
                  <w:tcBorders>
                    <w:top w:val="single" w:color="auto" w:sz="4" w:space="0"/>
                    <w:left w:val="single" w:color="auto" w:sz="4" w:space="0"/>
                    <w:right w:val="single" w:color="auto" w:sz="4" w:space="0"/>
                  </w:tcBorders>
                  <w:noWrap w:val="0"/>
                  <w:vAlign w:val="center"/>
                </w:tcPr>
                <w:p w14:paraId="2F539D0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bCs/>
                      <w:color w:val="auto"/>
                      <w:kern w:val="2"/>
                      <w:sz w:val="18"/>
                      <w:szCs w:val="18"/>
                      <w:highlight w:val="none"/>
                      <w:lang w:val="en-US" w:eastAsia="zh-CN" w:bidi="ar-SA"/>
                    </w:rPr>
                  </w:pPr>
                  <w:r>
                    <w:rPr>
                      <w:rFonts w:hint="eastAsia" w:cs="Times New Roman"/>
                      <w:b/>
                      <w:bCs/>
                      <w:color w:val="auto"/>
                      <w:kern w:val="2"/>
                      <w:sz w:val="18"/>
                      <w:szCs w:val="18"/>
                      <w:highlight w:val="none"/>
                      <w:lang w:val="en-US" w:eastAsia="zh-CN" w:bidi="ar-SA"/>
                    </w:rPr>
                    <w:t>/</w:t>
                  </w:r>
                </w:p>
              </w:tc>
              <w:tc>
                <w:tcPr>
                  <w:tcW w:w="661" w:type="dxa"/>
                  <w:tcBorders>
                    <w:top w:val="single" w:color="auto" w:sz="4" w:space="0"/>
                    <w:left w:val="single" w:color="auto" w:sz="4" w:space="0"/>
                    <w:right w:val="single" w:color="auto" w:sz="4" w:space="0"/>
                  </w:tcBorders>
                  <w:noWrap w:val="0"/>
                  <w:vAlign w:val="center"/>
                </w:tcPr>
                <w:p w14:paraId="2CD1629C">
                  <w:pPr>
                    <w:keepNext w:val="0"/>
                    <w:keepLines w:val="0"/>
                    <w:pageBreakBefore w:val="0"/>
                    <w:widowControl/>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0.1188</w:t>
                  </w:r>
                </w:p>
              </w:tc>
              <w:tc>
                <w:tcPr>
                  <w:tcW w:w="433" w:type="dxa"/>
                  <w:tcBorders>
                    <w:top w:val="single" w:color="auto" w:sz="4" w:space="0"/>
                    <w:left w:val="single" w:color="auto" w:sz="4" w:space="0"/>
                  </w:tcBorders>
                  <w:noWrap w:val="0"/>
                  <w:vAlign w:val="center"/>
                </w:tcPr>
                <w:p w14:paraId="65920F7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w:t>
                  </w:r>
                </w:p>
              </w:tc>
            </w:tr>
          </w:tbl>
          <w:p w14:paraId="6715A8AD">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3  </w:t>
            </w:r>
            <w:r>
              <w:rPr>
                <w:rFonts w:hint="default" w:ascii="Times New Roman" w:hAnsi="Times New Roman" w:eastAsia="宋体" w:cs="Times New Roman"/>
                <w:b/>
                <w:bCs/>
                <w:color w:val="auto"/>
                <w:kern w:val="2"/>
                <w:sz w:val="24"/>
                <w:szCs w:val="24"/>
                <w:highlight w:val="none"/>
                <w:lang w:val="en-US" w:eastAsia="zh-CN" w:bidi="ar-SA"/>
              </w:rPr>
              <w:t>全厂废气产生及排放情况</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375"/>
              <w:gridCol w:w="510"/>
              <w:gridCol w:w="1191"/>
              <w:gridCol w:w="720"/>
              <w:gridCol w:w="1080"/>
              <w:gridCol w:w="960"/>
              <w:gridCol w:w="840"/>
              <w:gridCol w:w="1414"/>
              <w:gridCol w:w="801"/>
            </w:tblGrid>
            <w:tr w14:paraId="4A1A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top w:val="single" w:color="auto" w:sz="12" w:space="0"/>
                    <w:right w:val="single" w:color="auto" w:sz="4" w:space="0"/>
                  </w:tcBorders>
                  <w:vAlign w:val="center"/>
                </w:tcPr>
                <w:p w14:paraId="1EC0853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eastAsia="宋体"/>
                      <w:b/>
                      <w:bCs/>
                      <w:color w:val="auto"/>
                      <w:sz w:val="18"/>
                      <w:highlight w:val="none"/>
                      <w:vertAlign w:val="baseline"/>
                      <w:lang w:val="en-US" w:eastAsia="zh-CN"/>
                    </w:rPr>
                  </w:pPr>
                  <w:r>
                    <w:rPr>
                      <w:rFonts w:hint="eastAsia"/>
                      <w:b/>
                      <w:bCs/>
                      <w:color w:val="auto"/>
                      <w:sz w:val="18"/>
                      <w:highlight w:val="none"/>
                      <w:vertAlign w:val="baseline"/>
                      <w:lang w:val="en-US" w:eastAsia="zh-CN"/>
                    </w:rPr>
                    <w:t>污染源</w:t>
                  </w:r>
                </w:p>
              </w:tc>
              <w:tc>
                <w:tcPr>
                  <w:tcW w:w="483" w:type="pct"/>
                  <w:gridSpan w:val="2"/>
                  <w:tcBorders>
                    <w:top w:val="single" w:color="auto" w:sz="12" w:space="0"/>
                    <w:left w:val="single" w:color="auto" w:sz="4" w:space="0"/>
                    <w:right w:val="single" w:color="auto" w:sz="4" w:space="0"/>
                  </w:tcBorders>
                  <w:vAlign w:val="center"/>
                </w:tcPr>
                <w:p w14:paraId="296685F7">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eastAsia="宋体"/>
                      <w:b/>
                      <w:bCs/>
                      <w:color w:val="auto"/>
                      <w:sz w:val="18"/>
                      <w:highlight w:val="none"/>
                      <w:vertAlign w:val="baseline"/>
                      <w:lang w:val="en-US" w:eastAsia="zh-CN"/>
                    </w:rPr>
                  </w:pPr>
                  <w:r>
                    <w:rPr>
                      <w:rFonts w:hint="eastAsia"/>
                      <w:b/>
                      <w:bCs/>
                      <w:color w:val="auto"/>
                      <w:sz w:val="18"/>
                      <w:highlight w:val="none"/>
                      <w:vertAlign w:val="baseline"/>
                      <w:lang w:val="en-US" w:eastAsia="zh-CN"/>
                    </w:rPr>
                    <w:t>污染因子</w:t>
                  </w:r>
                </w:p>
              </w:tc>
              <w:tc>
                <w:tcPr>
                  <w:tcW w:w="650" w:type="pct"/>
                  <w:tcBorders>
                    <w:top w:val="single" w:color="auto" w:sz="12" w:space="0"/>
                    <w:left w:val="single" w:color="auto" w:sz="4" w:space="0"/>
                    <w:right w:val="single" w:color="auto" w:sz="4" w:space="0"/>
                  </w:tcBorders>
                  <w:vAlign w:val="center"/>
                </w:tcPr>
                <w:p w14:paraId="54F31A8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eastAsia="宋体"/>
                      <w:b/>
                      <w:bCs/>
                      <w:color w:val="auto"/>
                      <w:sz w:val="18"/>
                      <w:highlight w:val="none"/>
                      <w:vertAlign w:val="baseline"/>
                      <w:lang w:val="en-US" w:eastAsia="zh-CN"/>
                    </w:rPr>
                  </w:pPr>
                  <w:r>
                    <w:rPr>
                      <w:rFonts w:hint="eastAsia"/>
                      <w:b/>
                      <w:bCs/>
                      <w:color w:val="auto"/>
                      <w:sz w:val="18"/>
                      <w:highlight w:val="none"/>
                      <w:vertAlign w:val="baseline"/>
                      <w:lang w:val="en-US" w:eastAsia="zh-CN"/>
                    </w:rPr>
                    <w:t>治理设施</w:t>
                  </w:r>
                </w:p>
              </w:tc>
              <w:tc>
                <w:tcPr>
                  <w:tcW w:w="393" w:type="pct"/>
                  <w:tcBorders>
                    <w:top w:val="single" w:color="auto" w:sz="12" w:space="0"/>
                    <w:left w:val="single" w:color="auto" w:sz="4" w:space="0"/>
                    <w:right w:val="single" w:color="auto" w:sz="4" w:space="0"/>
                  </w:tcBorders>
                  <w:vAlign w:val="center"/>
                </w:tcPr>
                <w:p w14:paraId="6F2CFF9E">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eastAsia="宋体"/>
                      <w:b/>
                      <w:bCs/>
                      <w:color w:val="auto"/>
                      <w:sz w:val="18"/>
                      <w:highlight w:val="none"/>
                      <w:vertAlign w:val="baseline"/>
                      <w:lang w:val="en-US" w:eastAsia="zh-CN"/>
                    </w:rPr>
                  </w:pPr>
                  <w:r>
                    <w:rPr>
                      <w:rFonts w:hint="eastAsia"/>
                      <w:b/>
                      <w:bCs/>
                      <w:color w:val="auto"/>
                      <w:sz w:val="18"/>
                      <w:highlight w:val="none"/>
                      <w:vertAlign w:val="baseline"/>
                      <w:lang w:val="en-US" w:eastAsia="zh-CN"/>
                    </w:rPr>
                    <w:t>处理效率</w:t>
                  </w:r>
                </w:p>
              </w:tc>
              <w:tc>
                <w:tcPr>
                  <w:tcW w:w="589" w:type="pct"/>
                  <w:tcBorders>
                    <w:top w:val="single" w:color="auto" w:sz="12" w:space="0"/>
                    <w:left w:val="single" w:color="auto" w:sz="4" w:space="0"/>
                    <w:right w:val="single" w:color="auto" w:sz="4" w:space="0"/>
                  </w:tcBorders>
                  <w:vAlign w:val="center"/>
                </w:tcPr>
                <w:p w14:paraId="7DC7A177">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eastAsia="宋体"/>
                      <w:b/>
                      <w:bCs/>
                      <w:color w:val="auto"/>
                      <w:sz w:val="18"/>
                      <w:highlight w:val="none"/>
                      <w:vertAlign w:val="baseline"/>
                      <w:lang w:val="en-US" w:eastAsia="zh-CN"/>
                    </w:rPr>
                  </w:pPr>
                  <w:r>
                    <w:rPr>
                      <w:rFonts w:hint="eastAsia"/>
                      <w:b/>
                      <w:bCs/>
                      <w:color w:val="auto"/>
                      <w:sz w:val="18"/>
                      <w:highlight w:val="none"/>
                      <w:vertAlign w:val="baseline"/>
                      <w:lang w:val="en-US" w:eastAsia="zh-CN"/>
                    </w:rPr>
                    <w:t>风量（Nm</w:t>
                  </w:r>
                  <w:r>
                    <w:rPr>
                      <w:rFonts w:hint="eastAsia"/>
                      <w:b/>
                      <w:bCs/>
                      <w:color w:val="auto"/>
                      <w:sz w:val="18"/>
                      <w:highlight w:val="none"/>
                      <w:vertAlign w:val="superscript"/>
                      <w:lang w:val="en-US" w:eastAsia="zh-CN"/>
                    </w:rPr>
                    <w:t>3</w:t>
                  </w:r>
                  <w:r>
                    <w:rPr>
                      <w:rFonts w:hint="eastAsia"/>
                      <w:b/>
                      <w:bCs/>
                      <w:color w:val="auto"/>
                      <w:sz w:val="18"/>
                      <w:highlight w:val="none"/>
                      <w:vertAlign w:val="baseline"/>
                      <w:lang w:val="en-US" w:eastAsia="zh-CN"/>
                    </w:rPr>
                    <w:t>/h）</w:t>
                  </w:r>
                </w:p>
              </w:tc>
              <w:tc>
                <w:tcPr>
                  <w:tcW w:w="524" w:type="pct"/>
                  <w:tcBorders>
                    <w:top w:val="single" w:color="auto" w:sz="12" w:space="0"/>
                    <w:left w:val="single" w:color="auto" w:sz="4" w:space="0"/>
                    <w:right w:val="single" w:color="auto" w:sz="4" w:space="0"/>
                  </w:tcBorders>
                  <w:vAlign w:val="center"/>
                </w:tcPr>
                <w:p w14:paraId="3885E326">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eastAsia="宋体"/>
                      <w:b/>
                      <w:bCs/>
                      <w:color w:val="auto"/>
                      <w:sz w:val="18"/>
                      <w:highlight w:val="none"/>
                      <w:vertAlign w:val="baseline"/>
                      <w:lang w:val="en-US" w:eastAsia="zh-CN"/>
                    </w:rPr>
                  </w:pPr>
                  <w:r>
                    <w:rPr>
                      <w:rFonts w:hint="eastAsia"/>
                      <w:b/>
                      <w:bCs/>
                      <w:color w:val="auto"/>
                      <w:sz w:val="18"/>
                      <w:highlight w:val="none"/>
                      <w:vertAlign w:val="baseline"/>
                      <w:lang w:val="en-US" w:eastAsia="zh-CN"/>
                    </w:rPr>
                    <w:t>年运行时间（h/a）</w:t>
                  </w:r>
                </w:p>
              </w:tc>
              <w:tc>
                <w:tcPr>
                  <w:tcW w:w="458" w:type="pct"/>
                  <w:tcBorders>
                    <w:top w:val="single" w:color="auto" w:sz="12" w:space="0"/>
                    <w:left w:val="single" w:color="auto" w:sz="4" w:space="0"/>
                    <w:right w:val="single" w:color="auto" w:sz="4" w:space="0"/>
                  </w:tcBorders>
                  <w:vAlign w:val="center"/>
                </w:tcPr>
                <w:p w14:paraId="04C4BB29">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eastAsia="宋体"/>
                      <w:b/>
                      <w:bCs/>
                      <w:color w:val="auto"/>
                      <w:sz w:val="18"/>
                      <w:highlight w:val="none"/>
                      <w:vertAlign w:val="baseline"/>
                      <w:lang w:val="en-US" w:eastAsia="zh-CN"/>
                    </w:rPr>
                  </w:pPr>
                  <w:r>
                    <w:rPr>
                      <w:rFonts w:hint="eastAsia"/>
                      <w:b/>
                      <w:bCs/>
                      <w:color w:val="auto"/>
                      <w:sz w:val="18"/>
                      <w:highlight w:val="none"/>
                      <w:vertAlign w:val="baseline"/>
                      <w:lang w:val="en-US" w:eastAsia="zh-CN"/>
                    </w:rPr>
                    <w:t>排放口</w:t>
                  </w:r>
                </w:p>
              </w:tc>
              <w:tc>
                <w:tcPr>
                  <w:tcW w:w="771" w:type="pct"/>
                  <w:tcBorders>
                    <w:top w:val="single" w:color="auto" w:sz="12" w:space="0"/>
                    <w:left w:val="single" w:color="auto" w:sz="4" w:space="0"/>
                    <w:right w:val="single" w:color="auto" w:sz="4" w:space="0"/>
                  </w:tcBorders>
                  <w:vAlign w:val="center"/>
                </w:tcPr>
                <w:p w14:paraId="39460F05">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eastAsia="宋体"/>
                      <w:b/>
                      <w:bCs/>
                      <w:color w:val="auto"/>
                      <w:sz w:val="18"/>
                      <w:highlight w:val="none"/>
                      <w:vertAlign w:val="baseline"/>
                      <w:lang w:val="en-US" w:eastAsia="zh-CN"/>
                    </w:rPr>
                  </w:pPr>
                  <w:r>
                    <w:rPr>
                      <w:rFonts w:hint="eastAsia"/>
                      <w:b/>
                      <w:bCs/>
                      <w:color w:val="auto"/>
                      <w:sz w:val="18"/>
                      <w:highlight w:val="none"/>
                      <w:vertAlign w:val="baseline"/>
                      <w:lang w:val="en-US" w:eastAsia="zh-CN"/>
                    </w:rPr>
                    <w:t>执行标准</w:t>
                  </w:r>
                </w:p>
              </w:tc>
              <w:tc>
                <w:tcPr>
                  <w:tcW w:w="437" w:type="pct"/>
                  <w:tcBorders>
                    <w:top w:val="single" w:color="auto" w:sz="12" w:space="0"/>
                    <w:left w:val="single" w:color="auto" w:sz="4" w:space="0"/>
                    <w:right w:val="nil"/>
                  </w:tcBorders>
                  <w:vAlign w:val="center"/>
                </w:tcPr>
                <w:p w14:paraId="183A875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eastAsia="宋体"/>
                      <w:b/>
                      <w:bCs/>
                      <w:color w:val="auto"/>
                      <w:sz w:val="18"/>
                      <w:highlight w:val="none"/>
                      <w:vertAlign w:val="baseline"/>
                      <w:lang w:val="en-US" w:eastAsia="zh-CN"/>
                    </w:rPr>
                  </w:pPr>
                  <w:r>
                    <w:rPr>
                      <w:rFonts w:hint="eastAsia"/>
                      <w:b/>
                      <w:bCs/>
                      <w:color w:val="auto"/>
                      <w:sz w:val="18"/>
                      <w:highlight w:val="none"/>
                      <w:vertAlign w:val="baseline"/>
                      <w:lang w:val="en-US" w:eastAsia="zh-CN"/>
                    </w:rPr>
                    <w:t>排放量(t/a)</w:t>
                  </w:r>
                </w:p>
              </w:tc>
            </w:tr>
            <w:tr w14:paraId="1AF4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restart"/>
                  <w:tcBorders>
                    <w:left w:val="nil"/>
                    <w:right w:val="single" w:color="auto" w:sz="4" w:space="0"/>
                  </w:tcBorders>
                  <w:vAlign w:val="center"/>
                </w:tcPr>
                <w:p w14:paraId="6E7641C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b w:val="0"/>
                      <w:bCs w:val="0"/>
                      <w:color w:val="auto"/>
                      <w:sz w:val="18"/>
                      <w:szCs w:val="21"/>
                      <w:highlight w:val="none"/>
                      <w:lang w:val="en-US" w:eastAsia="zh-CN"/>
                    </w:rPr>
                  </w:pPr>
                  <w:r>
                    <w:rPr>
                      <w:rFonts w:hint="eastAsia" w:cs="Times New Roman"/>
                      <w:color w:val="auto"/>
                      <w:sz w:val="18"/>
                      <w:szCs w:val="18"/>
                      <w:highlight w:val="none"/>
                      <w:lang w:val="en-US" w:eastAsia="zh-CN"/>
                    </w:rPr>
                    <w:t>3号楼1#线3D打印</w:t>
                  </w:r>
                  <w:r>
                    <w:rPr>
                      <w:rFonts w:hint="default" w:ascii="Times New Roman" w:hAnsi="Times New Roman" w:eastAsia="宋体" w:cs="Times New Roman"/>
                      <w:color w:val="auto"/>
                      <w:sz w:val="18"/>
                      <w:szCs w:val="18"/>
                      <w:highlight w:val="none"/>
                      <w:lang w:val="en-US" w:eastAsia="zh-CN"/>
                    </w:rPr>
                    <w:t>、甩干废气、后处理线废气以及室温搅拌废气和注塑成型废气</w:t>
                  </w:r>
                </w:p>
              </w:tc>
              <w:tc>
                <w:tcPr>
                  <w:tcW w:w="483" w:type="pct"/>
                  <w:gridSpan w:val="2"/>
                  <w:tcBorders>
                    <w:left w:val="single" w:color="auto" w:sz="4" w:space="0"/>
                    <w:right w:val="single" w:color="auto" w:sz="4" w:space="0"/>
                  </w:tcBorders>
                  <w:vAlign w:val="center"/>
                </w:tcPr>
                <w:p w14:paraId="6152BF8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非甲烷总烃</w:t>
                  </w:r>
                </w:p>
              </w:tc>
              <w:tc>
                <w:tcPr>
                  <w:tcW w:w="650" w:type="pct"/>
                  <w:vMerge w:val="restart"/>
                  <w:tcBorders>
                    <w:left w:val="single" w:color="auto" w:sz="4" w:space="0"/>
                    <w:right w:val="single" w:color="auto" w:sz="4" w:space="0"/>
                  </w:tcBorders>
                  <w:vAlign w:val="center"/>
                </w:tcPr>
                <w:p w14:paraId="1BF24AD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一级碱喷淋+一级水喷淋+ 除雾器+二级活性炭</w:t>
                  </w:r>
                </w:p>
              </w:tc>
              <w:tc>
                <w:tcPr>
                  <w:tcW w:w="393" w:type="pct"/>
                  <w:vMerge w:val="restart"/>
                  <w:tcBorders>
                    <w:left w:val="single" w:color="auto" w:sz="4" w:space="0"/>
                    <w:right w:val="single" w:color="auto" w:sz="4" w:space="0"/>
                  </w:tcBorders>
                  <w:vAlign w:val="center"/>
                </w:tcPr>
                <w:p w14:paraId="514B81D6">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90%</w:t>
                  </w:r>
                </w:p>
              </w:tc>
              <w:tc>
                <w:tcPr>
                  <w:tcW w:w="589" w:type="pct"/>
                  <w:vMerge w:val="restart"/>
                  <w:tcBorders>
                    <w:left w:val="single" w:color="auto" w:sz="4" w:space="0"/>
                    <w:right w:val="single" w:color="auto" w:sz="4" w:space="0"/>
                  </w:tcBorders>
                  <w:vAlign w:val="center"/>
                </w:tcPr>
                <w:p w14:paraId="7AEAE8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kern w:val="0"/>
                      <w:sz w:val="18"/>
                      <w:szCs w:val="18"/>
                      <w:highlight w:val="none"/>
                      <w:lang w:val="en-US" w:eastAsia="zh-CN" w:bidi="ar"/>
                    </w:rPr>
                    <w:t>26000</w:t>
                  </w:r>
                </w:p>
              </w:tc>
              <w:tc>
                <w:tcPr>
                  <w:tcW w:w="524" w:type="pct"/>
                  <w:vMerge w:val="restart"/>
                  <w:tcBorders>
                    <w:left w:val="single" w:color="auto" w:sz="4" w:space="0"/>
                    <w:right w:val="single" w:color="auto" w:sz="4" w:space="0"/>
                  </w:tcBorders>
                  <w:vAlign w:val="center"/>
                </w:tcPr>
                <w:p w14:paraId="5F9097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kern w:val="0"/>
                      <w:sz w:val="18"/>
                      <w:szCs w:val="18"/>
                      <w:highlight w:val="none"/>
                      <w:lang w:val="en-US" w:eastAsia="zh-CN" w:bidi="ar"/>
                    </w:rPr>
                    <w:t>1800</w:t>
                  </w:r>
                </w:p>
              </w:tc>
              <w:tc>
                <w:tcPr>
                  <w:tcW w:w="458" w:type="pct"/>
                  <w:vMerge w:val="restart"/>
                  <w:tcBorders>
                    <w:left w:val="single" w:color="auto" w:sz="4" w:space="0"/>
                    <w:right w:val="single" w:color="auto" w:sz="4" w:space="0"/>
                  </w:tcBorders>
                  <w:vAlign w:val="center"/>
                </w:tcPr>
                <w:p w14:paraId="675CA9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kern w:val="0"/>
                      <w:sz w:val="18"/>
                      <w:szCs w:val="18"/>
                      <w:highlight w:val="none"/>
                      <w:lang w:bidi="ar"/>
                    </w:rPr>
                    <w:t>FQ01</w:t>
                  </w:r>
                </w:p>
              </w:tc>
              <w:tc>
                <w:tcPr>
                  <w:tcW w:w="771" w:type="pct"/>
                  <w:vMerge w:val="restart"/>
                  <w:tcBorders>
                    <w:left w:val="single" w:color="auto" w:sz="4" w:space="0"/>
                    <w:right w:val="single" w:color="auto" w:sz="4" w:space="0"/>
                  </w:tcBorders>
                  <w:vAlign w:val="center"/>
                </w:tcPr>
                <w:p w14:paraId="429B1BC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r>
                    <w:rPr>
                      <w:rFonts w:hint="default"/>
                      <w:color w:val="auto"/>
                      <w:sz w:val="18"/>
                      <w:highlight w:val="none"/>
                      <w:vertAlign w:val="baseline"/>
                      <w:lang w:eastAsia="zh-CN"/>
                    </w:rPr>
                    <w:t>《合成树脂工业污染物排放标准》（GB31572-2015）（</w:t>
                  </w:r>
                  <w:r>
                    <w:rPr>
                      <w:rFonts w:hint="default"/>
                      <w:color w:val="auto"/>
                      <w:sz w:val="18"/>
                      <w:highlight w:val="none"/>
                      <w:vertAlign w:val="baseline"/>
                      <w:lang w:val="en-US" w:eastAsia="zh-CN"/>
                    </w:rPr>
                    <w:t>含2024年修改单</w:t>
                  </w:r>
                  <w:r>
                    <w:rPr>
                      <w:rFonts w:hint="default"/>
                      <w:color w:val="auto"/>
                      <w:sz w:val="18"/>
                      <w:highlight w:val="none"/>
                      <w:vertAlign w:val="baseline"/>
                      <w:lang w:eastAsia="zh-CN"/>
                    </w:rPr>
                    <w:t>）表5中标准</w:t>
                  </w:r>
                </w:p>
              </w:tc>
              <w:tc>
                <w:tcPr>
                  <w:tcW w:w="801" w:type="dxa"/>
                  <w:vMerge w:val="restart"/>
                  <w:tcBorders>
                    <w:left w:val="single" w:color="auto" w:sz="4" w:space="0"/>
                    <w:right w:val="nil"/>
                  </w:tcBorders>
                  <w:vAlign w:val="center"/>
                </w:tcPr>
                <w:p w14:paraId="19C478A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cs="Times New Roman"/>
                      <w:b w:val="0"/>
                      <w:bCs w:val="0"/>
                      <w:color w:val="auto"/>
                      <w:sz w:val="18"/>
                      <w:szCs w:val="18"/>
                      <w:highlight w:val="none"/>
                      <w:lang w:val="en-US" w:eastAsia="zh-CN"/>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0.0417</w:t>
                  </w:r>
                </w:p>
              </w:tc>
            </w:tr>
            <w:tr w14:paraId="66B0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left w:val="nil"/>
                    <w:right w:val="single" w:color="auto" w:sz="4" w:space="0"/>
                  </w:tcBorders>
                  <w:vAlign w:val="center"/>
                </w:tcPr>
                <w:p w14:paraId="1BC2C0E8">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s="Times New Roman"/>
                      <w:color w:val="auto"/>
                      <w:sz w:val="18"/>
                      <w:szCs w:val="18"/>
                      <w:highlight w:val="none"/>
                      <w:lang w:val="en-US" w:eastAsia="zh-CN"/>
                    </w:rPr>
                  </w:pPr>
                </w:p>
              </w:tc>
              <w:tc>
                <w:tcPr>
                  <w:tcW w:w="204" w:type="pct"/>
                  <w:vMerge w:val="restart"/>
                  <w:tcBorders>
                    <w:left w:val="single" w:color="auto" w:sz="4" w:space="0"/>
                    <w:right w:val="single" w:color="auto" w:sz="4" w:space="0"/>
                  </w:tcBorders>
                  <w:vAlign w:val="center"/>
                </w:tcPr>
                <w:p w14:paraId="45C71AE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eastAsia="zh-CN"/>
                    </w:rPr>
                    <w:t>包含</w:t>
                  </w:r>
                </w:p>
              </w:tc>
              <w:tc>
                <w:tcPr>
                  <w:tcW w:w="278" w:type="pct"/>
                  <w:vMerge w:val="restart"/>
                  <w:tcBorders>
                    <w:left w:val="single" w:color="auto" w:sz="4" w:space="0"/>
                    <w:right w:val="single" w:color="auto" w:sz="4" w:space="0"/>
                  </w:tcBorders>
                  <w:vAlign w:val="center"/>
                </w:tcPr>
                <w:p w14:paraId="621707B7">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eastAsia="zh-CN"/>
                    </w:rPr>
                    <w:t>酚类</w:t>
                  </w:r>
                </w:p>
              </w:tc>
              <w:tc>
                <w:tcPr>
                  <w:tcW w:w="650" w:type="pct"/>
                  <w:vMerge w:val="continue"/>
                  <w:tcBorders>
                    <w:left w:val="single" w:color="auto" w:sz="4" w:space="0"/>
                    <w:right w:val="single" w:color="auto" w:sz="4" w:space="0"/>
                  </w:tcBorders>
                  <w:vAlign w:val="center"/>
                </w:tcPr>
                <w:p w14:paraId="2CD567D4">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393" w:type="pct"/>
                  <w:vMerge w:val="continue"/>
                  <w:tcBorders>
                    <w:left w:val="single" w:color="auto" w:sz="4" w:space="0"/>
                    <w:right w:val="single" w:color="auto" w:sz="4" w:space="0"/>
                  </w:tcBorders>
                  <w:vAlign w:val="center"/>
                </w:tcPr>
                <w:p w14:paraId="3A9E1D9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89" w:type="pct"/>
                  <w:vMerge w:val="continue"/>
                  <w:tcBorders>
                    <w:left w:val="single" w:color="auto" w:sz="4" w:space="0"/>
                    <w:right w:val="single" w:color="auto" w:sz="4" w:space="0"/>
                  </w:tcBorders>
                  <w:vAlign w:val="center"/>
                </w:tcPr>
                <w:p w14:paraId="06567065">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24" w:type="pct"/>
                  <w:vMerge w:val="continue"/>
                  <w:tcBorders>
                    <w:left w:val="single" w:color="auto" w:sz="4" w:space="0"/>
                    <w:right w:val="single" w:color="auto" w:sz="4" w:space="0"/>
                  </w:tcBorders>
                  <w:vAlign w:val="center"/>
                </w:tcPr>
                <w:p w14:paraId="59532A0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458" w:type="pct"/>
                  <w:vMerge w:val="continue"/>
                  <w:tcBorders>
                    <w:left w:val="single" w:color="auto" w:sz="4" w:space="0"/>
                    <w:right w:val="single" w:color="auto" w:sz="4" w:space="0"/>
                  </w:tcBorders>
                  <w:vAlign w:val="center"/>
                </w:tcPr>
                <w:p w14:paraId="4BEB1A9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eastAsia"/>
                      <w:color w:val="auto"/>
                      <w:sz w:val="18"/>
                      <w:highlight w:val="none"/>
                      <w:vertAlign w:val="baseline"/>
                      <w:lang w:val="en-US" w:eastAsia="zh-CN"/>
                    </w:rPr>
                  </w:pPr>
                </w:p>
              </w:tc>
              <w:tc>
                <w:tcPr>
                  <w:tcW w:w="771" w:type="pct"/>
                  <w:vMerge w:val="continue"/>
                  <w:tcBorders>
                    <w:left w:val="single" w:color="auto" w:sz="4" w:space="0"/>
                    <w:right w:val="single" w:color="auto" w:sz="4" w:space="0"/>
                  </w:tcBorders>
                  <w:vAlign w:val="center"/>
                </w:tcPr>
                <w:p w14:paraId="1614915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p>
              </w:tc>
              <w:tc>
                <w:tcPr>
                  <w:tcW w:w="437" w:type="pct"/>
                  <w:vMerge w:val="continue"/>
                  <w:tcBorders>
                    <w:left w:val="single" w:color="auto" w:sz="4" w:space="0"/>
                    <w:right w:val="nil"/>
                  </w:tcBorders>
                  <w:vAlign w:val="center"/>
                </w:tcPr>
                <w:p w14:paraId="73F7B4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s="Times New Roman"/>
                      <w:b w:val="0"/>
                      <w:bCs w:val="0"/>
                      <w:color w:val="auto"/>
                      <w:sz w:val="18"/>
                      <w:szCs w:val="18"/>
                      <w:highlight w:val="none"/>
                      <w:lang w:val="en-US" w:eastAsia="zh-CN"/>
                    </w:rPr>
                  </w:pPr>
                </w:p>
              </w:tc>
            </w:tr>
            <w:tr w14:paraId="6F4A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left w:val="nil"/>
                    <w:right w:val="single" w:color="auto" w:sz="4" w:space="0"/>
                  </w:tcBorders>
                  <w:vAlign w:val="center"/>
                </w:tcPr>
                <w:p w14:paraId="5C31694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s="Times New Roman"/>
                      <w:color w:val="auto"/>
                      <w:sz w:val="18"/>
                      <w:szCs w:val="18"/>
                      <w:highlight w:val="none"/>
                      <w:lang w:val="en-US" w:eastAsia="zh-CN"/>
                    </w:rPr>
                  </w:pPr>
                </w:p>
              </w:tc>
              <w:tc>
                <w:tcPr>
                  <w:tcW w:w="204" w:type="pct"/>
                  <w:vMerge w:val="continue"/>
                  <w:tcBorders>
                    <w:left w:val="single" w:color="auto" w:sz="4" w:space="0"/>
                    <w:right w:val="single" w:color="auto" w:sz="4" w:space="0"/>
                  </w:tcBorders>
                  <w:vAlign w:val="center"/>
                </w:tcPr>
                <w:p w14:paraId="5B49615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18"/>
                      <w:szCs w:val="18"/>
                      <w:highlight w:val="none"/>
                      <w:lang w:eastAsia="zh-CN"/>
                    </w:rPr>
                  </w:pPr>
                </w:p>
              </w:tc>
              <w:tc>
                <w:tcPr>
                  <w:tcW w:w="278" w:type="pct"/>
                  <w:vMerge w:val="continue"/>
                  <w:tcBorders>
                    <w:left w:val="single" w:color="auto" w:sz="4" w:space="0"/>
                    <w:right w:val="single" w:color="auto" w:sz="4" w:space="0"/>
                  </w:tcBorders>
                  <w:vAlign w:val="center"/>
                </w:tcPr>
                <w:p w14:paraId="6790C44B">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18"/>
                      <w:szCs w:val="18"/>
                      <w:highlight w:val="none"/>
                      <w:lang w:eastAsia="zh-CN"/>
                    </w:rPr>
                  </w:pPr>
                </w:p>
              </w:tc>
              <w:tc>
                <w:tcPr>
                  <w:tcW w:w="650" w:type="pct"/>
                  <w:vMerge w:val="continue"/>
                  <w:tcBorders>
                    <w:left w:val="single" w:color="auto" w:sz="4" w:space="0"/>
                    <w:right w:val="single" w:color="auto" w:sz="4" w:space="0"/>
                  </w:tcBorders>
                  <w:vAlign w:val="center"/>
                </w:tcPr>
                <w:p w14:paraId="5DF0E1F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393" w:type="pct"/>
                  <w:vMerge w:val="continue"/>
                  <w:tcBorders>
                    <w:left w:val="single" w:color="auto" w:sz="4" w:space="0"/>
                    <w:right w:val="single" w:color="auto" w:sz="4" w:space="0"/>
                  </w:tcBorders>
                  <w:vAlign w:val="center"/>
                </w:tcPr>
                <w:p w14:paraId="39A0792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89" w:type="pct"/>
                  <w:vMerge w:val="continue"/>
                  <w:tcBorders>
                    <w:left w:val="single" w:color="auto" w:sz="4" w:space="0"/>
                    <w:right w:val="single" w:color="auto" w:sz="4" w:space="0"/>
                  </w:tcBorders>
                  <w:vAlign w:val="center"/>
                </w:tcPr>
                <w:p w14:paraId="4B1C692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24" w:type="pct"/>
                  <w:vMerge w:val="continue"/>
                  <w:tcBorders>
                    <w:left w:val="single" w:color="auto" w:sz="4" w:space="0"/>
                    <w:right w:val="single" w:color="auto" w:sz="4" w:space="0"/>
                  </w:tcBorders>
                  <w:vAlign w:val="center"/>
                </w:tcPr>
                <w:p w14:paraId="46008C4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458" w:type="pct"/>
                  <w:vMerge w:val="continue"/>
                  <w:tcBorders>
                    <w:left w:val="single" w:color="auto" w:sz="4" w:space="0"/>
                    <w:right w:val="single" w:color="auto" w:sz="4" w:space="0"/>
                  </w:tcBorders>
                  <w:vAlign w:val="center"/>
                </w:tcPr>
                <w:p w14:paraId="7AFAA58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eastAsia"/>
                      <w:color w:val="auto"/>
                      <w:sz w:val="18"/>
                      <w:highlight w:val="none"/>
                      <w:vertAlign w:val="baseline"/>
                      <w:lang w:val="en-US" w:eastAsia="zh-CN"/>
                    </w:rPr>
                  </w:pPr>
                </w:p>
              </w:tc>
              <w:tc>
                <w:tcPr>
                  <w:tcW w:w="771" w:type="pct"/>
                  <w:vMerge w:val="continue"/>
                  <w:tcBorders>
                    <w:left w:val="single" w:color="auto" w:sz="4" w:space="0"/>
                    <w:right w:val="single" w:color="auto" w:sz="4" w:space="0"/>
                  </w:tcBorders>
                  <w:vAlign w:val="center"/>
                </w:tcPr>
                <w:p w14:paraId="03CF7C1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p>
              </w:tc>
              <w:tc>
                <w:tcPr>
                  <w:tcW w:w="801" w:type="dxa"/>
                  <w:tcBorders>
                    <w:left w:val="single" w:color="auto" w:sz="4" w:space="0"/>
                    <w:right w:val="nil"/>
                  </w:tcBorders>
                  <w:vAlign w:val="center"/>
                </w:tcPr>
                <w:p w14:paraId="51AA40A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cs="Times New Roman"/>
                      <w:b w:val="0"/>
                      <w:bCs w:val="0"/>
                      <w:color w:val="auto"/>
                      <w:sz w:val="18"/>
                      <w:szCs w:val="18"/>
                      <w:highlight w:val="none"/>
                      <w:lang w:val="en-US" w:eastAsia="zh-CN"/>
                    </w:rPr>
                  </w:pPr>
                  <w:r>
                    <w:rPr>
                      <w:rFonts w:hint="default" w:ascii="Times New Roman" w:hAnsi="Times New Roman" w:eastAsia="Times New Roman" w:cs="Times New Roman"/>
                      <w:b w:val="0"/>
                      <w:bCs w:val="0"/>
                      <w:color w:val="auto"/>
                      <w:spacing w:val="-1"/>
                      <w:sz w:val="18"/>
                      <w:szCs w:val="18"/>
                      <w:highlight w:val="none"/>
                    </w:rPr>
                    <w:t>0.0032</w:t>
                  </w:r>
                </w:p>
              </w:tc>
            </w:tr>
            <w:tr w14:paraId="0967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7B158F0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b w:val="0"/>
                      <w:bCs w:val="0"/>
                      <w:color w:val="auto"/>
                      <w:sz w:val="18"/>
                      <w:szCs w:val="21"/>
                      <w:highlight w:val="none"/>
                      <w:lang w:val="en-US" w:eastAsia="zh-CN"/>
                    </w:rPr>
                  </w:pPr>
                  <w:r>
                    <w:rPr>
                      <w:rFonts w:hint="eastAsia" w:cs="Times New Roman"/>
                      <w:color w:val="auto"/>
                      <w:sz w:val="18"/>
                      <w:szCs w:val="18"/>
                      <w:highlight w:val="none"/>
                      <w:lang w:eastAsia="zh-CN"/>
                    </w:rPr>
                    <w:t>2号楼2#线3D打印</w:t>
                  </w:r>
                  <w:r>
                    <w:rPr>
                      <w:rFonts w:hint="default" w:ascii="Times New Roman" w:hAnsi="Times New Roman" w:eastAsia="宋体" w:cs="Times New Roman"/>
                      <w:color w:val="auto"/>
                      <w:sz w:val="18"/>
                      <w:szCs w:val="18"/>
                      <w:highlight w:val="none"/>
                    </w:rPr>
                    <w:t>、甩干废气、后处理线废气</w:t>
                  </w:r>
                </w:p>
              </w:tc>
              <w:tc>
                <w:tcPr>
                  <w:tcW w:w="483" w:type="pct"/>
                  <w:gridSpan w:val="2"/>
                  <w:tcBorders>
                    <w:left w:val="single" w:color="auto" w:sz="4" w:space="0"/>
                    <w:right w:val="single" w:color="auto" w:sz="4" w:space="0"/>
                  </w:tcBorders>
                  <w:vAlign w:val="center"/>
                </w:tcPr>
                <w:p w14:paraId="19B668B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非甲烷总烃</w:t>
                  </w:r>
                </w:p>
              </w:tc>
              <w:tc>
                <w:tcPr>
                  <w:tcW w:w="650" w:type="pct"/>
                  <w:tcBorders>
                    <w:left w:val="single" w:color="auto" w:sz="4" w:space="0"/>
                    <w:right w:val="single" w:color="auto" w:sz="4" w:space="0"/>
                  </w:tcBorders>
                  <w:vAlign w:val="center"/>
                </w:tcPr>
                <w:p w14:paraId="3981418E">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一级碱喷淋+一级水喷淋+ 除雾器+二级活性炭</w:t>
                  </w:r>
                </w:p>
              </w:tc>
              <w:tc>
                <w:tcPr>
                  <w:tcW w:w="393" w:type="pct"/>
                  <w:tcBorders>
                    <w:left w:val="single" w:color="auto" w:sz="4" w:space="0"/>
                    <w:right w:val="single" w:color="auto" w:sz="4" w:space="0"/>
                  </w:tcBorders>
                  <w:vAlign w:val="center"/>
                </w:tcPr>
                <w:p w14:paraId="61A2EA2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90%</w:t>
                  </w:r>
                </w:p>
              </w:tc>
              <w:tc>
                <w:tcPr>
                  <w:tcW w:w="589" w:type="pct"/>
                  <w:tcBorders>
                    <w:left w:val="single" w:color="auto" w:sz="4" w:space="0"/>
                    <w:right w:val="single" w:color="auto" w:sz="4" w:space="0"/>
                  </w:tcBorders>
                  <w:vAlign w:val="center"/>
                </w:tcPr>
                <w:p w14:paraId="32F001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20000</w:t>
                  </w:r>
                </w:p>
              </w:tc>
              <w:tc>
                <w:tcPr>
                  <w:tcW w:w="524" w:type="pct"/>
                  <w:tcBorders>
                    <w:left w:val="single" w:color="auto" w:sz="4" w:space="0"/>
                    <w:right w:val="single" w:color="auto" w:sz="4" w:space="0"/>
                  </w:tcBorders>
                  <w:vAlign w:val="center"/>
                </w:tcPr>
                <w:p w14:paraId="13FDED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1800</w:t>
                  </w:r>
                </w:p>
              </w:tc>
              <w:tc>
                <w:tcPr>
                  <w:tcW w:w="458" w:type="pct"/>
                  <w:tcBorders>
                    <w:left w:val="single" w:color="auto" w:sz="4" w:space="0"/>
                    <w:right w:val="single" w:color="auto" w:sz="4" w:space="0"/>
                  </w:tcBorders>
                  <w:vAlign w:val="center"/>
                </w:tcPr>
                <w:p w14:paraId="07ECF0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kern w:val="0"/>
                      <w:sz w:val="18"/>
                      <w:szCs w:val="18"/>
                      <w:highlight w:val="none"/>
                      <w:lang w:bidi="ar"/>
                    </w:rPr>
                    <w:t>FQ</w:t>
                  </w:r>
                  <w:r>
                    <w:rPr>
                      <w:rFonts w:hint="eastAsia" w:ascii="Times New Roman" w:hAnsi="Times New Roman" w:eastAsia="宋体" w:cs="Times New Roman"/>
                      <w:color w:val="auto"/>
                      <w:kern w:val="0"/>
                      <w:sz w:val="18"/>
                      <w:szCs w:val="18"/>
                      <w:highlight w:val="none"/>
                      <w:lang w:val="en-US" w:eastAsia="zh-CN" w:bidi="ar"/>
                    </w:rPr>
                    <w:t>02</w:t>
                  </w:r>
                </w:p>
              </w:tc>
              <w:tc>
                <w:tcPr>
                  <w:tcW w:w="771" w:type="pct"/>
                  <w:vMerge w:val="continue"/>
                  <w:tcBorders>
                    <w:left w:val="single" w:color="auto" w:sz="4" w:space="0"/>
                    <w:right w:val="single" w:color="auto" w:sz="4" w:space="0"/>
                  </w:tcBorders>
                  <w:vAlign w:val="center"/>
                </w:tcPr>
                <w:p w14:paraId="7647569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p>
              </w:tc>
              <w:tc>
                <w:tcPr>
                  <w:tcW w:w="801" w:type="dxa"/>
                  <w:tcBorders>
                    <w:left w:val="single" w:color="auto" w:sz="4" w:space="0"/>
                    <w:right w:val="nil"/>
                  </w:tcBorders>
                  <w:vAlign w:val="center"/>
                </w:tcPr>
                <w:p w14:paraId="4142353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cs="Times New Roman"/>
                      <w:b w:val="0"/>
                      <w:bCs w:val="0"/>
                      <w:color w:val="auto"/>
                      <w:sz w:val="18"/>
                      <w:szCs w:val="18"/>
                      <w:highlight w:val="none"/>
                      <w:lang w:val="en-US" w:eastAsia="zh-CN"/>
                    </w:rPr>
                  </w:pPr>
                  <w:r>
                    <w:rPr>
                      <w:rFonts w:hint="eastAsia" w:cs="Times New Roman"/>
                      <w:b w:val="0"/>
                      <w:bCs w:val="0"/>
                      <w:color w:val="auto"/>
                      <w:kern w:val="2"/>
                      <w:sz w:val="18"/>
                      <w:szCs w:val="18"/>
                      <w:highlight w:val="none"/>
                      <w:lang w:val="en-US" w:eastAsia="zh-CN" w:bidi="ar-SA"/>
                    </w:rPr>
                    <w:t>0.0249</w:t>
                  </w:r>
                </w:p>
              </w:tc>
            </w:tr>
            <w:tr w14:paraId="5C43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6783ABD5">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b w:val="0"/>
                      <w:bCs w:val="0"/>
                      <w:color w:val="auto"/>
                      <w:sz w:val="18"/>
                      <w:szCs w:val="21"/>
                      <w:highlight w:val="none"/>
                      <w:lang w:val="en-US" w:eastAsia="zh-CN"/>
                    </w:rPr>
                  </w:pPr>
                  <w:r>
                    <w:rPr>
                      <w:rFonts w:hint="eastAsia" w:cs="Times New Roman"/>
                      <w:color w:val="auto"/>
                      <w:sz w:val="18"/>
                      <w:szCs w:val="18"/>
                      <w:highlight w:val="none"/>
                      <w:lang w:val="en-US" w:eastAsia="zh-CN"/>
                    </w:rPr>
                    <w:t>2号楼3#线3D打印</w:t>
                  </w:r>
                  <w:r>
                    <w:rPr>
                      <w:rFonts w:hint="default" w:ascii="Times New Roman" w:hAnsi="Times New Roman" w:eastAsia="宋体" w:cs="Times New Roman"/>
                      <w:color w:val="auto"/>
                      <w:sz w:val="18"/>
                      <w:szCs w:val="18"/>
                      <w:highlight w:val="none"/>
                    </w:rPr>
                    <w:t>、甩干废气、后处理线废气</w:t>
                  </w:r>
                </w:p>
              </w:tc>
              <w:tc>
                <w:tcPr>
                  <w:tcW w:w="483" w:type="pct"/>
                  <w:gridSpan w:val="2"/>
                  <w:tcBorders>
                    <w:left w:val="single" w:color="auto" w:sz="4" w:space="0"/>
                    <w:right w:val="single" w:color="auto" w:sz="4" w:space="0"/>
                  </w:tcBorders>
                  <w:vAlign w:val="center"/>
                </w:tcPr>
                <w:p w14:paraId="35BFDD1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非甲烷总烃</w:t>
                  </w:r>
                </w:p>
              </w:tc>
              <w:tc>
                <w:tcPr>
                  <w:tcW w:w="650" w:type="pct"/>
                  <w:tcBorders>
                    <w:left w:val="single" w:color="auto" w:sz="4" w:space="0"/>
                    <w:right w:val="single" w:color="auto" w:sz="4" w:space="0"/>
                  </w:tcBorders>
                  <w:vAlign w:val="center"/>
                </w:tcPr>
                <w:p w14:paraId="64A0915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一级碱喷淋+一级水喷淋+ 除雾器+二级活性炭</w:t>
                  </w:r>
                </w:p>
              </w:tc>
              <w:tc>
                <w:tcPr>
                  <w:tcW w:w="393" w:type="pct"/>
                  <w:tcBorders>
                    <w:left w:val="single" w:color="auto" w:sz="4" w:space="0"/>
                    <w:right w:val="single" w:color="auto" w:sz="4" w:space="0"/>
                  </w:tcBorders>
                  <w:vAlign w:val="center"/>
                </w:tcPr>
                <w:p w14:paraId="1C0C6D8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90%</w:t>
                  </w:r>
                </w:p>
              </w:tc>
              <w:tc>
                <w:tcPr>
                  <w:tcW w:w="589" w:type="pct"/>
                  <w:tcBorders>
                    <w:left w:val="single" w:color="auto" w:sz="4" w:space="0"/>
                    <w:right w:val="single" w:color="auto" w:sz="4" w:space="0"/>
                  </w:tcBorders>
                  <w:vAlign w:val="center"/>
                </w:tcPr>
                <w:p w14:paraId="0BFF88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20000</w:t>
                  </w:r>
                </w:p>
              </w:tc>
              <w:tc>
                <w:tcPr>
                  <w:tcW w:w="524" w:type="pct"/>
                  <w:tcBorders>
                    <w:left w:val="single" w:color="auto" w:sz="4" w:space="0"/>
                    <w:right w:val="single" w:color="auto" w:sz="4" w:space="0"/>
                  </w:tcBorders>
                  <w:vAlign w:val="center"/>
                </w:tcPr>
                <w:p w14:paraId="7A95E0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kern w:val="0"/>
                      <w:sz w:val="18"/>
                      <w:szCs w:val="18"/>
                      <w:highlight w:val="none"/>
                      <w:lang w:val="en-US" w:eastAsia="zh-CN" w:bidi="ar"/>
                    </w:rPr>
                    <w:t>1800</w:t>
                  </w:r>
                </w:p>
              </w:tc>
              <w:tc>
                <w:tcPr>
                  <w:tcW w:w="458" w:type="pct"/>
                  <w:tcBorders>
                    <w:left w:val="single" w:color="auto" w:sz="4" w:space="0"/>
                    <w:right w:val="single" w:color="auto" w:sz="4" w:space="0"/>
                  </w:tcBorders>
                  <w:vAlign w:val="center"/>
                </w:tcPr>
                <w:p w14:paraId="7182AC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kern w:val="0"/>
                      <w:sz w:val="18"/>
                      <w:szCs w:val="18"/>
                      <w:highlight w:val="none"/>
                      <w:lang w:bidi="ar"/>
                    </w:rPr>
                    <w:t>FQ</w:t>
                  </w:r>
                  <w:r>
                    <w:rPr>
                      <w:rFonts w:hint="eastAsia" w:ascii="Times New Roman" w:hAnsi="Times New Roman" w:eastAsia="宋体" w:cs="Times New Roman"/>
                      <w:color w:val="auto"/>
                      <w:kern w:val="0"/>
                      <w:sz w:val="18"/>
                      <w:szCs w:val="18"/>
                      <w:highlight w:val="none"/>
                      <w:lang w:val="en-US" w:eastAsia="zh-CN" w:bidi="ar"/>
                    </w:rPr>
                    <w:t>03</w:t>
                  </w:r>
                </w:p>
              </w:tc>
              <w:tc>
                <w:tcPr>
                  <w:tcW w:w="771" w:type="pct"/>
                  <w:vMerge w:val="continue"/>
                  <w:tcBorders>
                    <w:left w:val="single" w:color="auto" w:sz="4" w:space="0"/>
                    <w:right w:val="single" w:color="auto" w:sz="4" w:space="0"/>
                  </w:tcBorders>
                  <w:vAlign w:val="center"/>
                </w:tcPr>
                <w:p w14:paraId="5DB7830F">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p>
              </w:tc>
              <w:tc>
                <w:tcPr>
                  <w:tcW w:w="801" w:type="dxa"/>
                  <w:tcBorders>
                    <w:left w:val="single" w:color="auto" w:sz="4" w:space="0"/>
                    <w:right w:val="nil"/>
                  </w:tcBorders>
                  <w:vAlign w:val="center"/>
                </w:tcPr>
                <w:p w14:paraId="70B14B4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cs="Times New Roman"/>
                      <w:b w:val="0"/>
                      <w:bCs w:val="0"/>
                      <w:color w:val="auto"/>
                      <w:sz w:val="18"/>
                      <w:szCs w:val="18"/>
                      <w:highlight w:val="none"/>
                      <w:lang w:val="en-US" w:eastAsia="zh-CN"/>
                    </w:rPr>
                  </w:pPr>
                  <w:r>
                    <w:rPr>
                      <w:rFonts w:hint="eastAsia" w:eastAsia="Times New Roman" w:cs="Times New Roman"/>
                      <w:b w:val="0"/>
                      <w:bCs w:val="0"/>
                      <w:color w:val="auto"/>
                      <w:kern w:val="2"/>
                      <w:sz w:val="18"/>
                      <w:szCs w:val="18"/>
                      <w:highlight w:val="none"/>
                      <w:lang w:val="en-US" w:eastAsia="zh-CN" w:bidi="ar-SA"/>
                    </w:rPr>
                    <w:t>0.0249</w:t>
                  </w:r>
                </w:p>
              </w:tc>
            </w:tr>
            <w:tr w14:paraId="41F9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4442400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b w:val="0"/>
                      <w:bCs w:val="0"/>
                      <w:color w:val="auto"/>
                      <w:sz w:val="18"/>
                      <w:szCs w:val="21"/>
                      <w:highlight w:val="none"/>
                      <w:lang w:val="en-US" w:eastAsia="zh-CN"/>
                    </w:rPr>
                  </w:pPr>
                  <w:r>
                    <w:rPr>
                      <w:rFonts w:hint="eastAsia" w:cs="Times New Roman"/>
                      <w:color w:val="auto"/>
                      <w:sz w:val="18"/>
                      <w:szCs w:val="18"/>
                      <w:highlight w:val="none"/>
                      <w:lang w:val="en-US" w:eastAsia="zh-CN"/>
                    </w:rPr>
                    <w:t>1号楼4#线3D打印</w:t>
                  </w:r>
                  <w:r>
                    <w:rPr>
                      <w:rFonts w:hint="default" w:ascii="Times New Roman" w:hAnsi="Times New Roman" w:eastAsia="宋体" w:cs="Times New Roman"/>
                      <w:color w:val="auto"/>
                      <w:sz w:val="18"/>
                      <w:szCs w:val="18"/>
                      <w:highlight w:val="none"/>
                    </w:rPr>
                    <w:t>、甩干废气、后处理线废气</w:t>
                  </w:r>
                </w:p>
              </w:tc>
              <w:tc>
                <w:tcPr>
                  <w:tcW w:w="483" w:type="pct"/>
                  <w:gridSpan w:val="2"/>
                  <w:tcBorders>
                    <w:left w:val="single" w:color="auto" w:sz="4" w:space="0"/>
                    <w:right w:val="single" w:color="auto" w:sz="4" w:space="0"/>
                  </w:tcBorders>
                  <w:vAlign w:val="center"/>
                </w:tcPr>
                <w:p w14:paraId="4E1A973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非甲烷总烃</w:t>
                  </w:r>
                </w:p>
              </w:tc>
              <w:tc>
                <w:tcPr>
                  <w:tcW w:w="650" w:type="pct"/>
                  <w:tcBorders>
                    <w:left w:val="single" w:color="auto" w:sz="4" w:space="0"/>
                    <w:right w:val="single" w:color="auto" w:sz="4" w:space="0"/>
                  </w:tcBorders>
                  <w:vAlign w:val="center"/>
                </w:tcPr>
                <w:p w14:paraId="7C1171EC">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一级碱喷淋+一级水喷淋+ 除雾器+二级活性炭</w:t>
                  </w:r>
                </w:p>
              </w:tc>
              <w:tc>
                <w:tcPr>
                  <w:tcW w:w="393" w:type="pct"/>
                  <w:tcBorders>
                    <w:left w:val="single" w:color="auto" w:sz="4" w:space="0"/>
                    <w:right w:val="single" w:color="auto" w:sz="4" w:space="0"/>
                  </w:tcBorders>
                  <w:vAlign w:val="center"/>
                </w:tcPr>
                <w:p w14:paraId="211E70F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90%</w:t>
                  </w:r>
                </w:p>
              </w:tc>
              <w:tc>
                <w:tcPr>
                  <w:tcW w:w="589" w:type="pct"/>
                  <w:tcBorders>
                    <w:left w:val="single" w:color="auto" w:sz="4" w:space="0"/>
                    <w:right w:val="single" w:color="auto" w:sz="4" w:space="0"/>
                  </w:tcBorders>
                  <w:vAlign w:val="center"/>
                </w:tcPr>
                <w:p w14:paraId="21CF93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20000</w:t>
                  </w:r>
                </w:p>
              </w:tc>
              <w:tc>
                <w:tcPr>
                  <w:tcW w:w="524" w:type="pct"/>
                  <w:tcBorders>
                    <w:left w:val="single" w:color="auto" w:sz="4" w:space="0"/>
                    <w:right w:val="single" w:color="auto" w:sz="4" w:space="0"/>
                  </w:tcBorders>
                  <w:vAlign w:val="center"/>
                </w:tcPr>
                <w:p w14:paraId="69CD3A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1800</w:t>
                  </w:r>
                </w:p>
              </w:tc>
              <w:tc>
                <w:tcPr>
                  <w:tcW w:w="458" w:type="pct"/>
                  <w:tcBorders>
                    <w:left w:val="single" w:color="auto" w:sz="4" w:space="0"/>
                    <w:right w:val="single" w:color="auto" w:sz="4" w:space="0"/>
                  </w:tcBorders>
                  <w:vAlign w:val="center"/>
                </w:tcPr>
                <w:p w14:paraId="57BF83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kern w:val="0"/>
                      <w:sz w:val="18"/>
                      <w:szCs w:val="18"/>
                      <w:highlight w:val="none"/>
                      <w:lang w:bidi="ar"/>
                    </w:rPr>
                    <w:t>FQ</w:t>
                  </w:r>
                  <w:r>
                    <w:rPr>
                      <w:rFonts w:hint="eastAsia" w:ascii="Times New Roman" w:hAnsi="Times New Roman" w:eastAsia="宋体" w:cs="Times New Roman"/>
                      <w:color w:val="auto"/>
                      <w:kern w:val="0"/>
                      <w:sz w:val="18"/>
                      <w:szCs w:val="18"/>
                      <w:highlight w:val="none"/>
                      <w:lang w:val="en-US" w:eastAsia="zh-CN" w:bidi="ar"/>
                    </w:rPr>
                    <w:t>04</w:t>
                  </w:r>
                </w:p>
              </w:tc>
              <w:tc>
                <w:tcPr>
                  <w:tcW w:w="771" w:type="pct"/>
                  <w:vMerge w:val="continue"/>
                  <w:tcBorders>
                    <w:left w:val="single" w:color="auto" w:sz="4" w:space="0"/>
                    <w:right w:val="single" w:color="auto" w:sz="4" w:space="0"/>
                  </w:tcBorders>
                  <w:vAlign w:val="center"/>
                </w:tcPr>
                <w:p w14:paraId="2D5D1927">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p>
              </w:tc>
              <w:tc>
                <w:tcPr>
                  <w:tcW w:w="801" w:type="dxa"/>
                  <w:tcBorders>
                    <w:left w:val="single" w:color="auto" w:sz="4" w:space="0"/>
                    <w:right w:val="nil"/>
                  </w:tcBorders>
                  <w:vAlign w:val="center"/>
                </w:tcPr>
                <w:p w14:paraId="4E1CBA2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cs="Times New Roman"/>
                      <w:b w:val="0"/>
                      <w:bCs w:val="0"/>
                      <w:color w:val="auto"/>
                      <w:sz w:val="18"/>
                      <w:szCs w:val="18"/>
                      <w:highlight w:val="none"/>
                      <w:lang w:val="en-US" w:eastAsia="zh-CN"/>
                    </w:rPr>
                  </w:pPr>
                  <w:r>
                    <w:rPr>
                      <w:rFonts w:hint="eastAsia" w:eastAsia="Times New Roman" w:cs="Times New Roman"/>
                      <w:b w:val="0"/>
                      <w:bCs w:val="0"/>
                      <w:color w:val="auto"/>
                      <w:kern w:val="2"/>
                      <w:sz w:val="18"/>
                      <w:szCs w:val="18"/>
                      <w:highlight w:val="none"/>
                      <w:lang w:val="en-US" w:eastAsia="zh-CN" w:bidi="ar-SA"/>
                    </w:rPr>
                    <w:t>0.0249</w:t>
                  </w:r>
                </w:p>
              </w:tc>
            </w:tr>
            <w:tr w14:paraId="7A29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2C072F5D">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b w:val="0"/>
                      <w:bCs w:val="0"/>
                      <w:color w:val="auto"/>
                      <w:sz w:val="18"/>
                      <w:szCs w:val="21"/>
                      <w:highlight w:val="none"/>
                      <w:lang w:val="en-US" w:eastAsia="zh-CN"/>
                    </w:rPr>
                  </w:pPr>
                  <w:r>
                    <w:rPr>
                      <w:rFonts w:hint="eastAsia" w:cs="Times New Roman"/>
                      <w:color w:val="auto"/>
                      <w:sz w:val="18"/>
                      <w:szCs w:val="18"/>
                      <w:highlight w:val="none"/>
                      <w:lang w:val="en-US" w:eastAsia="zh-CN"/>
                    </w:rPr>
                    <w:t>1号楼5#线3D打印</w:t>
                  </w:r>
                  <w:r>
                    <w:rPr>
                      <w:rFonts w:hint="default" w:ascii="Times New Roman" w:hAnsi="Times New Roman" w:eastAsia="宋体" w:cs="Times New Roman"/>
                      <w:color w:val="auto"/>
                      <w:sz w:val="18"/>
                      <w:szCs w:val="18"/>
                      <w:highlight w:val="none"/>
                    </w:rPr>
                    <w:t>、甩干废气、后处理线废气</w:t>
                  </w:r>
                </w:p>
              </w:tc>
              <w:tc>
                <w:tcPr>
                  <w:tcW w:w="483" w:type="pct"/>
                  <w:gridSpan w:val="2"/>
                  <w:tcBorders>
                    <w:left w:val="single" w:color="auto" w:sz="4" w:space="0"/>
                    <w:right w:val="single" w:color="auto" w:sz="4" w:space="0"/>
                  </w:tcBorders>
                  <w:vAlign w:val="center"/>
                </w:tcPr>
                <w:p w14:paraId="248EB79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非甲烷总烃</w:t>
                  </w:r>
                </w:p>
              </w:tc>
              <w:tc>
                <w:tcPr>
                  <w:tcW w:w="650" w:type="pct"/>
                  <w:tcBorders>
                    <w:left w:val="single" w:color="auto" w:sz="4" w:space="0"/>
                    <w:right w:val="single" w:color="auto" w:sz="4" w:space="0"/>
                  </w:tcBorders>
                  <w:vAlign w:val="center"/>
                </w:tcPr>
                <w:p w14:paraId="6A07BDB0">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一级碱喷淋+一级水喷淋+ 除雾器+二级活性炭</w:t>
                  </w:r>
                </w:p>
              </w:tc>
              <w:tc>
                <w:tcPr>
                  <w:tcW w:w="393" w:type="pct"/>
                  <w:tcBorders>
                    <w:left w:val="single" w:color="auto" w:sz="4" w:space="0"/>
                    <w:right w:val="single" w:color="auto" w:sz="4" w:space="0"/>
                  </w:tcBorders>
                  <w:vAlign w:val="center"/>
                </w:tcPr>
                <w:p w14:paraId="0A5CDAD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90%</w:t>
                  </w:r>
                </w:p>
              </w:tc>
              <w:tc>
                <w:tcPr>
                  <w:tcW w:w="589" w:type="pct"/>
                  <w:tcBorders>
                    <w:left w:val="single" w:color="auto" w:sz="4" w:space="0"/>
                    <w:right w:val="single" w:color="auto" w:sz="4" w:space="0"/>
                  </w:tcBorders>
                  <w:vAlign w:val="center"/>
                </w:tcPr>
                <w:p w14:paraId="6EFE79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26000</w:t>
                  </w:r>
                </w:p>
              </w:tc>
              <w:tc>
                <w:tcPr>
                  <w:tcW w:w="524" w:type="pct"/>
                  <w:tcBorders>
                    <w:left w:val="single" w:color="auto" w:sz="4" w:space="0"/>
                    <w:right w:val="single" w:color="auto" w:sz="4" w:space="0"/>
                  </w:tcBorders>
                  <w:vAlign w:val="center"/>
                </w:tcPr>
                <w:p w14:paraId="4A8A14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kern w:val="0"/>
                      <w:sz w:val="18"/>
                      <w:szCs w:val="18"/>
                      <w:highlight w:val="none"/>
                      <w:lang w:val="en-US" w:eastAsia="zh-CN" w:bidi="ar"/>
                    </w:rPr>
                    <w:t>1800</w:t>
                  </w:r>
                </w:p>
              </w:tc>
              <w:tc>
                <w:tcPr>
                  <w:tcW w:w="458" w:type="pct"/>
                  <w:tcBorders>
                    <w:left w:val="single" w:color="auto" w:sz="4" w:space="0"/>
                    <w:right w:val="single" w:color="auto" w:sz="4" w:space="0"/>
                  </w:tcBorders>
                  <w:vAlign w:val="center"/>
                </w:tcPr>
                <w:p w14:paraId="6E39FD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kern w:val="0"/>
                      <w:sz w:val="18"/>
                      <w:szCs w:val="18"/>
                      <w:highlight w:val="none"/>
                      <w:lang w:bidi="ar"/>
                    </w:rPr>
                    <w:t>FQ</w:t>
                  </w:r>
                  <w:r>
                    <w:rPr>
                      <w:rFonts w:hint="eastAsia" w:ascii="Times New Roman" w:hAnsi="Times New Roman" w:eastAsia="宋体" w:cs="Times New Roman"/>
                      <w:color w:val="auto"/>
                      <w:kern w:val="0"/>
                      <w:sz w:val="18"/>
                      <w:szCs w:val="18"/>
                      <w:highlight w:val="none"/>
                      <w:lang w:val="en-US" w:eastAsia="zh-CN" w:bidi="ar"/>
                    </w:rPr>
                    <w:t>05</w:t>
                  </w:r>
                </w:p>
              </w:tc>
              <w:tc>
                <w:tcPr>
                  <w:tcW w:w="771" w:type="pct"/>
                  <w:vMerge w:val="continue"/>
                  <w:tcBorders>
                    <w:left w:val="single" w:color="auto" w:sz="4" w:space="0"/>
                    <w:right w:val="single" w:color="auto" w:sz="4" w:space="0"/>
                  </w:tcBorders>
                  <w:vAlign w:val="center"/>
                </w:tcPr>
                <w:p w14:paraId="5EA1AC9F">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p>
              </w:tc>
              <w:tc>
                <w:tcPr>
                  <w:tcW w:w="801" w:type="dxa"/>
                  <w:tcBorders>
                    <w:left w:val="single" w:color="auto" w:sz="4" w:space="0"/>
                    <w:right w:val="nil"/>
                  </w:tcBorders>
                  <w:vAlign w:val="center"/>
                </w:tcPr>
                <w:p w14:paraId="212F10F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cs="Times New Roman"/>
                      <w:b w:val="0"/>
                      <w:bCs w:val="0"/>
                      <w:color w:val="auto"/>
                      <w:sz w:val="18"/>
                      <w:szCs w:val="18"/>
                      <w:highlight w:val="none"/>
                      <w:lang w:val="en-US" w:eastAsia="zh-CN"/>
                    </w:rPr>
                  </w:pPr>
                  <w:r>
                    <w:rPr>
                      <w:rFonts w:hint="eastAsia" w:ascii="Times New Roman" w:hAnsi="Times New Roman" w:eastAsia="Times New Roman" w:cs="Times New Roman"/>
                      <w:b w:val="0"/>
                      <w:bCs w:val="0"/>
                      <w:color w:val="auto"/>
                      <w:kern w:val="2"/>
                      <w:sz w:val="18"/>
                      <w:szCs w:val="18"/>
                      <w:highlight w:val="none"/>
                      <w:lang w:val="en-US" w:eastAsia="zh-CN" w:bidi="ar-SA"/>
                    </w:rPr>
                    <w:t>0.0351</w:t>
                  </w:r>
                </w:p>
              </w:tc>
            </w:tr>
            <w:tr w14:paraId="16EC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2C76432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b w:val="0"/>
                      <w:bCs w:val="0"/>
                      <w:color w:val="auto"/>
                      <w:sz w:val="18"/>
                      <w:szCs w:val="21"/>
                      <w:highlight w:val="none"/>
                      <w:lang w:val="en-US" w:eastAsia="zh-CN"/>
                    </w:rPr>
                  </w:pPr>
                  <w:r>
                    <w:rPr>
                      <w:rFonts w:hint="eastAsia" w:cs="Times New Roman"/>
                      <w:color w:val="auto"/>
                      <w:sz w:val="18"/>
                      <w:szCs w:val="18"/>
                      <w:highlight w:val="none"/>
                      <w:lang w:val="en-US" w:eastAsia="zh-CN"/>
                    </w:rPr>
                    <w:t>4号楼6#线3D打印</w:t>
                  </w:r>
                  <w:r>
                    <w:rPr>
                      <w:rFonts w:hint="default" w:ascii="Times New Roman" w:hAnsi="Times New Roman" w:eastAsia="宋体" w:cs="Times New Roman"/>
                      <w:color w:val="auto"/>
                      <w:sz w:val="18"/>
                      <w:szCs w:val="18"/>
                      <w:highlight w:val="none"/>
                    </w:rPr>
                    <w:t>、甩干废气、后处理线废气</w:t>
                  </w:r>
                </w:p>
              </w:tc>
              <w:tc>
                <w:tcPr>
                  <w:tcW w:w="483" w:type="pct"/>
                  <w:gridSpan w:val="2"/>
                  <w:tcBorders>
                    <w:left w:val="single" w:color="auto" w:sz="4" w:space="0"/>
                    <w:right w:val="single" w:color="auto" w:sz="4" w:space="0"/>
                  </w:tcBorders>
                  <w:vAlign w:val="center"/>
                </w:tcPr>
                <w:p w14:paraId="57E6067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非甲烷总烃</w:t>
                  </w:r>
                </w:p>
              </w:tc>
              <w:tc>
                <w:tcPr>
                  <w:tcW w:w="650" w:type="pct"/>
                  <w:tcBorders>
                    <w:left w:val="single" w:color="auto" w:sz="4" w:space="0"/>
                    <w:right w:val="single" w:color="auto" w:sz="4" w:space="0"/>
                  </w:tcBorders>
                  <w:vAlign w:val="center"/>
                </w:tcPr>
                <w:p w14:paraId="224F5332">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一级碱喷淋+一级水喷淋+ 除雾器+二级活性炭</w:t>
                  </w:r>
                </w:p>
              </w:tc>
              <w:tc>
                <w:tcPr>
                  <w:tcW w:w="393" w:type="pct"/>
                  <w:tcBorders>
                    <w:left w:val="single" w:color="auto" w:sz="4" w:space="0"/>
                    <w:right w:val="single" w:color="auto" w:sz="4" w:space="0"/>
                  </w:tcBorders>
                  <w:vAlign w:val="center"/>
                </w:tcPr>
                <w:p w14:paraId="080E8E7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rPr>
                    <w:t>90%</w:t>
                  </w:r>
                </w:p>
              </w:tc>
              <w:tc>
                <w:tcPr>
                  <w:tcW w:w="589" w:type="pct"/>
                  <w:tcBorders>
                    <w:left w:val="single" w:color="auto" w:sz="4" w:space="0"/>
                    <w:right w:val="single" w:color="auto" w:sz="4" w:space="0"/>
                  </w:tcBorders>
                  <w:vAlign w:val="center"/>
                </w:tcPr>
                <w:p w14:paraId="3C4FA7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26000</w:t>
                  </w:r>
                </w:p>
              </w:tc>
              <w:tc>
                <w:tcPr>
                  <w:tcW w:w="524" w:type="pct"/>
                  <w:tcBorders>
                    <w:left w:val="single" w:color="auto" w:sz="4" w:space="0"/>
                    <w:right w:val="single" w:color="auto" w:sz="4" w:space="0"/>
                  </w:tcBorders>
                  <w:vAlign w:val="center"/>
                </w:tcPr>
                <w:p w14:paraId="0B001F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1800</w:t>
                  </w:r>
                </w:p>
              </w:tc>
              <w:tc>
                <w:tcPr>
                  <w:tcW w:w="458" w:type="pct"/>
                  <w:tcBorders>
                    <w:left w:val="single" w:color="auto" w:sz="4" w:space="0"/>
                    <w:right w:val="single" w:color="auto" w:sz="4" w:space="0"/>
                  </w:tcBorders>
                  <w:vAlign w:val="center"/>
                </w:tcPr>
                <w:p w14:paraId="1F8A12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kern w:val="0"/>
                      <w:sz w:val="18"/>
                      <w:szCs w:val="18"/>
                      <w:highlight w:val="none"/>
                      <w:lang w:bidi="ar"/>
                    </w:rPr>
                    <w:t>FQ</w:t>
                  </w:r>
                  <w:r>
                    <w:rPr>
                      <w:rFonts w:hint="eastAsia" w:ascii="Times New Roman" w:hAnsi="Times New Roman" w:eastAsia="宋体" w:cs="Times New Roman"/>
                      <w:color w:val="auto"/>
                      <w:kern w:val="0"/>
                      <w:sz w:val="18"/>
                      <w:szCs w:val="18"/>
                      <w:highlight w:val="none"/>
                      <w:lang w:val="en-US" w:eastAsia="zh-CN" w:bidi="ar"/>
                    </w:rPr>
                    <w:t>06</w:t>
                  </w:r>
                </w:p>
              </w:tc>
              <w:tc>
                <w:tcPr>
                  <w:tcW w:w="771" w:type="pct"/>
                  <w:vMerge w:val="continue"/>
                  <w:tcBorders>
                    <w:left w:val="single" w:color="auto" w:sz="4" w:space="0"/>
                    <w:right w:val="single" w:color="auto" w:sz="4" w:space="0"/>
                  </w:tcBorders>
                  <w:vAlign w:val="center"/>
                </w:tcPr>
                <w:p w14:paraId="082FC69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p>
              </w:tc>
              <w:tc>
                <w:tcPr>
                  <w:tcW w:w="801" w:type="dxa"/>
                  <w:tcBorders>
                    <w:left w:val="single" w:color="auto" w:sz="4" w:space="0"/>
                    <w:right w:val="nil"/>
                  </w:tcBorders>
                  <w:vAlign w:val="center"/>
                </w:tcPr>
                <w:p w14:paraId="08C57F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cs="Times New Roman"/>
                      <w:b w:val="0"/>
                      <w:bCs w:val="0"/>
                      <w:color w:val="auto"/>
                      <w:sz w:val="18"/>
                      <w:szCs w:val="18"/>
                      <w:highlight w:val="none"/>
                      <w:lang w:val="en-US" w:eastAsia="zh-CN"/>
                    </w:rPr>
                  </w:pPr>
                  <w:r>
                    <w:rPr>
                      <w:rFonts w:hint="eastAsia" w:ascii="Times New Roman" w:hAnsi="Times New Roman" w:eastAsia="Times New Roman" w:cs="Times New Roman"/>
                      <w:b w:val="0"/>
                      <w:bCs w:val="0"/>
                      <w:color w:val="auto"/>
                      <w:kern w:val="2"/>
                      <w:sz w:val="18"/>
                      <w:szCs w:val="18"/>
                      <w:highlight w:val="none"/>
                      <w:lang w:val="en-US" w:eastAsia="zh-CN" w:bidi="ar-SA"/>
                    </w:rPr>
                    <w:t>0.0351</w:t>
                  </w:r>
                </w:p>
              </w:tc>
            </w:tr>
            <w:tr w14:paraId="7ADD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restart"/>
                  <w:tcBorders>
                    <w:left w:val="nil"/>
                    <w:right w:val="single" w:color="auto" w:sz="4" w:space="0"/>
                  </w:tcBorders>
                  <w:vAlign w:val="center"/>
                </w:tcPr>
                <w:p w14:paraId="6B190B5A">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b w:val="0"/>
                      <w:bCs w:val="0"/>
                      <w:color w:val="auto"/>
                      <w:sz w:val="18"/>
                      <w:highlight w:val="none"/>
                      <w:vertAlign w:val="baseline"/>
                    </w:rPr>
                  </w:pPr>
                  <w:r>
                    <w:rPr>
                      <w:rFonts w:hint="eastAsia" w:ascii="Times New Roman" w:hAnsi="Times New Roman" w:eastAsia="宋体" w:cs="Times New Roman"/>
                      <w:b w:val="0"/>
                      <w:bCs w:val="0"/>
                      <w:color w:val="auto"/>
                      <w:sz w:val="18"/>
                      <w:szCs w:val="18"/>
                      <w:highlight w:val="none"/>
                      <w:lang w:val="en-US" w:eastAsia="zh-CN"/>
                    </w:rPr>
                    <w:t>3号楼压膜与喷涂烘干废气</w:t>
                  </w:r>
                  <w:r>
                    <w:rPr>
                      <w:rFonts w:hint="eastAsia" w:cs="Times New Roman"/>
                      <w:b w:val="0"/>
                      <w:bCs w:val="0"/>
                      <w:color w:val="auto"/>
                      <w:sz w:val="18"/>
                      <w:szCs w:val="18"/>
                      <w:highlight w:val="none"/>
                      <w:lang w:val="en-US" w:eastAsia="zh-CN"/>
                    </w:rPr>
                    <w:t>、喷涂硅油-脱模剂废气</w:t>
                  </w:r>
                </w:p>
              </w:tc>
              <w:tc>
                <w:tcPr>
                  <w:tcW w:w="483" w:type="pct"/>
                  <w:gridSpan w:val="2"/>
                  <w:tcBorders>
                    <w:left w:val="single" w:color="auto" w:sz="4" w:space="0"/>
                    <w:right w:val="single" w:color="auto" w:sz="4" w:space="0"/>
                  </w:tcBorders>
                  <w:vAlign w:val="center"/>
                </w:tcPr>
                <w:p w14:paraId="25A1BBC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eastAsia="宋体"/>
                      <w:color w:val="auto"/>
                      <w:sz w:val="18"/>
                      <w:highlight w:val="none"/>
                      <w:vertAlign w:val="baseline"/>
                      <w:lang w:val="en-US" w:eastAsia="zh-CN"/>
                    </w:rPr>
                  </w:pPr>
                  <w:r>
                    <w:rPr>
                      <w:rFonts w:hint="eastAsia"/>
                      <w:color w:val="auto"/>
                      <w:sz w:val="18"/>
                      <w:highlight w:val="none"/>
                      <w:vertAlign w:val="baseline"/>
                      <w:lang w:val="en-US" w:eastAsia="zh-CN"/>
                    </w:rPr>
                    <w:t>非甲烷总烃</w:t>
                  </w:r>
                </w:p>
              </w:tc>
              <w:tc>
                <w:tcPr>
                  <w:tcW w:w="650" w:type="pct"/>
                  <w:vMerge w:val="restart"/>
                  <w:tcBorders>
                    <w:left w:val="single" w:color="auto" w:sz="4" w:space="0"/>
                    <w:right w:val="single" w:color="auto" w:sz="4" w:space="0"/>
                  </w:tcBorders>
                  <w:vAlign w:val="center"/>
                </w:tcPr>
                <w:p w14:paraId="080A995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eastAsia="宋体"/>
                      <w:color w:val="auto"/>
                      <w:sz w:val="18"/>
                      <w:highlight w:val="none"/>
                      <w:vertAlign w:val="baseline"/>
                      <w:lang w:val="en-US" w:eastAsia="zh-CN"/>
                    </w:rPr>
                  </w:pPr>
                  <w:r>
                    <w:rPr>
                      <w:rFonts w:hint="eastAsia"/>
                      <w:color w:val="auto"/>
                      <w:sz w:val="18"/>
                      <w:highlight w:val="none"/>
                      <w:vertAlign w:val="baseline"/>
                      <w:lang w:val="en-US" w:eastAsia="zh-CN"/>
                    </w:rPr>
                    <w:t>一级碱喷淋+一级水喷淋+除雾器+二级活性炭吸附装置</w:t>
                  </w:r>
                </w:p>
              </w:tc>
              <w:tc>
                <w:tcPr>
                  <w:tcW w:w="393" w:type="pct"/>
                  <w:vMerge w:val="restart"/>
                  <w:tcBorders>
                    <w:left w:val="single" w:color="auto" w:sz="4" w:space="0"/>
                    <w:right w:val="single" w:color="auto" w:sz="4" w:space="0"/>
                  </w:tcBorders>
                  <w:vAlign w:val="center"/>
                </w:tcPr>
                <w:p w14:paraId="4323D126">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eastAsia="宋体"/>
                      <w:color w:val="auto"/>
                      <w:sz w:val="18"/>
                      <w:highlight w:val="none"/>
                      <w:vertAlign w:val="baseline"/>
                      <w:lang w:val="en-US" w:eastAsia="zh-CN"/>
                    </w:rPr>
                  </w:pPr>
                  <w:r>
                    <w:rPr>
                      <w:rFonts w:hint="eastAsia"/>
                      <w:color w:val="auto"/>
                      <w:sz w:val="18"/>
                      <w:highlight w:val="none"/>
                      <w:vertAlign w:val="baseline"/>
                      <w:lang w:val="en-US" w:eastAsia="zh-CN"/>
                    </w:rPr>
                    <w:t>90%</w:t>
                  </w:r>
                </w:p>
              </w:tc>
              <w:tc>
                <w:tcPr>
                  <w:tcW w:w="589" w:type="pct"/>
                  <w:vMerge w:val="restart"/>
                  <w:tcBorders>
                    <w:left w:val="single" w:color="auto" w:sz="4" w:space="0"/>
                    <w:right w:val="single" w:color="auto" w:sz="4" w:space="0"/>
                  </w:tcBorders>
                  <w:vAlign w:val="center"/>
                </w:tcPr>
                <w:p w14:paraId="0776CAFE">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eastAsia="宋体"/>
                      <w:color w:val="auto"/>
                      <w:sz w:val="18"/>
                      <w:highlight w:val="none"/>
                      <w:vertAlign w:val="baseline"/>
                      <w:lang w:val="en-US" w:eastAsia="zh-CN"/>
                    </w:rPr>
                  </w:pPr>
                  <w:r>
                    <w:rPr>
                      <w:rFonts w:hint="eastAsia"/>
                      <w:color w:val="auto"/>
                      <w:sz w:val="18"/>
                      <w:highlight w:val="none"/>
                      <w:vertAlign w:val="baseline"/>
                      <w:lang w:val="en-US" w:eastAsia="zh-CN"/>
                    </w:rPr>
                    <w:t>17500</w:t>
                  </w:r>
                </w:p>
              </w:tc>
              <w:tc>
                <w:tcPr>
                  <w:tcW w:w="524" w:type="pct"/>
                  <w:vMerge w:val="restart"/>
                  <w:tcBorders>
                    <w:left w:val="single" w:color="auto" w:sz="4" w:space="0"/>
                    <w:right w:val="single" w:color="auto" w:sz="4" w:space="0"/>
                  </w:tcBorders>
                  <w:vAlign w:val="center"/>
                </w:tcPr>
                <w:p w14:paraId="3A16C97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eastAsia="宋体"/>
                      <w:color w:val="auto"/>
                      <w:sz w:val="18"/>
                      <w:highlight w:val="none"/>
                      <w:vertAlign w:val="baseline"/>
                      <w:lang w:val="en-US" w:eastAsia="zh-CN"/>
                    </w:rPr>
                  </w:pPr>
                  <w:r>
                    <w:rPr>
                      <w:rFonts w:hint="eastAsia"/>
                      <w:color w:val="auto"/>
                      <w:sz w:val="18"/>
                      <w:highlight w:val="none"/>
                      <w:vertAlign w:val="baseline"/>
                      <w:lang w:val="en-US" w:eastAsia="zh-CN"/>
                    </w:rPr>
                    <w:t>1800</w:t>
                  </w:r>
                </w:p>
              </w:tc>
              <w:tc>
                <w:tcPr>
                  <w:tcW w:w="458" w:type="pct"/>
                  <w:vMerge w:val="restart"/>
                  <w:tcBorders>
                    <w:left w:val="single" w:color="auto" w:sz="4" w:space="0"/>
                    <w:right w:val="single" w:color="auto" w:sz="4" w:space="0"/>
                  </w:tcBorders>
                  <w:vAlign w:val="center"/>
                </w:tcPr>
                <w:p w14:paraId="53251CE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rPr>
                  </w:pPr>
                  <w:r>
                    <w:rPr>
                      <w:rFonts w:hint="eastAsia"/>
                      <w:color w:val="auto"/>
                      <w:sz w:val="18"/>
                      <w:highlight w:val="none"/>
                      <w:vertAlign w:val="baseline"/>
                      <w:lang w:val="en-US" w:eastAsia="zh-CN"/>
                    </w:rPr>
                    <w:t>FQ07</w:t>
                  </w:r>
                </w:p>
              </w:tc>
              <w:tc>
                <w:tcPr>
                  <w:tcW w:w="771" w:type="pct"/>
                  <w:tcBorders>
                    <w:left w:val="single" w:color="auto" w:sz="4" w:space="0"/>
                    <w:right w:val="single" w:color="auto" w:sz="4" w:space="0"/>
                  </w:tcBorders>
                  <w:vAlign w:val="center"/>
                </w:tcPr>
                <w:p w14:paraId="0C5D64A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r>
                    <w:rPr>
                      <w:rFonts w:hint="default"/>
                      <w:color w:val="auto"/>
                      <w:sz w:val="18"/>
                      <w:highlight w:val="none"/>
                      <w:vertAlign w:val="baseline"/>
                      <w:lang w:val="en-US" w:eastAsia="zh-CN"/>
                    </w:rPr>
                    <w:t>《工业涂装工序大气污染物排放标准》（DB32/4439-2022）表1中标准</w:t>
                  </w:r>
                </w:p>
              </w:tc>
              <w:tc>
                <w:tcPr>
                  <w:tcW w:w="801" w:type="dxa"/>
                  <w:tcBorders>
                    <w:left w:val="single" w:color="auto" w:sz="4" w:space="0"/>
                    <w:right w:val="nil"/>
                  </w:tcBorders>
                  <w:vAlign w:val="center"/>
                </w:tcPr>
                <w:p w14:paraId="6E501B2B">
                  <w:pPr>
                    <w:keepNext w:val="0"/>
                    <w:keepLines w:val="0"/>
                    <w:widowControl/>
                    <w:suppressLineNumbers w:val="0"/>
                    <w:spacing w:before="0" w:beforeAutospacing="0" w:after="0" w:afterAutospacing="0"/>
                    <w:ind w:left="0" w:leftChars="0" w:right="0" w:rightChars="0"/>
                    <w:jc w:val="center"/>
                    <w:textAlignment w:val="center"/>
                    <w:rPr>
                      <w:rFonts w:hint="default" w:eastAsia="宋体"/>
                      <w:b w:val="0"/>
                      <w:bCs w:val="0"/>
                      <w:color w:val="auto"/>
                      <w:sz w:val="18"/>
                      <w:highlight w:val="none"/>
                      <w:vertAlign w:val="baseline"/>
                      <w:lang w:val="en-US" w:eastAsia="zh-CN"/>
                    </w:rPr>
                  </w:pPr>
                  <w:r>
                    <w:rPr>
                      <w:rFonts w:hint="eastAsia" w:cs="Times New Roman"/>
                      <w:b w:val="0"/>
                      <w:bCs w:val="0"/>
                      <w:color w:val="auto"/>
                      <w:spacing w:val="-4"/>
                      <w:sz w:val="18"/>
                      <w:szCs w:val="18"/>
                      <w:highlight w:val="none"/>
                      <w:lang w:val="en-US" w:eastAsia="zh-CN"/>
                    </w:rPr>
                    <w:t>0.1191</w:t>
                  </w:r>
                </w:p>
              </w:tc>
            </w:tr>
            <w:tr w14:paraId="7164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left w:val="nil"/>
                    <w:right w:val="single" w:color="auto" w:sz="4" w:space="0"/>
                  </w:tcBorders>
                  <w:vAlign w:val="center"/>
                </w:tcPr>
                <w:p w14:paraId="32E27883">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18"/>
                      <w:szCs w:val="18"/>
                      <w:highlight w:val="none"/>
                      <w:lang w:val="en-US" w:eastAsia="zh-CN"/>
                    </w:rPr>
                  </w:pPr>
                </w:p>
              </w:tc>
              <w:tc>
                <w:tcPr>
                  <w:tcW w:w="483" w:type="pct"/>
                  <w:gridSpan w:val="2"/>
                  <w:tcBorders>
                    <w:left w:val="single" w:color="auto" w:sz="4" w:space="0"/>
                    <w:right w:val="single" w:color="auto" w:sz="4" w:space="0"/>
                  </w:tcBorders>
                  <w:vAlign w:val="center"/>
                </w:tcPr>
                <w:p w14:paraId="3323A32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氟化物</w:t>
                  </w:r>
                </w:p>
              </w:tc>
              <w:tc>
                <w:tcPr>
                  <w:tcW w:w="650" w:type="pct"/>
                  <w:vMerge w:val="continue"/>
                  <w:tcBorders>
                    <w:left w:val="single" w:color="auto" w:sz="4" w:space="0"/>
                    <w:right w:val="single" w:color="auto" w:sz="4" w:space="0"/>
                  </w:tcBorders>
                  <w:vAlign w:val="center"/>
                </w:tcPr>
                <w:p w14:paraId="05165ED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393" w:type="pct"/>
                  <w:vMerge w:val="continue"/>
                  <w:tcBorders>
                    <w:left w:val="single" w:color="auto" w:sz="4" w:space="0"/>
                    <w:right w:val="single" w:color="auto" w:sz="4" w:space="0"/>
                  </w:tcBorders>
                  <w:vAlign w:val="center"/>
                </w:tcPr>
                <w:p w14:paraId="2AF65D20">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89" w:type="pct"/>
                  <w:vMerge w:val="continue"/>
                  <w:tcBorders>
                    <w:left w:val="single" w:color="auto" w:sz="4" w:space="0"/>
                    <w:right w:val="single" w:color="auto" w:sz="4" w:space="0"/>
                  </w:tcBorders>
                  <w:vAlign w:val="center"/>
                </w:tcPr>
                <w:p w14:paraId="75D75D7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24" w:type="pct"/>
                  <w:vMerge w:val="continue"/>
                  <w:tcBorders>
                    <w:left w:val="single" w:color="auto" w:sz="4" w:space="0"/>
                    <w:right w:val="single" w:color="auto" w:sz="4" w:space="0"/>
                  </w:tcBorders>
                  <w:vAlign w:val="center"/>
                </w:tcPr>
                <w:p w14:paraId="063E48E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458" w:type="pct"/>
                  <w:vMerge w:val="continue"/>
                  <w:tcBorders>
                    <w:left w:val="single" w:color="auto" w:sz="4" w:space="0"/>
                    <w:right w:val="single" w:color="auto" w:sz="4" w:space="0"/>
                  </w:tcBorders>
                  <w:vAlign w:val="center"/>
                </w:tcPr>
                <w:p w14:paraId="039EABE0">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eastAsia"/>
                      <w:color w:val="auto"/>
                      <w:sz w:val="18"/>
                      <w:highlight w:val="none"/>
                      <w:vertAlign w:val="baseline"/>
                      <w:lang w:val="en-US" w:eastAsia="zh-CN"/>
                    </w:rPr>
                  </w:pPr>
                </w:p>
              </w:tc>
              <w:tc>
                <w:tcPr>
                  <w:tcW w:w="771" w:type="pct"/>
                  <w:tcBorders>
                    <w:left w:val="single" w:color="auto" w:sz="4" w:space="0"/>
                    <w:right w:val="single" w:color="auto" w:sz="4" w:space="0"/>
                  </w:tcBorders>
                  <w:vAlign w:val="center"/>
                </w:tcPr>
                <w:p w14:paraId="41C1C7F4">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rPr>
                  </w:pPr>
                  <w:r>
                    <w:rPr>
                      <w:rFonts w:hint="default"/>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61CCB41B">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0.0007</w:t>
                  </w:r>
                </w:p>
              </w:tc>
            </w:tr>
            <w:tr w14:paraId="3C8B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4AF668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3</w:t>
                  </w:r>
                  <w:r>
                    <w:rPr>
                      <w:rFonts w:hint="eastAsia" w:ascii="Times New Roman" w:hAnsi="Times New Roman" w:eastAsia="宋体" w:cs="Times New Roman"/>
                      <w:b w:val="0"/>
                      <w:bCs w:val="0"/>
                      <w:color w:val="auto"/>
                      <w:sz w:val="18"/>
                      <w:szCs w:val="18"/>
                      <w:highlight w:val="none"/>
                      <w:lang w:val="en-US" w:eastAsia="zh-CN"/>
                    </w:rPr>
                    <w:t>号楼抛光</w:t>
                  </w:r>
                  <w:r>
                    <w:rPr>
                      <w:rFonts w:hint="eastAsia" w:cs="Times New Roman"/>
                      <w:b w:val="0"/>
                      <w:bCs w:val="0"/>
                      <w:color w:val="auto"/>
                      <w:sz w:val="18"/>
                      <w:szCs w:val="18"/>
                      <w:highlight w:val="none"/>
                      <w:lang w:val="en-US" w:eastAsia="zh-CN"/>
                    </w:rPr>
                    <w:t>、精细抛光</w:t>
                  </w:r>
                  <w:r>
                    <w:rPr>
                      <w:rFonts w:hint="eastAsia" w:ascii="Times New Roman" w:hAnsi="Times New Roman" w:eastAsia="宋体" w:cs="Times New Roman"/>
                      <w:b w:val="0"/>
                      <w:bCs w:val="0"/>
                      <w:color w:val="auto"/>
                      <w:sz w:val="18"/>
                      <w:szCs w:val="18"/>
                      <w:highlight w:val="none"/>
                      <w:lang w:val="en-US" w:eastAsia="zh-CN"/>
                    </w:rPr>
                    <w:t>废气</w:t>
                  </w:r>
                </w:p>
              </w:tc>
              <w:tc>
                <w:tcPr>
                  <w:tcW w:w="483" w:type="pct"/>
                  <w:gridSpan w:val="2"/>
                  <w:tcBorders>
                    <w:left w:val="single" w:color="auto" w:sz="4" w:space="0"/>
                    <w:right w:val="single" w:color="auto" w:sz="4" w:space="0"/>
                  </w:tcBorders>
                  <w:vAlign w:val="center"/>
                </w:tcPr>
                <w:p w14:paraId="10A7DE5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颗粒物</w:t>
                  </w:r>
                </w:p>
              </w:tc>
              <w:tc>
                <w:tcPr>
                  <w:tcW w:w="650" w:type="pct"/>
                  <w:tcBorders>
                    <w:left w:val="single" w:color="auto" w:sz="4" w:space="0"/>
                    <w:right w:val="single" w:color="auto" w:sz="4" w:space="0"/>
                  </w:tcBorders>
                  <w:vAlign w:val="center"/>
                </w:tcPr>
                <w:p w14:paraId="6FAC5BB5">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布袋除尘装置</w:t>
                  </w:r>
                </w:p>
              </w:tc>
              <w:tc>
                <w:tcPr>
                  <w:tcW w:w="393" w:type="pct"/>
                  <w:tcBorders>
                    <w:left w:val="single" w:color="auto" w:sz="4" w:space="0"/>
                    <w:right w:val="single" w:color="auto" w:sz="4" w:space="0"/>
                  </w:tcBorders>
                  <w:vAlign w:val="center"/>
                </w:tcPr>
                <w:p w14:paraId="6A48E51F">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98%</w:t>
                  </w:r>
                </w:p>
              </w:tc>
              <w:tc>
                <w:tcPr>
                  <w:tcW w:w="589" w:type="pct"/>
                  <w:tcBorders>
                    <w:left w:val="single" w:color="auto" w:sz="4" w:space="0"/>
                    <w:right w:val="single" w:color="auto" w:sz="4" w:space="0"/>
                  </w:tcBorders>
                  <w:vAlign w:val="center"/>
                </w:tcPr>
                <w:p w14:paraId="192E460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16000</w:t>
                  </w:r>
                </w:p>
              </w:tc>
              <w:tc>
                <w:tcPr>
                  <w:tcW w:w="524" w:type="pct"/>
                  <w:tcBorders>
                    <w:left w:val="single" w:color="auto" w:sz="4" w:space="0"/>
                    <w:right w:val="single" w:color="auto" w:sz="4" w:space="0"/>
                  </w:tcBorders>
                  <w:vAlign w:val="center"/>
                </w:tcPr>
                <w:p w14:paraId="38521170">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1500</w:t>
                  </w:r>
                </w:p>
              </w:tc>
              <w:tc>
                <w:tcPr>
                  <w:tcW w:w="458" w:type="pct"/>
                  <w:tcBorders>
                    <w:left w:val="single" w:color="auto" w:sz="4" w:space="0"/>
                    <w:right w:val="single" w:color="auto" w:sz="4" w:space="0"/>
                  </w:tcBorders>
                  <w:vAlign w:val="center"/>
                </w:tcPr>
                <w:p w14:paraId="69F4FE9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FQ08</w:t>
                  </w:r>
                </w:p>
              </w:tc>
              <w:tc>
                <w:tcPr>
                  <w:tcW w:w="771" w:type="pct"/>
                  <w:tcBorders>
                    <w:left w:val="single" w:color="auto" w:sz="4" w:space="0"/>
                    <w:right w:val="single" w:color="auto" w:sz="4" w:space="0"/>
                  </w:tcBorders>
                  <w:vAlign w:val="center"/>
                </w:tcPr>
                <w:p w14:paraId="72C9A2A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default"/>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35ABE04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0.0590</w:t>
                  </w:r>
                </w:p>
              </w:tc>
            </w:tr>
            <w:tr w14:paraId="1BA8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40BD90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1号楼压膜、喷涂模剂废气</w:t>
                  </w:r>
                </w:p>
              </w:tc>
              <w:tc>
                <w:tcPr>
                  <w:tcW w:w="483" w:type="pct"/>
                  <w:gridSpan w:val="2"/>
                  <w:tcBorders>
                    <w:left w:val="single" w:color="auto" w:sz="4" w:space="0"/>
                    <w:right w:val="single" w:color="auto" w:sz="4" w:space="0"/>
                  </w:tcBorders>
                  <w:vAlign w:val="center"/>
                </w:tcPr>
                <w:p w14:paraId="4504A8E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非甲烷总烃</w:t>
                  </w:r>
                </w:p>
              </w:tc>
              <w:tc>
                <w:tcPr>
                  <w:tcW w:w="650" w:type="pct"/>
                  <w:tcBorders>
                    <w:left w:val="single" w:color="auto" w:sz="4" w:space="0"/>
                    <w:right w:val="single" w:color="auto" w:sz="4" w:space="0"/>
                  </w:tcBorders>
                  <w:vAlign w:val="center"/>
                </w:tcPr>
                <w:p w14:paraId="0196F517">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一级碱喷淋+一级水喷淋+除雾器+二级活性炭吸附装置</w:t>
                  </w:r>
                </w:p>
              </w:tc>
              <w:tc>
                <w:tcPr>
                  <w:tcW w:w="393" w:type="pct"/>
                  <w:tcBorders>
                    <w:left w:val="single" w:color="auto" w:sz="4" w:space="0"/>
                    <w:right w:val="single" w:color="auto" w:sz="4" w:space="0"/>
                  </w:tcBorders>
                  <w:vAlign w:val="center"/>
                </w:tcPr>
                <w:p w14:paraId="224F6795">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90%</w:t>
                  </w:r>
                </w:p>
              </w:tc>
              <w:tc>
                <w:tcPr>
                  <w:tcW w:w="589" w:type="pct"/>
                  <w:tcBorders>
                    <w:left w:val="single" w:color="auto" w:sz="4" w:space="0"/>
                    <w:right w:val="single" w:color="auto" w:sz="4" w:space="0"/>
                  </w:tcBorders>
                  <w:vAlign w:val="center"/>
                </w:tcPr>
                <w:p w14:paraId="0FD04A19">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7500</w:t>
                  </w:r>
                </w:p>
              </w:tc>
              <w:tc>
                <w:tcPr>
                  <w:tcW w:w="524" w:type="pct"/>
                  <w:tcBorders>
                    <w:left w:val="single" w:color="auto" w:sz="4" w:space="0"/>
                    <w:right w:val="single" w:color="auto" w:sz="4" w:space="0"/>
                  </w:tcBorders>
                  <w:vAlign w:val="center"/>
                </w:tcPr>
                <w:p w14:paraId="613F45D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1800</w:t>
                  </w:r>
                </w:p>
              </w:tc>
              <w:tc>
                <w:tcPr>
                  <w:tcW w:w="458" w:type="pct"/>
                  <w:tcBorders>
                    <w:left w:val="single" w:color="auto" w:sz="4" w:space="0"/>
                    <w:right w:val="single" w:color="auto" w:sz="4" w:space="0"/>
                  </w:tcBorders>
                  <w:vAlign w:val="center"/>
                </w:tcPr>
                <w:p w14:paraId="00FE249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FQ09</w:t>
                  </w:r>
                </w:p>
              </w:tc>
              <w:tc>
                <w:tcPr>
                  <w:tcW w:w="771" w:type="pct"/>
                  <w:tcBorders>
                    <w:left w:val="single" w:color="auto" w:sz="4" w:space="0"/>
                    <w:right w:val="single" w:color="auto" w:sz="4" w:space="0"/>
                  </w:tcBorders>
                  <w:vAlign w:val="center"/>
                </w:tcPr>
                <w:p w14:paraId="7BC38327">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50FF4749">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eastAsia" w:cs="Times New Roman"/>
                      <w:b w:val="0"/>
                      <w:bCs w:val="0"/>
                      <w:i w:val="0"/>
                      <w:iCs w:val="0"/>
                      <w:color w:val="auto"/>
                      <w:kern w:val="0"/>
                      <w:sz w:val="18"/>
                      <w:szCs w:val="18"/>
                      <w:highlight w:val="none"/>
                      <w:u w:val="none"/>
                      <w:lang w:val="en-US" w:eastAsia="zh-CN" w:bidi="ar"/>
                    </w:rPr>
                    <w:t>0.0592</w:t>
                  </w:r>
                </w:p>
              </w:tc>
            </w:tr>
            <w:tr w14:paraId="18C9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7521ABF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2号楼压膜</w:t>
                  </w:r>
                  <w:r>
                    <w:rPr>
                      <w:rFonts w:hint="eastAsia" w:cs="Times New Roman"/>
                      <w:b w:val="0"/>
                      <w:bCs w:val="0"/>
                      <w:color w:val="auto"/>
                      <w:sz w:val="18"/>
                      <w:szCs w:val="18"/>
                      <w:highlight w:val="none"/>
                      <w:lang w:val="en-US" w:eastAsia="zh-CN"/>
                    </w:rPr>
                    <w:t>、喷涂硅油-脱模剂</w:t>
                  </w:r>
                  <w:r>
                    <w:rPr>
                      <w:rFonts w:hint="eastAsia" w:ascii="Times New Roman" w:hAnsi="Times New Roman" w:eastAsia="宋体" w:cs="Times New Roman"/>
                      <w:b w:val="0"/>
                      <w:bCs w:val="0"/>
                      <w:color w:val="auto"/>
                      <w:sz w:val="18"/>
                      <w:szCs w:val="18"/>
                      <w:highlight w:val="none"/>
                      <w:lang w:val="en-US" w:eastAsia="zh-CN"/>
                    </w:rPr>
                    <w:t>废气</w:t>
                  </w:r>
                </w:p>
              </w:tc>
              <w:tc>
                <w:tcPr>
                  <w:tcW w:w="483" w:type="pct"/>
                  <w:gridSpan w:val="2"/>
                  <w:tcBorders>
                    <w:left w:val="single" w:color="auto" w:sz="4" w:space="0"/>
                    <w:right w:val="single" w:color="auto" w:sz="4" w:space="0"/>
                  </w:tcBorders>
                  <w:vAlign w:val="center"/>
                </w:tcPr>
                <w:p w14:paraId="601110C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b w:val="0"/>
                      <w:bCs w:val="0"/>
                      <w:color w:val="auto"/>
                      <w:sz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650" w:type="pct"/>
                  <w:tcBorders>
                    <w:left w:val="single" w:color="auto" w:sz="4" w:space="0"/>
                    <w:right w:val="single" w:color="auto" w:sz="4" w:space="0"/>
                  </w:tcBorders>
                  <w:vAlign w:val="center"/>
                </w:tcPr>
                <w:p w14:paraId="1B8359AF">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一级碱喷淋+一级水喷淋+除雾器+二级活性炭吸附装置</w:t>
                  </w:r>
                </w:p>
              </w:tc>
              <w:tc>
                <w:tcPr>
                  <w:tcW w:w="393" w:type="pct"/>
                  <w:tcBorders>
                    <w:left w:val="single" w:color="auto" w:sz="4" w:space="0"/>
                    <w:right w:val="single" w:color="auto" w:sz="4" w:space="0"/>
                  </w:tcBorders>
                  <w:vAlign w:val="center"/>
                </w:tcPr>
                <w:p w14:paraId="3AEB17AE">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90%</w:t>
                  </w:r>
                </w:p>
              </w:tc>
              <w:tc>
                <w:tcPr>
                  <w:tcW w:w="589" w:type="pct"/>
                  <w:tcBorders>
                    <w:left w:val="single" w:color="auto" w:sz="4" w:space="0"/>
                    <w:right w:val="single" w:color="auto" w:sz="4" w:space="0"/>
                  </w:tcBorders>
                  <w:vAlign w:val="center"/>
                </w:tcPr>
                <w:p w14:paraId="56533F1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7500</w:t>
                  </w:r>
                </w:p>
              </w:tc>
              <w:tc>
                <w:tcPr>
                  <w:tcW w:w="524" w:type="pct"/>
                  <w:tcBorders>
                    <w:left w:val="single" w:color="auto" w:sz="4" w:space="0"/>
                    <w:right w:val="single" w:color="auto" w:sz="4" w:space="0"/>
                  </w:tcBorders>
                  <w:vAlign w:val="center"/>
                </w:tcPr>
                <w:p w14:paraId="7C09A5C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1800</w:t>
                  </w:r>
                </w:p>
              </w:tc>
              <w:tc>
                <w:tcPr>
                  <w:tcW w:w="458" w:type="pct"/>
                  <w:tcBorders>
                    <w:left w:val="single" w:color="auto" w:sz="4" w:space="0"/>
                    <w:right w:val="single" w:color="auto" w:sz="4" w:space="0"/>
                  </w:tcBorders>
                  <w:vAlign w:val="center"/>
                </w:tcPr>
                <w:p w14:paraId="230F9D4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FQ10</w:t>
                  </w:r>
                </w:p>
              </w:tc>
              <w:tc>
                <w:tcPr>
                  <w:tcW w:w="771" w:type="pct"/>
                  <w:tcBorders>
                    <w:left w:val="single" w:color="auto" w:sz="4" w:space="0"/>
                    <w:right w:val="single" w:color="auto" w:sz="4" w:space="0"/>
                  </w:tcBorders>
                  <w:vAlign w:val="center"/>
                </w:tcPr>
                <w:p w14:paraId="253340E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01573E74">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eastAsia" w:cs="Times New Roman"/>
                      <w:b w:val="0"/>
                      <w:bCs w:val="0"/>
                      <w:i w:val="0"/>
                      <w:iCs w:val="0"/>
                      <w:color w:val="auto"/>
                      <w:kern w:val="0"/>
                      <w:sz w:val="18"/>
                      <w:szCs w:val="18"/>
                      <w:highlight w:val="none"/>
                      <w:u w:val="none"/>
                      <w:lang w:val="en-US" w:eastAsia="zh-CN" w:bidi="ar"/>
                    </w:rPr>
                    <w:t>0.0592</w:t>
                  </w:r>
                </w:p>
              </w:tc>
            </w:tr>
            <w:tr w14:paraId="74B2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66D6DD5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4号楼压膜</w:t>
                  </w:r>
                  <w:r>
                    <w:rPr>
                      <w:rFonts w:hint="eastAsia" w:cs="Times New Roman"/>
                      <w:b w:val="0"/>
                      <w:bCs w:val="0"/>
                      <w:color w:val="auto"/>
                      <w:sz w:val="18"/>
                      <w:szCs w:val="18"/>
                      <w:highlight w:val="none"/>
                      <w:lang w:val="en-US" w:eastAsia="zh-CN"/>
                    </w:rPr>
                    <w:t>、喷涂硅油-脱模剂废气</w:t>
                  </w:r>
                  <w:r>
                    <w:rPr>
                      <w:rFonts w:hint="eastAsia" w:ascii="Times New Roman" w:hAnsi="Times New Roman" w:eastAsia="宋体" w:cs="Times New Roman"/>
                      <w:b w:val="0"/>
                      <w:bCs w:val="0"/>
                      <w:color w:val="auto"/>
                      <w:sz w:val="18"/>
                      <w:szCs w:val="18"/>
                      <w:highlight w:val="none"/>
                      <w:lang w:val="en-US" w:eastAsia="zh-CN"/>
                    </w:rPr>
                    <w:t>废气</w:t>
                  </w:r>
                </w:p>
              </w:tc>
              <w:tc>
                <w:tcPr>
                  <w:tcW w:w="483" w:type="pct"/>
                  <w:gridSpan w:val="2"/>
                  <w:tcBorders>
                    <w:left w:val="single" w:color="auto" w:sz="4" w:space="0"/>
                    <w:right w:val="single" w:color="auto" w:sz="4" w:space="0"/>
                  </w:tcBorders>
                  <w:vAlign w:val="center"/>
                </w:tcPr>
                <w:p w14:paraId="35F2801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b w:val="0"/>
                      <w:bCs w:val="0"/>
                      <w:color w:val="auto"/>
                      <w:sz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650" w:type="pct"/>
                  <w:tcBorders>
                    <w:left w:val="single" w:color="auto" w:sz="4" w:space="0"/>
                    <w:right w:val="single" w:color="auto" w:sz="4" w:space="0"/>
                  </w:tcBorders>
                  <w:vAlign w:val="center"/>
                </w:tcPr>
                <w:p w14:paraId="50C919C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一级碱喷淋+一级水喷淋+除雾器+二级活性炭吸附装置</w:t>
                  </w:r>
                </w:p>
              </w:tc>
              <w:tc>
                <w:tcPr>
                  <w:tcW w:w="393" w:type="pct"/>
                  <w:tcBorders>
                    <w:left w:val="single" w:color="auto" w:sz="4" w:space="0"/>
                    <w:right w:val="single" w:color="auto" w:sz="4" w:space="0"/>
                  </w:tcBorders>
                  <w:vAlign w:val="center"/>
                </w:tcPr>
                <w:p w14:paraId="48AE95D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90%</w:t>
                  </w:r>
                </w:p>
              </w:tc>
              <w:tc>
                <w:tcPr>
                  <w:tcW w:w="589" w:type="pct"/>
                  <w:tcBorders>
                    <w:left w:val="single" w:color="auto" w:sz="4" w:space="0"/>
                    <w:right w:val="single" w:color="auto" w:sz="4" w:space="0"/>
                  </w:tcBorders>
                  <w:vAlign w:val="center"/>
                </w:tcPr>
                <w:p w14:paraId="4224EE55">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7500</w:t>
                  </w:r>
                </w:p>
              </w:tc>
              <w:tc>
                <w:tcPr>
                  <w:tcW w:w="524" w:type="pct"/>
                  <w:tcBorders>
                    <w:left w:val="single" w:color="auto" w:sz="4" w:space="0"/>
                    <w:right w:val="single" w:color="auto" w:sz="4" w:space="0"/>
                  </w:tcBorders>
                  <w:vAlign w:val="center"/>
                </w:tcPr>
                <w:p w14:paraId="5C6E09E5">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1800</w:t>
                  </w:r>
                </w:p>
              </w:tc>
              <w:tc>
                <w:tcPr>
                  <w:tcW w:w="458" w:type="pct"/>
                  <w:tcBorders>
                    <w:left w:val="single" w:color="auto" w:sz="4" w:space="0"/>
                    <w:right w:val="single" w:color="auto" w:sz="4" w:space="0"/>
                  </w:tcBorders>
                  <w:vAlign w:val="center"/>
                </w:tcPr>
                <w:p w14:paraId="243415D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FQ11</w:t>
                  </w:r>
                </w:p>
              </w:tc>
              <w:tc>
                <w:tcPr>
                  <w:tcW w:w="771" w:type="pct"/>
                  <w:tcBorders>
                    <w:left w:val="single" w:color="auto" w:sz="4" w:space="0"/>
                    <w:right w:val="single" w:color="auto" w:sz="4" w:space="0"/>
                  </w:tcBorders>
                  <w:vAlign w:val="center"/>
                </w:tcPr>
                <w:p w14:paraId="361999A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685818CA">
                  <w:pPr>
                    <w:keepNext w:val="0"/>
                    <w:keepLines w:val="0"/>
                    <w:widowControl/>
                    <w:suppressLineNumbers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eastAsia" w:cs="Times New Roman"/>
                      <w:b w:val="0"/>
                      <w:bCs w:val="0"/>
                      <w:i w:val="0"/>
                      <w:iCs w:val="0"/>
                      <w:color w:val="auto"/>
                      <w:kern w:val="0"/>
                      <w:sz w:val="18"/>
                      <w:szCs w:val="18"/>
                      <w:highlight w:val="none"/>
                      <w:u w:val="none"/>
                      <w:lang w:val="en-US" w:eastAsia="zh-CN" w:bidi="ar"/>
                    </w:rPr>
                    <w:t>0.0592</w:t>
                  </w:r>
                </w:p>
              </w:tc>
            </w:tr>
            <w:tr w14:paraId="67A4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3BE501C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1号楼抛光</w:t>
                  </w:r>
                  <w:r>
                    <w:rPr>
                      <w:rFonts w:hint="eastAsia" w:cs="Times New Roman"/>
                      <w:b w:val="0"/>
                      <w:bCs w:val="0"/>
                      <w:color w:val="auto"/>
                      <w:sz w:val="18"/>
                      <w:szCs w:val="18"/>
                      <w:highlight w:val="none"/>
                      <w:lang w:val="en-US" w:eastAsia="zh-CN"/>
                    </w:rPr>
                    <w:t>、精细抛光</w:t>
                  </w:r>
                  <w:r>
                    <w:rPr>
                      <w:rFonts w:hint="eastAsia" w:ascii="Times New Roman" w:hAnsi="Times New Roman" w:eastAsia="宋体" w:cs="Times New Roman"/>
                      <w:b w:val="0"/>
                      <w:bCs w:val="0"/>
                      <w:color w:val="auto"/>
                      <w:sz w:val="18"/>
                      <w:szCs w:val="18"/>
                      <w:highlight w:val="none"/>
                      <w:lang w:val="en-US" w:eastAsia="zh-CN"/>
                    </w:rPr>
                    <w:t>废气</w:t>
                  </w:r>
                </w:p>
              </w:tc>
              <w:tc>
                <w:tcPr>
                  <w:tcW w:w="483" w:type="pct"/>
                  <w:gridSpan w:val="2"/>
                  <w:tcBorders>
                    <w:left w:val="single" w:color="auto" w:sz="4" w:space="0"/>
                    <w:right w:val="single" w:color="auto" w:sz="4" w:space="0"/>
                  </w:tcBorders>
                  <w:vAlign w:val="center"/>
                </w:tcPr>
                <w:p w14:paraId="72802E5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b w:val="0"/>
                      <w:bCs w:val="0"/>
                      <w:color w:val="auto"/>
                      <w:sz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lang w:val="en-US" w:eastAsia="zh-CN"/>
                    </w:rPr>
                    <w:t>颗粒物</w:t>
                  </w:r>
                </w:p>
              </w:tc>
              <w:tc>
                <w:tcPr>
                  <w:tcW w:w="650" w:type="pct"/>
                  <w:tcBorders>
                    <w:left w:val="single" w:color="auto" w:sz="4" w:space="0"/>
                    <w:right w:val="single" w:color="auto" w:sz="4" w:space="0"/>
                  </w:tcBorders>
                  <w:vAlign w:val="center"/>
                </w:tcPr>
                <w:p w14:paraId="1CF6BACF">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布袋除尘装置</w:t>
                  </w:r>
                </w:p>
              </w:tc>
              <w:tc>
                <w:tcPr>
                  <w:tcW w:w="393" w:type="pct"/>
                  <w:tcBorders>
                    <w:left w:val="single" w:color="auto" w:sz="4" w:space="0"/>
                    <w:right w:val="single" w:color="auto" w:sz="4" w:space="0"/>
                  </w:tcBorders>
                  <w:vAlign w:val="center"/>
                </w:tcPr>
                <w:p w14:paraId="757918E4">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98%</w:t>
                  </w:r>
                </w:p>
              </w:tc>
              <w:tc>
                <w:tcPr>
                  <w:tcW w:w="589" w:type="pct"/>
                  <w:tcBorders>
                    <w:left w:val="single" w:color="auto" w:sz="4" w:space="0"/>
                    <w:right w:val="single" w:color="auto" w:sz="4" w:space="0"/>
                  </w:tcBorders>
                  <w:vAlign w:val="center"/>
                </w:tcPr>
                <w:p w14:paraId="4213447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16000</w:t>
                  </w:r>
                </w:p>
              </w:tc>
              <w:tc>
                <w:tcPr>
                  <w:tcW w:w="524" w:type="pct"/>
                  <w:tcBorders>
                    <w:left w:val="single" w:color="auto" w:sz="4" w:space="0"/>
                    <w:right w:val="single" w:color="auto" w:sz="4" w:space="0"/>
                  </w:tcBorders>
                  <w:vAlign w:val="center"/>
                </w:tcPr>
                <w:p w14:paraId="3E445A4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1500</w:t>
                  </w:r>
                </w:p>
              </w:tc>
              <w:tc>
                <w:tcPr>
                  <w:tcW w:w="458" w:type="pct"/>
                  <w:tcBorders>
                    <w:left w:val="single" w:color="auto" w:sz="4" w:space="0"/>
                    <w:right w:val="single" w:color="auto" w:sz="4" w:space="0"/>
                  </w:tcBorders>
                  <w:vAlign w:val="center"/>
                </w:tcPr>
                <w:p w14:paraId="09327D50">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FQ12</w:t>
                  </w:r>
                </w:p>
              </w:tc>
              <w:tc>
                <w:tcPr>
                  <w:tcW w:w="771" w:type="pct"/>
                  <w:tcBorders>
                    <w:left w:val="single" w:color="auto" w:sz="4" w:space="0"/>
                    <w:right w:val="single" w:color="auto" w:sz="4" w:space="0"/>
                  </w:tcBorders>
                  <w:vAlign w:val="center"/>
                </w:tcPr>
                <w:p w14:paraId="2BB346F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35AA0DA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0.0616</w:t>
                  </w:r>
                </w:p>
              </w:tc>
            </w:tr>
            <w:tr w14:paraId="7923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7A0DAE2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2号楼抛光</w:t>
                  </w:r>
                  <w:r>
                    <w:rPr>
                      <w:rFonts w:hint="eastAsia" w:cs="Times New Roman"/>
                      <w:b w:val="0"/>
                      <w:bCs w:val="0"/>
                      <w:color w:val="auto"/>
                      <w:sz w:val="18"/>
                      <w:szCs w:val="18"/>
                      <w:highlight w:val="none"/>
                      <w:lang w:val="en-US" w:eastAsia="zh-CN"/>
                    </w:rPr>
                    <w:t>、精细抛光</w:t>
                  </w:r>
                  <w:r>
                    <w:rPr>
                      <w:rFonts w:hint="eastAsia" w:ascii="Times New Roman" w:hAnsi="Times New Roman" w:eastAsia="宋体" w:cs="Times New Roman"/>
                      <w:b w:val="0"/>
                      <w:bCs w:val="0"/>
                      <w:color w:val="auto"/>
                      <w:sz w:val="18"/>
                      <w:szCs w:val="18"/>
                      <w:highlight w:val="none"/>
                      <w:lang w:val="en-US" w:eastAsia="zh-CN"/>
                    </w:rPr>
                    <w:t>废气</w:t>
                  </w:r>
                </w:p>
              </w:tc>
              <w:tc>
                <w:tcPr>
                  <w:tcW w:w="483" w:type="pct"/>
                  <w:gridSpan w:val="2"/>
                  <w:tcBorders>
                    <w:left w:val="single" w:color="auto" w:sz="4" w:space="0"/>
                    <w:right w:val="single" w:color="auto" w:sz="4" w:space="0"/>
                  </w:tcBorders>
                  <w:vAlign w:val="center"/>
                </w:tcPr>
                <w:p w14:paraId="6E4FCB5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b w:val="0"/>
                      <w:bCs w:val="0"/>
                      <w:color w:val="auto"/>
                      <w:sz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lang w:val="en-US" w:eastAsia="zh-CN"/>
                    </w:rPr>
                    <w:t>颗粒物</w:t>
                  </w:r>
                </w:p>
              </w:tc>
              <w:tc>
                <w:tcPr>
                  <w:tcW w:w="650" w:type="pct"/>
                  <w:tcBorders>
                    <w:left w:val="single" w:color="auto" w:sz="4" w:space="0"/>
                    <w:right w:val="single" w:color="auto" w:sz="4" w:space="0"/>
                  </w:tcBorders>
                  <w:vAlign w:val="center"/>
                </w:tcPr>
                <w:p w14:paraId="2B67114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布袋除尘装置</w:t>
                  </w:r>
                </w:p>
              </w:tc>
              <w:tc>
                <w:tcPr>
                  <w:tcW w:w="393" w:type="pct"/>
                  <w:tcBorders>
                    <w:left w:val="single" w:color="auto" w:sz="4" w:space="0"/>
                    <w:right w:val="single" w:color="auto" w:sz="4" w:space="0"/>
                  </w:tcBorders>
                  <w:vAlign w:val="center"/>
                </w:tcPr>
                <w:p w14:paraId="1771514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98%</w:t>
                  </w:r>
                </w:p>
              </w:tc>
              <w:tc>
                <w:tcPr>
                  <w:tcW w:w="589" w:type="pct"/>
                  <w:tcBorders>
                    <w:left w:val="single" w:color="auto" w:sz="4" w:space="0"/>
                    <w:right w:val="single" w:color="auto" w:sz="4" w:space="0"/>
                  </w:tcBorders>
                  <w:vAlign w:val="center"/>
                </w:tcPr>
                <w:p w14:paraId="3036320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16000</w:t>
                  </w:r>
                </w:p>
              </w:tc>
              <w:tc>
                <w:tcPr>
                  <w:tcW w:w="524" w:type="pct"/>
                  <w:tcBorders>
                    <w:left w:val="single" w:color="auto" w:sz="4" w:space="0"/>
                    <w:right w:val="single" w:color="auto" w:sz="4" w:space="0"/>
                  </w:tcBorders>
                  <w:vAlign w:val="center"/>
                </w:tcPr>
                <w:p w14:paraId="258BBF4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1500</w:t>
                  </w:r>
                </w:p>
              </w:tc>
              <w:tc>
                <w:tcPr>
                  <w:tcW w:w="458" w:type="pct"/>
                  <w:tcBorders>
                    <w:left w:val="single" w:color="auto" w:sz="4" w:space="0"/>
                    <w:right w:val="single" w:color="auto" w:sz="4" w:space="0"/>
                  </w:tcBorders>
                  <w:vAlign w:val="center"/>
                </w:tcPr>
                <w:p w14:paraId="5AE7701E">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FQ13</w:t>
                  </w:r>
                </w:p>
              </w:tc>
              <w:tc>
                <w:tcPr>
                  <w:tcW w:w="771" w:type="pct"/>
                  <w:tcBorders>
                    <w:left w:val="single" w:color="auto" w:sz="4" w:space="0"/>
                    <w:right w:val="single" w:color="auto" w:sz="4" w:space="0"/>
                  </w:tcBorders>
                  <w:vAlign w:val="center"/>
                </w:tcPr>
                <w:p w14:paraId="1A3EF24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53936C2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0.0616</w:t>
                  </w:r>
                </w:p>
              </w:tc>
            </w:tr>
            <w:tr w14:paraId="665C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tcBorders>
                    <w:left w:val="nil"/>
                    <w:right w:val="single" w:color="auto" w:sz="4" w:space="0"/>
                  </w:tcBorders>
                  <w:vAlign w:val="center"/>
                </w:tcPr>
                <w:p w14:paraId="0F17599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4号楼抛光</w:t>
                  </w:r>
                  <w:r>
                    <w:rPr>
                      <w:rFonts w:hint="eastAsia" w:cs="Times New Roman"/>
                      <w:b w:val="0"/>
                      <w:bCs w:val="0"/>
                      <w:color w:val="auto"/>
                      <w:sz w:val="18"/>
                      <w:szCs w:val="18"/>
                      <w:highlight w:val="none"/>
                      <w:lang w:val="en-US" w:eastAsia="zh-CN"/>
                    </w:rPr>
                    <w:t>、精细抛光</w:t>
                  </w:r>
                  <w:r>
                    <w:rPr>
                      <w:rFonts w:hint="eastAsia" w:ascii="Times New Roman" w:hAnsi="Times New Roman" w:eastAsia="宋体" w:cs="Times New Roman"/>
                      <w:b w:val="0"/>
                      <w:bCs w:val="0"/>
                      <w:color w:val="auto"/>
                      <w:sz w:val="18"/>
                      <w:szCs w:val="18"/>
                      <w:highlight w:val="none"/>
                      <w:lang w:val="en-US" w:eastAsia="zh-CN"/>
                    </w:rPr>
                    <w:t>废气</w:t>
                  </w:r>
                </w:p>
              </w:tc>
              <w:tc>
                <w:tcPr>
                  <w:tcW w:w="483" w:type="pct"/>
                  <w:gridSpan w:val="2"/>
                  <w:tcBorders>
                    <w:left w:val="single" w:color="auto" w:sz="4" w:space="0"/>
                    <w:right w:val="single" w:color="auto" w:sz="4" w:space="0"/>
                  </w:tcBorders>
                  <w:vAlign w:val="center"/>
                </w:tcPr>
                <w:p w14:paraId="41F3FA3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b w:val="0"/>
                      <w:bCs w:val="0"/>
                      <w:color w:val="auto"/>
                      <w:sz w:val="18"/>
                      <w:highlight w:val="none"/>
                      <w:vertAlign w:val="baseline"/>
                      <w:lang w:val="en-US" w:eastAsia="zh-CN"/>
                    </w:rPr>
                  </w:pPr>
                  <w:r>
                    <w:rPr>
                      <w:rFonts w:hint="eastAsia" w:ascii="Times New Roman" w:hAnsi="Times New Roman" w:eastAsia="宋体" w:cs="Times New Roman"/>
                      <w:b w:val="0"/>
                      <w:bCs w:val="0"/>
                      <w:color w:val="auto"/>
                      <w:sz w:val="18"/>
                      <w:szCs w:val="18"/>
                      <w:highlight w:val="none"/>
                      <w:lang w:val="en-US" w:eastAsia="zh-CN"/>
                    </w:rPr>
                    <w:t>颗粒物</w:t>
                  </w:r>
                </w:p>
              </w:tc>
              <w:tc>
                <w:tcPr>
                  <w:tcW w:w="650" w:type="pct"/>
                  <w:tcBorders>
                    <w:left w:val="single" w:color="auto" w:sz="4" w:space="0"/>
                    <w:right w:val="single" w:color="auto" w:sz="4" w:space="0"/>
                  </w:tcBorders>
                  <w:vAlign w:val="center"/>
                </w:tcPr>
                <w:p w14:paraId="6FEFFCE3">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布袋除尘装置</w:t>
                  </w:r>
                </w:p>
              </w:tc>
              <w:tc>
                <w:tcPr>
                  <w:tcW w:w="393" w:type="pct"/>
                  <w:tcBorders>
                    <w:left w:val="single" w:color="auto" w:sz="4" w:space="0"/>
                    <w:right w:val="single" w:color="auto" w:sz="4" w:space="0"/>
                  </w:tcBorders>
                  <w:vAlign w:val="center"/>
                </w:tcPr>
                <w:p w14:paraId="0347E9CD">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98%</w:t>
                  </w:r>
                </w:p>
              </w:tc>
              <w:tc>
                <w:tcPr>
                  <w:tcW w:w="589" w:type="pct"/>
                  <w:tcBorders>
                    <w:left w:val="single" w:color="auto" w:sz="4" w:space="0"/>
                    <w:right w:val="single" w:color="auto" w:sz="4" w:space="0"/>
                  </w:tcBorders>
                  <w:vAlign w:val="center"/>
                </w:tcPr>
                <w:p w14:paraId="34502595">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16000</w:t>
                  </w:r>
                </w:p>
              </w:tc>
              <w:tc>
                <w:tcPr>
                  <w:tcW w:w="524" w:type="pct"/>
                  <w:tcBorders>
                    <w:left w:val="single" w:color="auto" w:sz="4" w:space="0"/>
                    <w:right w:val="single" w:color="auto" w:sz="4" w:space="0"/>
                  </w:tcBorders>
                  <w:vAlign w:val="center"/>
                </w:tcPr>
                <w:p w14:paraId="224B159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leftChars="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1500</w:t>
                  </w:r>
                </w:p>
              </w:tc>
              <w:tc>
                <w:tcPr>
                  <w:tcW w:w="458" w:type="pct"/>
                  <w:tcBorders>
                    <w:left w:val="single" w:color="auto" w:sz="4" w:space="0"/>
                    <w:right w:val="single" w:color="auto" w:sz="4" w:space="0"/>
                  </w:tcBorders>
                  <w:vAlign w:val="center"/>
                </w:tcPr>
                <w:p w14:paraId="12CCC7E6">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FQ14</w:t>
                  </w:r>
                </w:p>
              </w:tc>
              <w:tc>
                <w:tcPr>
                  <w:tcW w:w="771" w:type="pct"/>
                  <w:tcBorders>
                    <w:left w:val="single" w:color="auto" w:sz="4" w:space="0"/>
                    <w:right w:val="single" w:color="auto" w:sz="4" w:space="0"/>
                  </w:tcBorders>
                  <w:vAlign w:val="center"/>
                </w:tcPr>
                <w:p w14:paraId="00A03103">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4F931AB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0.0616</w:t>
                  </w:r>
                </w:p>
              </w:tc>
            </w:tr>
            <w:tr w14:paraId="20C0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restart"/>
                  <w:tcBorders>
                    <w:left w:val="nil"/>
                    <w:right w:val="single" w:color="auto" w:sz="4" w:space="0"/>
                  </w:tcBorders>
                  <w:vAlign w:val="center"/>
                </w:tcPr>
                <w:p w14:paraId="097181A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1号楼激光切割废气</w:t>
                  </w:r>
                </w:p>
              </w:tc>
              <w:tc>
                <w:tcPr>
                  <w:tcW w:w="483" w:type="pct"/>
                  <w:gridSpan w:val="2"/>
                  <w:tcBorders>
                    <w:left w:val="single" w:color="auto" w:sz="4" w:space="0"/>
                    <w:right w:val="single" w:color="auto" w:sz="4" w:space="0"/>
                  </w:tcBorders>
                  <w:vAlign w:val="center"/>
                </w:tcPr>
                <w:p w14:paraId="510926F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olor w:val="auto"/>
                      <w:sz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50" w:type="pct"/>
                  <w:vMerge w:val="restart"/>
                  <w:tcBorders>
                    <w:left w:val="single" w:color="auto" w:sz="4" w:space="0"/>
                    <w:right w:val="single" w:color="auto" w:sz="4" w:space="0"/>
                  </w:tcBorders>
                  <w:vAlign w:val="center"/>
                </w:tcPr>
                <w:p w14:paraId="4993C4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393" w:type="pct"/>
                  <w:vMerge w:val="restart"/>
                  <w:tcBorders>
                    <w:left w:val="single" w:color="auto" w:sz="4" w:space="0"/>
                    <w:right w:val="single" w:color="auto" w:sz="4" w:space="0"/>
                  </w:tcBorders>
                  <w:vAlign w:val="center"/>
                </w:tcPr>
                <w:p w14:paraId="315651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589" w:type="pct"/>
                  <w:vMerge w:val="restart"/>
                  <w:tcBorders>
                    <w:left w:val="single" w:color="auto" w:sz="4" w:space="0"/>
                    <w:right w:val="single" w:color="auto" w:sz="4" w:space="0"/>
                  </w:tcBorders>
                  <w:vAlign w:val="center"/>
                </w:tcPr>
                <w:p w14:paraId="7E6E3B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15000</w:t>
                  </w:r>
                </w:p>
              </w:tc>
              <w:tc>
                <w:tcPr>
                  <w:tcW w:w="524" w:type="pct"/>
                  <w:vMerge w:val="restart"/>
                  <w:tcBorders>
                    <w:left w:val="single" w:color="auto" w:sz="4" w:space="0"/>
                    <w:right w:val="single" w:color="auto" w:sz="4" w:space="0"/>
                  </w:tcBorders>
                  <w:vAlign w:val="center"/>
                </w:tcPr>
                <w:p w14:paraId="7B839C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600</w:t>
                  </w:r>
                </w:p>
              </w:tc>
              <w:tc>
                <w:tcPr>
                  <w:tcW w:w="458" w:type="pct"/>
                  <w:vMerge w:val="restart"/>
                  <w:tcBorders>
                    <w:left w:val="single" w:color="auto" w:sz="4" w:space="0"/>
                    <w:right w:val="single" w:color="auto" w:sz="4" w:space="0"/>
                  </w:tcBorders>
                  <w:vAlign w:val="center"/>
                </w:tcPr>
                <w:p w14:paraId="19BBEBA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FQ15</w:t>
                  </w:r>
                </w:p>
              </w:tc>
              <w:tc>
                <w:tcPr>
                  <w:tcW w:w="771" w:type="pct"/>
                  <w:vMerge w:val="restart"/>
                  <w:tcBorders>
                    <w:left w:val="single" w:color="auto" w:sz="4" w:space="0"/>
                    <w:right w:val="single" w:color="auto" w:sz="4" w:space="0"/>
                  </w:tcBorders>
                  <w:vAlign w:val="center"/>
                </w:tcPr>
                <w:p w14:paraId="5AABCCA3">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71A9EB4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0.0065 </w:t>
                  </w:r>
                </w:p>
              </w:tc>
            </w:tr>
            <w:tr w14:paraId="68DF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left w:val="nil"/>
                    <w:right w:val="single" w:color="auto" w:sz="4" w:space="0"/>
                  </w:tcBorders>
                  <w:vAlign w:val="center"/>
                </w:tcPr>
                <w:p w14:paraId="1C5EC17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83" w:type="pct"/>
                  <w:gridSpan w:val="2"/>
                  <w:tcBorders>
                    <w:left w:val="single" w:color="auto" w:sz="4" w:space="0"/>
                    <w:right w:val="single" w:color="auto" w:sz="4" w:space="0"/>
                  </w:tcBorders>
                  <w:vAlign w:val="center"/>
                </w:tcPr>
                <w:p w14:paraId="33328B1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olor w:val="auto"/>
                      <w:sz w:val="18"/>
                      <w:highlight w:val="none"/>
                      <w:vertAlign w:val="baseli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氮氧化物</w:t>
                  </w:r>
                </w:p>
              </w:tc>
              <w:tc>
                <w:tcPr>
                  <w:tcW w:w="650" w:type="pct"/>
                  <w:vMerge w:val="continue"/>
                  <w:tcBorders>
                    <w:left w:val="single" w:color="auto" w:sz="4" w:space="0"/>
                    <w:right w:val="single" w:color="auto" w:sz="4" w:space="0"/>
                  </w:tcBorders>
                  <w:vAlign w:val="center"/>
                </w:tcPr>
                <w:p w14:paraId="36BE94E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393" w:type="pct"/>
                  <w:vMerge w:val="continue"/>
                  <w:tcBorders>
                    <w:left w:val="single" w:color="auto" w:sz="4" w:space="0"/>
                    <w:right w:val="single" w:color="auto" w:sz="4" w:space="0"/>
                  </w:tcBorders>
                  <w:vAlign w:val="center"/>
                </w:tcPr>
                <w:p w14:paraId="169D0112">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89" w:type="pct"/>
                  <w:vMerge w:val="continue"/>
                  <w:tcBorders>
                    <w:left w:val="single" w:color="auto" w:sz="4" w:space="0"/>
                    <w:right w:val="single" w:color="auto" w:sz="4" w:space="0"/>
                  </w:tcBorders>
                  <w:vAlign w:val="center"/>
                </w:tcPr>
                <w:p w14:paraId="13D4F1D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24" w:type="pct"/>
                  <w:vMerge w:val="continue"/>
                  <w:tcBorders>
                    <w:left w:val="single" w:color="auto" w:sz="4" w:space="0"/>
                    <w:right w:val="single" w:color="auto" w:sz="4" w:space="0"/>
                  </w:tcBorders>
                  <w:vAlign w:val="center"/>
                </w:tcPr>
                <w:p w14:paraId="0C2E17B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458" w:type="pct"/>
                  <w:vMerge w:val="continue"/>
                  <w:tcBorders>
                    <w:left w:val="single" w:color="auto" w:sz="4" w:space="0"/>
                    <w:right w:val="single" w:color="auto" w:sz="4" w:space="0"/>
                  </w:tcBorders>
                  <w:vAlign w:val="center"/>
                </w:tcPr>
                <w:p w14:paraId="571BF3E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lang w:val="en-US" w:eastAsia="zh-CN"/>
                    </w:rPr>
                  </w:pPr>
                </w:p>
              </w:tc>
              <w:tc>
                <w:tcPr>
                  <w:tcW w:w="771" w:type="pct"/>
                  <w:vMerge w:val="continue"/>
                  <w:tcBorders>
                    <w:left w:val="single" w:color="auto" w:sz="4" w:space="0"/>
                    <w:right w:val="single" w:color="auto" w:sz="4" w:space="0"/>
                  </w:tcBorders>
                  <w:vAlign w:val="center"/>
                </w:tcPr>
                <w:p w14:paraId="1A93CAC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p>
              </w:tc>
              <w:tc>
                <w:tcPr>
                  <w:tcW w:w="801" w:type="dxa"/>
                  <w:tcBorders>
                    <w:left w:val="single" w:color="auto" w:sz="4" w:space="0"/>
                    <w:right w:val="nil"/>
                  </w:tcBorders>
                  <w:vAlign w:val="center"/>
                </w:tcPr>
                <w:p w14:paraId="2374445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0.0034 </w:t>
                  </w:r>
                </w:p>
              </w:tc>
            </w:tr>
            <w:tr w14:paraId="26C0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restart"/>
                  <w:tcBorders>
                    <w:left w:val="nil"/>
                    <w:right w:val="single" w:color="auto" w:sz="4" w:space="0"/>
                  </w:tcBorders>
                  <w:vAlign w:val="center"/>
                </w:tcPr>
                <w:p w14:paraId="1CAC616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2号楼激光切割废气</w:t>
                  </w:r>
                </w:p>
              </w:tc>
              <w:tc>
                <w:tcPr>
                  <w:tcW w:w="483" w:type="pct"/>
                  <w:gridSpan w:val="2"/>
                  <w:tcBorders>
                    <w:left w:val="single" w:color="auto" w:sz="4" w:space="0"/>
                    <w:right w:val="single" w:color="auto" w:sz="4" w:space="0"/>
                  </w:tcBorders>
                  <w:vAlign w:val="center"/>
                </w:tcPr>
                <w:p w14:paraId="343A722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olor w:val="auto"/>
                      <w:sz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50" w:type="pct"/>
                  <w:vMerge w:val="restart"/>
                  <w:tcBorders>
                    <w:left w:val="single" w:color="auto" w:sz="4" w:space="0"/>
                    <w:right w:val="single" w:color="auto" w:sz="4" w:space="0"/>
                  </w:tcBorders>
                  <w:vAlign w:val="center"/>
                </w:tcPr>
                <w:p w14:paraId="189A97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393" w:type="pct"/>
                  <w:vMerge w:val="restart"/>
                  <w:tcBorders>
                    <w:left w:val="single" w:color="auto" w:sz="4" w:space="0"/>
                    <w:right w:val="single" w:color="auto" w:sz="4" w:space="0"/>
                  </w:tcBorders>
                  <w:vAlign w:val="center"/>
                </w:tcPr>
                <w:p w14:paraId="2284F3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589" w:type="pct"/>
                  <w:vMerge w:val="restart"/>
                  <w:tcBorders>
                    <w:left w:val="single" w:color="auto" w:sz="4" w:space="0"/>
                    <w:right w:val="single" w:color="auto" w:sz="4" w:space="0"/>
                  </w:tcBorders>
                  <w:vAlign w:val="center"/>
                </w:tcPr>
                <w:p w14:paraId="0B1737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15000</w:t>
                  </w:r>
                </w:p>
              </w:tc>
              <w:tc>
                <w:tcPr>
                  <w:tcW w:w="524" w:type="pct"/>
                  <w:vMerge w:val="restart"/>
                  <w:tcBorders>
                    <w:left w:val="single" w:color="auto" w:sz="4" w:space="0"/>
                    <w:right w:val="single" w:color="auto" w:sz="4" w:space="0"/>
                  </w:tcBorders>
                  <w:vAlign w:val="center"/>
                </w:tcPr>
                <w:p w14:paraId="1B9638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600</w:t>
                  </w:r>
                </w:p>
              </w:tc>
              <w:tc>
                <w:tcPr>
                  <w:tcW w:w="458" w:type="pct"/>
                  <w:vMerge w:val="restart"/>
                  <w:tcBorders>
                    <w:left w:val="single" w:color="auto" w:sz="4" w:space="0"/>
                    <w:right w:val="single" w:color="auto" w:sz="4" w:space="0"/>
                  </w:tcBorders>
                  <w:vAlign w:val="center"/>
                </w:tcPr>
                <w:p w14:paraId="3E1D4C9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lang w:val="en-US" w:eastAsia="zh-CN"/>
                    </w:rPr>
                  </w:pPr>
                  <w:r>
                    <w:rPr>
                      <w:rFonts w:hint="eastAsia"/>
                      <w:color w:val="auto"/>
                      <w:sz w:val="18"/>
                      <w:highlight w:val="none"/>
                      <w:vertAlign w:val="baseline"/>
                      <w:lang w:val="en-US" w:eastAsia="zh-CN"/>
                    </w:rPr>
                    <w:t>FQ16</w:t>
                  </w:r>
                </w:p>
              </w:tc>
              <w:tc>
                <w:tcPr>
                  <w:tcW w:w="771" w:type="pct"/>
                  <w:vMerge w:val="restart"/>
                  <w:tcBorders>
                    <w:left w:val="single" w:color="auto" w:sz="4" w:space="0"/>
                    <w:right w:val="single" w:color="auto" w:sz="4" w:space="0"/>
                  </w:tcBorders>
                  <w:vAlign w:val="center"/>
                </w:tcPr>
                <w:p w14:paraId="1A74C27E">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5FC614D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0.0065 </w:t>
                  </w:r>
                </w:p>
              </w:tc>
            </w:tr>
            <w:tr w14:paraId="02AD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left w:val="nil"/>
                    <w:right w:val="single" w:color="auto" w:sz="4" w:space="0"/>
                  </w:tcBorders>
                  <w:vAlign w:val="center"/>
                </w:tcPr>
                <w:p w14:paraId="383406E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83" w:type="pct"/>
                  <w:gridSpan w:val="2"/>
                  <w:tcBorders>
                    <w:left w:val="single" w:color="auto" w:sz="4" w:space="0"/>
                    <w:right w:val="single" w:color="auto" w:sz="4" w:space="0"/>
                  </w:tcBorders>
                  <w:vAlign w:val="center"/>
                </w:tcPr>
                <w:p w14:paraId="4C11B6C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olor w:val="auto"/>
                      <w:sz w:val="18"/>
                      <w:highlight w:val="none"/>
                      <w:vertAlign w:val="baseli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氮氧化物</w:t>
                  </w:r>
                </w:p>
              </w:tc>
              <w:tc>
                <w:tcPr>
                  <w:tcW w:w="650" w:type="pct"/>
                  <w:vMerge w:val="continue"/>
                  <w:tcBorders>
                    <w:left w:val="single" w:color="auto" w:sz="4" w:space="0"/>
                    <w:right w:val="single" w:color="auto" w:sz="4" w:space="0"/>
                  </w:tcBorders>
                  <w:vAlign w:val="center"/>
                </w:tcPr>
                <w:p w14:paraId="20E6983E">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393" w:type="pct"/>
                  <w:vMerge w:val="continue"/>
                  <w:tcBorders>
                    <w:left w:val="single" w:color="auto" w:sz="4" w:space="0"/>
                    <w:right w:val="single" w:color="auto" w:sz="4" w:space="0"/>
                  </w:tcBorders>
                  <w:vAlign w:val="center"/>
                </w:tcPr>
                <w:p w14:paraId="3ED7AA5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89" w:type="pct"/>
                  <w:vMerge w:val="continue"/>
                  <w:tcBorders>
                    <w:left w:val="single" w:color="auto" w:sz="4" w:space="0"/>
                    <w:right w:val="single" w:color="auto" w:sz="4" w:space="0"/>
                  </w:tcBorders>
                  <w:vAlign w:val="center"/>
                </w:tcPr>
                <w:p w14:paraId="74D7AFF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24" w:type="pct"/>
                  <w:vMerge w:val="continue"/>
                  <w:tcBorders>
                    <w:left w:val="single" w:color="auto" w:sz="4" w:space="0"/>
                    <w:right w:val="single" w:color="auto" w:sz="4" w:space="0"/>
                  </w:tcBorders>
                  <w:vAlign w:val="center"/>
                </w:tcPr>
                <w:p w14:paraId="77FB82E3">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458" w:type="pct"/>
                  <w:vMerge w:val="continue"/>
                  <w:tcBorders>
                    <w:left w:val="single" w:color="auto" w:sz="4" w:space="0"/>
                    <w:right w:val="single" w:color="auto" w:sz="4" w:space="0"/>
                  </w:tcBorders>
                  <w:vAlign w:val="center"/>
                </w:tcPr>
                <w:p w14:paraId="0E82DEEF">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default"/>
                      <w:color w:val="auto"/>
                      <w:sz w:val="18"/>
                      <w:highlight w:val="none"/>
                      <w:vertAlign w:val="baseline"/>
                      <w:lang w:val="en-US" w:eastAsia="zh-CN"/>
                    </w:rPr>
                  </w:pPr>
                </w:p>
              </w:tc>
              <w:tc>
                <w:tcPr>
                  <w:tcW w:w="771" w:type="pct"/>
                  <w:vMerge w:val="continue"/>
                  <w:tcBorders>
                    <w:left w:val="single" w:color="auto" w:sz="4" w:space="0"/>
                    <w:right w:val="single" w:color="auto" w:sz="4" w:space="0"/>
                  </w:tcBorders>
                  <w:vAlign w:val="center"/>
                </w:tcPr>
                <w:p w14:paraId="5C532D7A">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p>
              </w:tc>
              <w:tc>
                <w:tcPr>
                  <w:tcW w:w="801" w:type="dxa"/>
                  <w:tcBorders>
                    <w:left w:val="single" w:color="auto" w:sz="4" w:space="0"/>
                    <w:right w:val="nil"/>
                  </w:tcBorders>
                  <w:vAlign w:val="center"/>
                </w:tcPr>
                <w:p w14:paraId="65E8D17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0.0034 </w:t>
                  </w:r>
                </w:p>
              </w:tc>
            </w:tr>
            <w:tr w14:paraId="0643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restart"/>
                  <w:tcBorders>
                    <w:left w:val="nil"/>
                    <w:right w:val="single" w:color="auto" w:sz="4" w:space="0"/>
                  </w:tcBorders>
                  <w:vAlign w:val="center"/>
                </w:tcPr>
                <w:p w14:paraId="5AD23D5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3号楼激光切割废气</w:t>
                  </w:r>
                </w:p>
              </w:tc>
              <w:tc>
                <w:tcPr>
                  <w:tcW w:w="483" w:type="pct"/>
                  <w:gridSpan w:val="2"/>
                  <w:tcBorders>
                    <w:left w:val="single" w:color="auto" w:sz="4" w:space="0"/>
                    <w:right w:val="single" w:color="auto" w:sz="4" w:space="0"/>
                  </w:tcBorders>
                  <w:vAlign w:val="center"/>
                </w:tcPr>
                <w:p w14:paraId="0BB1377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olor w:val="auto"/>
                      <w:sz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50" w:type="pct"/>
                  <w:vMerge w:val="restart"/>
                  <w:tcBorders>
                    <w:left w:val="single" w:color="auto" w:sz="4" w:space="0"/>
                    <w:right w:val="single" w:color="auto" w:sz="4" w:space="0"/>
                  </w:tcBorders>
                  <w:vAlign w:val="center"/>
                </w:tcPr>
                <w:p w14:paraId="353B45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393" w:type="pct"/>
                  <w:vMerge w:val="restart"/>
                  <w:tcBorders>
                    <w:left w:val="single" w:color="auto" w:sz="4" w:space="0"/>
                    <w:right w:val="single" w:color="auto" w:sz="4" w:space="0"/>
                  </w:tcBorders>
                  <w:vAlign w:val="center"/>
                </w:tcPr>
                <w:p w14:paraId="413AC5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589" w:type="pct"/>
                  <w:vMerge w:val="restart"/>
                  <w:tcBorders>
                    <w:left w:val="single" w:color="auto" w:sz="4" w:space="0"/>
                    <w:right w:val="single" w:color="auto" w:sz="4" w:space="0"/>
                  </w:tcBorders>
                  <w:vAlign w:val="center"/>
                </w:tcPr>
                <w:p w14:paraId="0FBBB2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15000</w:t>
                  </w:r>
                </w:p>
              </w:tc>
              <w:tc>
                <w:tcPr>
                  <w:tcW w:w="524" w:type="pct"/>
                  <w:vMerge w:val="restart"/>
                  <w:tcBorders>
                    <w:left w:val="single" w:color="auto" w:sz="4" w:space="0"/>
                    <w:right w:val="single" w:color="auto" w:sz="4" w:space="0"/>
                  </w:tcBorders>
                  <w:vAlign w:val="center"/>
                </w:tcPr>
                <w:p w14:paraId="2ABACA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600</w:t>
                  </w:r>
                </w:p>
              </w:tc>
              <w:tc>
                <w:tcPr>
                  <w:tcW w:w="458" w:type="pct"/>
                  <w:vMerge w:val="restart"/>
                  <w:tcBorders>
                    <w:left w:val="single" w:color="auto" w:sz="4" w:space="0"/>
                    <w:right w:val="single" w:color="auto" w:sz="4" w:space="0"/>
                  </w:tcBorders>
                  <w:vAlign w:val="center"/>
                </w:tcPr>
                <w:p w14:paraId="6C4A2187">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FQ17</w:t>
                  </w:r>
                </w:p>
              </w:tc>
              <w:tc>
                <w:tcPr>
                  <w:tcW w:w="771" w:type="pct"/>
                  <w:vMerge w:val="restart"/>
                  <w:tcBorders>
                    <w:left w:val="single" w:color="auto" w:sz="4" w:space="0"/>
                    <w:right w:val="single" w:color="auto" w:sz="4" w:space="0"/>
                  </w:tcBorders>
                  <w:vAlign w:val="center"/>
                </w:tcPr>
                <w:p w14:paraId="2DC89619">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47E6271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0.0065 </w:t>
                  </w:r>
                </w:p>
              </w:tc>
            </w:tr>
            <w:tr w14:paraId="6FCF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left w:val="nil"/>
                    <w:right w:val="single" w:color="auto" w:sz="4" w:space="0"/>
                  </w:tcBorders>
                  <w:vAlign w:val="center"/>
                </w:tcPr>
                <w:p w14:paraId="44BACCC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83" w:type="pct"/>
                  <w:gridSpan w:val="2"/>
                  <w:tcBorders>
                    <w:left w:val="single" w:color="auto" w:sz="4" w:space="0"/>
                    <w:right w:val="single" w:color="auto" w:sz="4" w:space="0"/>
                  </w:tcBorders>
                  <w:vAlign w:val="center"/>
                </w:tcPr>
                <w:p w14:paraId="75B8887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olor w:val="auto"/>
                      <w:sz w:val="18"/>
                      <w:highlight w:val="none"/>
                      <w:vertAlign w:val="baseli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氮氧化物</w:t>
                  </w:r>
                </w:p>
              </w:tc>
              <w:tc>
                <w:tcPr>
                  <w:tcW w:w="650" w:type="pct"/>
                  <w:vMerge w:val="continue"/>
                  <w:tcBorders>
                    <w:left w:val="single" w:color="auto" w:sz="4" w:space="0"/>
                    <w:right w:val="single" w:color="auto" w:sz="4" w:space="0"/>
                  </w:tcBorders>
                  <w:vAlign w:val="center"/>
                </w:tcPr>
                <w:p w14:paraId="7123A3A6">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393" w:type="pct"/>
                  <w:vMerge w:val="continue"/>
                  <w:tcBorders>
                    <w:left w:val="single" w:color="auto" w:sz="4" w:space="0"/>
                    <w:right w:val="single" w:color="auto" w:sz="4" w:space="0"/>
                  </w:tcBorders>
                  <w:vAlign w:val="center"/>
                </w:tcPr>
                <w:p w14:paraId="1E2467DC">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89" w:type="pct"/>
                  <w:vMerge w:val="continue"/>
                  <w:tcBorders>
                    <w:left w:val="single" w:color="auto" w:sz="4" w:space="0"/>
                    <w:right w:val="single" w:color="auto" w:sz="4" w:space="0"/>
                  </w:tcBorders>
                  <w:vAlign w:val="center"/>
                </w:tcPr>
                <w:p w14:paraId="0DA45203">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24" w:type="pct"/>
                  <w:vMerge w:val="continue"/>
                  <w:tcBorders>
                    <w:left w:val="single" w:color="auto" w:sz="4" w:space="0"/>
                    <w:right w:val="single" w:color="auto" w:sz="4" w:space="0"/>
                  </w:tcBorders>
                  <w:vAlign w:val="center"/>
                </w:tcPr>
                <w:p w14:paraId="706F2D6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458" w:type="pct"/>
                  <w:vMerge w:val="continue"/>
                  <w:tcBorders>
                    <w:left w:val="single" w:color="auto" w:sz="4" w:space="0"/>
                    <w:right w:val="single" w:color="auto" w:sz="4" w:space="0"/>
                  </w:tcBorders>
                  <w:vAlign w:val="center"/>
                </w:tcPr>
                <w:p w14:paraId="6E468B07">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eastAsia"/>
                      <w:color w:val="auto"/>
                      <w:sz w:val="18"/>
                      <w:highlight w:val="none"/>
                      <w:vertAlign w:val="baseline"/>
                      <w:lang w:val="en-US" w:eastAsia="zh-CN"/>
                    </w:rPr>
                  </w:pPr>
                </w:p>
              </w:tc>
              <w:tc>
                <w:tcPr>
                  <w:tcW w:w="771" w:type="pct"/>
                  <w:vMerge w:val="continue"/>
                  <w:tcBorders>
                    <w:left w:val="single" w:color="auto" w:sz="4" w:space="0"/>
                    <w:right w:val="single" w:color="auto" w:sz="4" w:space="0"/>
                  </w:tcBorders>
                  <w:vAlign w:val="center"/>
                </w:tcPr>
                <w:p w14:paraId="20714AD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p>
              </w:tc>
              <w:tc>
                <w:tcPr>
                  <w:tcW w:w="801" w:type="dxa"/>
                  <w:tcBorders>
                    <w:left w:val="single" w:color="auto" w:sz="4" w:space="0"/>
                    <w:right w:val="nil"/>
                  </w:tcBorders>
                  <w:vAlign w:val="center"/>
                </w:tcPr>
                <w:p w14:paraId="16A507D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0.0034 </w:t>
                  </w:r>
                </w:p>
              </w:tc>
            </w:tr>
            <w:tr w14:paraId="400E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restart"/>
                  <w:tcBorders>
                    <w:left w:val="nil"/>
                    <w:right w:val="single" w:color="auto" w:sz="4" w:space="0"/>
                  </w:tcBorders>
                  <w:vAlign w:val="center"/>
                </w:tcPr>
                <w:p w14:paraId="70C8C79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4号楼激光切割废气</w:t>
                  </w:r>
                </w:p>
              </w:tc>
              <w:tc>
                <w:tcPr>
                  <w:tcW w:w="483" w:type="pct"/>
                  <w:gridSpan w:val="2"/>
                  <w:tcBorders>
                    <w:left w:val="single" w:color="auto" w:sz="4" w:space="0"/>
                    <w:right w:val="single" w:color="auto" w:sz="4" w:space="0"/>
                  </w:tcBorders>
                  <w:vAlign w:val="center"/>
                </w:tcPr>
                <w:p w14:paraId="38C3CA1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olor w:val="auto"/>
                      <w:sz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650" w:type="pct"/>
                  <w:vMerge w:val="restart"/>
                  <w:tcBorders>
                    <w:left w:val="single" w:color="auto" w:sz="4" w:space="0"/>
                    <w:right w:val="single" w:color="auto" w:sz="4" w:space="0"/>
                  </w:tcBorders>
                  <w:vAlign w:val="center"/>
                </w:tcPr>
                <w:p w14:paraId="04FDBF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393" w:type="pct"/>
                  <w:vMerge w:val="restart"/>
                  <w:tcBorders>
                    <w:left w:val="single" w:color="auto" w:sz="4" w:space="0"/>
                    <w:right w:val="single" w:color="auto" w:sz="4" w:space="0"/>
                  </w:tcBorders>
                  <w:vAlign w:val="center"/>
                </w:tcPr>
                <w:p w14:paraId="1B775E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w:t>
                  </w:r>
                </w:p>
              </w:tc>
              <w:tc>
                <w:tcPr>
                  <w:tcW w:w="589" w:type="pct"/>
                  <w:vMerge w:val="restart"/>
                  <w:tcBorders>
                    <w:left w:val="single" w:color="auto" w:sz="4" w:space="0"/>
                    <w:right w:val="single" w:color="auto" w:sz="4" w:space="0"/>
                  </w:tcBorders>
                  <w:vAlign w:val="center"/>
                </w:tcPr>
                <w:p w14:paraId="2890E9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15000</w:t>
                  </w:r>
                </w:p>
              </w:tc>
              <w:tc>
                <w:tcPr>
                  <w:tcW w:w="524" w:type="pct"/>
                  <w:vMerge w:val="restart"/>
                  <w:tcBorders>
                    <w:left w:val="single" w:color="auto" w:sz="4" w:space="0"/>
                    <w:right w:val="single" w:color="auto" w:sz="4" w:space="0"/>
                  </w:tcBorders>
                  <w:vAlign w:val="center"/>
                </w:tcPr>
                <w:p w14:paraId="731F92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color w:val="auto"/>
                      <w:sz w:val="18"/>
                      <w:highlight w:val="none"/>
                      <w:vertAlign w:val="baseline"/>
                      <w:lang w:val="en-US" w:eastAsia="zh-CN"/>
                    </w:rPr>
                  </w:pPr>
                  <w:r>
                    <w:rPr>
                      <w:rFonts w:hint="eastAsia" w:ascii="Times New Roman" w:hAnsi="Times New Roman" w:eastAsia="宋体" w:cs="Times New Roman"/>
                      <w:color w:val="auto"/>
                      <w:sz w:val="18"/>
                      <w:szCs w:val="18"/>
                      <w:highlight w:val="none"/>
                      <w:lang w:val="en-US" w:eastAsia="zh-CN"/>
                    </w:rPr>
                    <w:t>600</w:t>
                  </w:r>
                </w:p>
              </w:tc>
              <w:tc>
                <w:tcPr>
                  <w:tcW w:w="458" w:type="pct"/>
                  <w:vMerge w:val="restart"/>
                  <w:tcBorders>
                    <w:left w:val="single" w:color="auto" w:sz="4" w:space="0"/>
                    <w:right w:val="single" w:color="auto" w:sz="4" w:space="0"/>
                  </w:tcBorders>
                  <w:vAlign w:val="center"/>
                </w:tcPr>
                <w:p w14:paraId="634AFF9E">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eastAsia"/>
                      <w:color w:val="auto"/>
                      <w:sz w:val="18"/>
                      <w:highlight w:val="none"/>
                      <w:vertAlign w:val="baseline"/>
                      <w:lang w:val="en-US" w:eastAsia="zh-CN"/>
                    </w:rPr>
                  </w:pPr>
                  <w:r>
                    <w:rPr>
                      <w:rFonts w:hint="eastAsia"/>
                      <w:color w:val="auto"/>
                      <w:sz w:val="18"/>
                      <w:highlight w:val="none"/>
                      <w:vertAlign w:val="baseline"/>
                      <w:lang w:val="en-US" w:eastAsia="zh-CN"/>
                    </w:rPr>
                    <w:t>FQ18</w:t>
                  </w:r>
                </w:p>
              </w:tc>
              <w:tc>
                <w:tcPr>
                  <w:tcW w:w="771" w:type="pct"/>
                  <w:vMerge w:val="restart"/>
                  <w:tcBorders>
                    <w:left w:val="single" w:color="auto" w:sz="4" w:space="0"/>
                    <w:right w:val="single" w:color="auto" w:sz="4" w:space="0"/>
                  </w:tcBorders>
                  <w:vAlign w:val="center"/>
                </w:tcPr>
                <w:p w14:paraId="59D53540">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r>
                    <w:rPr>
                      <w:rFonts w:hint="eastAsia" w:ascii="Times New Roman" w:hAnsi="Times New Roman" w:eastAsia="宋体" w:cs="Times New Roman"/>
                      <w:color w:val="auto"/>
                      <w:sz w:val="18"/>
                      <w:highlight w:val="none"/>
                      <w:vertAlign w:val="baseline"/>
                      <w:lang w:val="en-US" w:eastAsia="zh-CN"/>
                    </w:rPr>
                    <w:t>江苏省地方标准《大气污染物综合排放标准》（DB32/4041—2021）表1标准</w:t>
                  </w:r>
                </w:p>
              </w:tc>
              <w:tc>
                <w:tcPr>
                  <w:tcW w:w="801" w:type="dxa"/>
                  <w:tcBorders>
                    <w:left w:val="single" w:color="auto" w:sz="4" w:space="0"/>
                    <w:right w:val="nil"/>
                  </w:tcBorders>
                  <w:vAlign w:val="center"/>
                </w:tcPr>
                <w:p w14:paraId="3D21C0F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0.0065 </w:t>
                  </w:r>
                </w:p>
              </w:tc>
            </w:tr>
            <w:tr w14:paraId="33D5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 w:type="pct"/>
                  <w:vMerge w:val="continue"/>
                  <w:tcBorders>
                    <w:left w:val="nil"/>
                    <w:bottom w:val="single" w:color="auto" w:sz="12" w:space="0"/>
                    <w:right w:val="single" w:color="auto" w:sz="4" w:space="0"/>
                  </w:tcBorders>
                  <w:vAlign w:val="center"/>
                </w:tcPr>
                <w:p w14:paraId="6BDC23F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 w:val="18"/>
                      <w:szCs w:val="18"/>
                      <w:highlight w:val="none"/>
                      <w:lang w:val="en-US" w:eastAsia="zh-CN"/>
                    </w:rPr>
                  </w:pPr>
                </w:p>
              </w:tc>
              <w:tc>
                <w:tcPr>
                  <w:tcW w:w="483" w:type="pct"/>
                  <w:gridSpan w:val="2"/>
                  <w:tcBorders>
                    <w:left w:val="single" w:color="auto" w:sz="4" w:space="0"/>
                    <w:bottom w:val="single" w:color="auto" w:sz="12" w:space="0"/>
                    <w:right w:val="single" w:color="auto" w:sz="4" w:space="0"/>
                  </w:tcBorders>
                  <w:vAlign w:val="center"/>
                </w:tcPr>
                <w:p w14:paraId="7E89D9D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olor w:val="auto"/>
                      <w:sz w:val="18"/>
                      <w:highlight w:val="none"/>
                      <w:vertAlign w:val="baseli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氮氧化物</w:t>
                  </w:r>
                </w:p>
              </w:tc>
              <w:tc>
                <w:tcPr>
                  <w:tcW w:w="650" w:type="pct"/>
                  <w:vMerge w:val="continue"/>
                  <w:tcBorders>
                    <w:left w:val="single" w:color="auto" w:sz="4" w:space="0"/>
                    <w:bottom w:val="single" w:color="auto" w:sz="12" w:space="0"/>
                    <w:right w:val="single" w:color="auto" w:sz="4" w:space="0"/>
                  </w:tcBorders>
                  <w:vAlign w:val="center"/>
                </w:tcPr>
                <w:p w14:paraId="70D98835">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393" w:type="pct"/>
                  <w:vMerge w:val="continue"/>
                  <w:tcBorders>
                    <w:left w:val="single" w:color="auto" w:sz="4" w:space="0"/>
                    <w:bottom w:val="single" w:color="auto" w:sz="12" w:space="0"/>
                    <w:right w:val="single" w:color="auto" w:sz="4" w:space="0"/>
                  </w:tcBorders>
                  <w:vAlign w:val="center"/>
                </w:tcPr>
                <w:p w14:paraId="7AEDC631">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89" w:type="pct"/>
                  <w:vMerge w:val="continue"/>
                  <w:tcBorders>
                    <w:left w:val="single" w:color="auto" w:sz="4" w:space="0"/>
                    <w:bottom w:val="single" w:color="auto" w:sz="12" w:space="0"/>
                    <w:right w:val="single" w:color="auto" w:sz="4" w:space="0"/>
                  </w:tcBorders>
                  <w:vAlign w:val="center"/>
                </w:tcPr>
                <w:p w14:paraId="7A886605">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524" w:type="pct"/>
                  <w:vMerge w:val="continue"/>
                  <w:tcBorders>
                    <w:left w:val="single" w:color="auto" w:sz="4" w:space="0"/>
                    <w:bottom w:val="single" w:color="auto" w:sz="12" w:space="0"/>
                    <w:right w:val="single" w:color="auto" w:sz="4" w:space="0"/>
                  </w:tcBorders>
                  <w:vAlign w:val="center"/>
                </w:tcPr>
                <w:p w14:paraId="240D1ACB">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color w:val="auto"/>
                      <w:sz w:val="18"/>
                      <w:highlight w:val="none"/>
                      <w:vertAlign w:val="baseline"/>
                      <w:lang w:val="en-US" w:eastAsia="zh-CN"/>
                    </w:rPr>
                  </w:pPr>
                </w:p>
              </w:tc>
              <w:tc>
                <w:tcPr>
                  <w:tcW w:w="458" w:type="pct"/>
                  <w:vMerge w:val="continue"/>
                  <w:tcBorders>
                    <w:left w:val="single" w:color="auto" w:sz="4" w:space="0"/>
                    <w:bottom w:val="single" w:color="auto" w:sz="12" w:space="0"/>
                    <w:right w:val="single" w:color="auto" w:sz="4" w:space="0"/>
                  </w:tcBorders>
                  <w:vAlign w:val="center"/>
                </w:tcPr>
                <w:p w14:paraId="2D44C4B8">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rightChars="0"/>
                    <w:jc w:val="center"/>
                    <w:textAlignment w:val="auto"/>
                    <w:rPr>
                      <w:rFonts w:hint="eastAsia"/>
                      <w:color w:val="auto"/>
                      <w:sz w:val="18"/>
                      <w:highlight w:val="none"/>
                      <w:vertAlign w:val="baseline"/>
                      <w:lang w:val="en-US" w:eastAsia="zh-CN"/>
                    </w:rPr>
                  </w:pPr>
                </w:p>
              </w:tc>
              <w:tc>
                <w:tcPr>
                  <w:tcW w:w="771" w:type="pct"/>
                  <w:vMerge w:val="continue"/>
                  <w:tcBorders>
                    <w:left w:val="single" w:color="auto" w:sz="4" w:space="0"/>
                    <w:bottom w:val="single" w:color="auto" w:sz="12" w:space="0"/>
                    <w:right w:val="single" w:color="auto" w:sz="4" w:space="0"/>
                  </w:tcBorders>
                  <w:vAlign w:val="center"/>
                </w:tcPr>
                <w:p w14:paraId="4C2EF30F">
                  <w:pPr>
                    <w:keepNext w:val="0"/>
                    <w:keepLines w:val="0"/>
                    <w:pageBreakBefore w:val="0"/>
                    <w:widowControl w:val="0"/>
                    <w:suppressLineNumbers w:val="0"/>
                    <w:kinsoku/>
                    <w:wordWrap/>
                    <w:overflowPunct/>
                    <w:topLinePunct w:val="0"/>
                    <w:autoSpaceDE w:val="0"/>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highlight w:val="none"/>
                      <w:vertAlign w:val="baseline"/>
                      <w:lang w:val="en-US" w:eastAsia="zh-CN"/>
                    </w:rPr>
                  </w:pPr>
                </w:p>
              </w:tc>
              <w:tc>
                <w:tcPr>
                  <w:tcW w:w="801" w:type="dxa"/>
                  <w:tcBorders>
                    <w:left w:val="single" w:color="auto" w:sz="4" w:space="0"/>
                    <w:bottom w:val="single" w:color="auto" w:sz="12" w:space="0"/>
                    <w:right w:val="nil"/>
                  </w:tcBorders>
                  <w:vAlign w:val="center"/>
                </w:tcPr>
                <w:p w14:paraId="4428EE7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 xml:space="preserve">0.0034 </w:t>
                  </w:r>
                </w:p>
              </w:tc>
            </w:tr>
          </w:tbl>
          <w:p w14:paraId="08C0381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B.无组织废气</w:t>
            </w:r>
          </w:p>
          <w:p w14:paraId="24EE683F">
            <w:pPr>
              <w:pStyle w:val="5"/>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 w:val="24"/>
                <w:szCs w:val="28"/>
                <w:highlight w:val="none"/>
              </w:rPr>
              <w:t>无组织废气主要为未捕集到的</w:t>
            </w:r>
            <w:r>
              <w:rPr>
                <w:rFonts w:hint="eastAsia" w:cs="Times New Roman"/>
                <w:color w:val="auto"/>
                <w:sz w:val="24"/>
                <w:highlight w:val="none"/>
                <w:lang w:val="en-US" w:eastAsia="zh-CN"/>
              </w:rPr>
              <w:t>喷涂硅油-脱模剂工序产生</w:t>
            </w:r>
            <w:r>
              <w:rPr>
                <w:rFonts w:hint="eastAsia" w:ascii="Times New Roman" w:hAnsi="Times New Roman" w:eastAsia="宋体" w:cs="Times New Roman"/>
                <w:color w:val="auto"/>
                <w:sz w:val="24"/>
                <w:highlight w:val="none"/>
                <w:lang w:val="en-US" w:eastAsia="zh-CN"/>
              </w:rPr>
              <w:t>的非甲烷总烃</w:t>
            </w:r>
            <w:r>
              <w:rPr>
                <w:rFonts w:hint="eastAsia" w:cs="Times New Roman"/>
                <w:color w:val="auto"/>
                <w:sz w:val="24"/>
                <w:highlight w:val="none"/>
                <w:lang w:val="en-US" w:eastAsia="zh-CN"/>
              </w:rPr>
              <w:t>和精细抛光工序产生的颗粒物</w:t>
            </w:r>
            <w:r>
              <w:rPr>
                <w:rFonts w:hint="default" w:ascii="Times New Roman" w:hAnsi="Times New Roman" w:eastAsia="宋体" w:cs="Times New Roman"/>
                <w:bCs/>
                <w:color w:val="auto"/>
                <w:sz w:val="24"/>
                <w:szCs w:val="28"/>
                <w:highlight w:val="none"/>
              </w:rPr>
              <w:t>。本项目</w:t>
            </w:r>
            <w:r>
              <w:rPr>
                <w:rFonts w:hint="eastAsia" w:cs="Times New Roman"/>
                <w:bCs/>
                <w:color w:val="auto"/>
                <w:sz w:val="24"/>
                <w:szCs w:val="28"/>
                <w:highlight w:val="none"/>
                <w:lang w:val="en-US" w:eastAsia="zh-CN"/>
              </w:rPr>
              <w:t>喷涂硅油-脱模剂、精细抛光</w:t>
            </w:r>
            <w:r>
              <w:rPr>
                <w:rFonts w:hint="eastAsia" w:ascii="Times New Roman" w:hAnsi="Times New Roman" w:eastAsia="宋体" w:cs="Times New Roman"/>
                <w:bCs/>
                <w:color w:val="auto"/>
                <w:sz w:val="24"/>
                <w:szCs w:val="28"/>
                <w:highlight w:val="none"/>
                <w:lang w:eastAsia="zh-CN"/>
              </w:rPr>
              <w:t>均布置在生产车间</w:t>
            </w:r>
            <w:r>
              <w:rPr>
                <w:rFonts w:hint="eastAsia" w:ascii="Times New Roman" w:hAnsi="Times New Roman" w:eastAsia="宋体" w:cs="Times New Roman"/>
                <w:bCs/>
                <w:color w:val="auto"/>
                <w:sz w:val="24"/>
                <w:szCs w:val="28"/>
                <w:highlight w:val="none"/>
                <w:lang w:val="en-US" w:eastAsia="zh-CN"/>
              </w:rPr>
              <w:t>1-4号楼</w:t>
            </w:r>
            <w:r>
              <w:rPr>
                <w:rFonts w:hint="default" w:ascii="Times New Roman" w:hAnsi="Times New Roman" w:eastAsia="宋体" w:cs="Times New Roman"/>
                <w:bCs/>
                <w:color w:val="auto"/>
                <w:sz w:val="24"/>
                <w:szCs w:val="28"/>
                <w:highlight w:val="none"/>
              </w:rPr>
              <w:t>，因此</w:t>
            </w:r>
            <w:r>
              <w:rPr>
                <w:rFonts w:hint="eastAsia" w:ascii="Times New Roman" w:hAnsi="Times New Roman" w:eastAsia="宋体" w:cs="Times New Roman"/>
                <w:bCs/>
                <w:color w:val="auto"/>
                <w:sz w:val="24"/>
                <w:szCs w:val="28"/>
                <w:highlight w:val="none"/>
                <w:lang w:val="en-US" w:eastAsia="zh-CN"/>
              </w:rPr>
              <w:t>分别以</w:t>
            </w:r>
            <w:r>
              <w:rPr>
                <w:rFonts w:hint="default" w:ascii="Times New Roman" w:hAnsi="Times New Roman" w:eastAsia="宋体" w:cs="Times New Roman"/>
                <w:bCs/>
                <w:color w:val="auto"/>
                <w:sz w:val="24"/>
                <w:szCs w:val="28"/>
                <w:highlight w:val="none"/>
              </w:rPr>
              <w:t>生产车间作为无组织面源。本项目及全厂无组织废气排放情况见</w:t>
            </w:r>
            <w:r>
              <w:rPr>
                <w:rFonts w:hint="eastAsia" w:cs="Times New Roman"/>
                <w:bCs/>
                <w:color w:val="auto"/>
                <w:sz w:val="24"/>
                <w:szCs w:val="28"/>
                <w:highlight w:val="none"/>
                <w:lang w:val="en-US" w:eastAsia="zh-CN"/>
              </w:rPr>
              <w:t>后</w:t>
            </w:r>
            <w:r>
              <w:rPr>
                <w:rFonts w:hint="default" w:ascii="Times New Roman" w:hAnsi="Times New Roman" w:eastAsia="宋体" w:cs="Times New Roman"/>
                <w:bCs/>
                <w:color w:val="auto"/>
                <w:sz w:val="24"/>
                <w:szCs w:val="28"/>
                <w:highlight w:val="none"/>
              </w:rPr>
              <w:t>表4-</w:t>
            </w:r>
            <w:r>
              <w:rPr>
                <w:rFonts w:hint="eastAsia" w:cs="Times New Roman"/>
                <w:bCs/>
                <w:color w:val="auto"/>
                <w:sz w:val="24"/>
                <w:szCs w:val="28"/>
                <w:highlight w:val="none"/>
                <w:lang w:val="en-US" w:eastAsia="zh-CN"/>
              </w:rPr>
              <w:t>4</w:t>
            </w:r>
            <w:r>
              <w:rPr>
                <w:rFonts w:hint="default" w:ascii="Times New Roman" w:hAnsi="Times New Roman" w:eastAsia="宋体" w:cs="Times New Roman"/>
                <w:bCs/>
                <w:color w:val="auto"/>
                <w:sz w:val="24"/>
                <w:szCs w:val="28"/>
                <w:highlight w:val="none"/>
              </w:rPr>
              <w:t>、表4-</w:t>
            </w:r>
            <w:r>
              <w:rPr>
                <w:rFonts w:hint="eastAsia" w:cs="Times New Roman"/>
                <w:bCs/>
                <w:color w:val="auto"/>
                <w:sz w:val="24"/>
                <w:szCs w:val="28"/>
                <w:highlight w:val="none"/>
                <w:lang w:val="en-US" w:eastAsia="zh-CN"/>
              </w:rPr>
              <w:t>5</w:t>
            </w:r>
            <w:r>
              <w:rPr>
                <w:rFonts w:hint="default" w:ascii="Times New Roman" w:hAnsi="Times New Roman" w:eastAsia="宋体" w:cs="Times New Roman"/>
                <w:bCs/>
                <w:color w:val="auto"/>
                <w:sz w:val="24"/>
                <w:szCs w:val="28"/>
                <w:highlight w:val="none"/>
              </w:rPr>
              <w:t>。</w:t>
            </w:r>
          </w:p>
          <w:p w14:paraId="496265FD">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4  </w:t>
            </w:r>
            <w:r>
              <w:rPr>
                <w:rFonts w:hint="eastAsia" w:ascii="Times New Roman" w:hAnsi="Times New Roman" w:eastAsia="宋体" w:cs="Times New Roman"/>
                <w:b/>
                <w:bCs/>
                <w:color w:val="auto"/>
                <w:sz w:val="24"/>
                <w:highlight w:val="none"/>
                <w:lang w:eastAsia="zh-CN"/>
              </w:rPr>
              <w:t>本项目</w:t>
            </w:r>
            <w:r>
              <w:rPr>
                <w:rFonts w:hint="default" w:ascii="Times New Roman" w:hAnsi="Times New Roman" w:eastAsia="宋体" w:cs="Times New Roman"/>
                <w:b/>
                <w:bCs/>
                <w:color w:val="auto"/>
                <w:sz w:val="24"/>
                <w:highlight w:val="none"/>
              </w:rPr>
              <w:t>无组织废气产生及排放情况表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1"/>
              <w:gridCol w:w="940"/>
              <w:gridCol w:w="1228"/>
              <w:gridCol w:w="912"/>
              <w:gridCol w:w="1056"/>
              <w:gridCol w:w="1094"/>
              <w:gridCol w:w="1045"/>
              <w:gridCol w:w="1340"/>
              <w:gridCol w:w="1007"/>
            </w:tblGrid>
            <w:tr w14:paraId="71A251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00" w:type="pct"/>
                  <w:vMerge w:val="restart"/>
                  <w:tcBorders>
                    <w:tl2br w:val="nil"/>
                    <w:tr2bl w:val="nil"/>
                  </w:tcBorders>
                  <w:shd w:val="clear" w:color="auto" w:fill="auto"/>
                  <w:vAlign w:val="center"/>
                </w:tcPr>
                <w:p w14:paraId="13E69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b/>
                      <w:bCs/>
                      <w:color w:val="auto"/>
                      <w:sz w:val="20"/>
                      <w:szCs w:val="20"/>
                      <w:highlight w:val="none"/>
                      <w:lang w:val="en-US" w:eastAsia="zh-CN"/>
                    </w:rPr>
                  </w:pPr>
                  <w:r>
                    <w:rPr>
                      <w:rFonts w:hint="eastAsia" w:ascii="Times New Roman" w:hAnsi="Times New Roman" w:eastAsia="宋体" w:cs="Times New Roman"/>
                      <w:b/>
                      <w:bCs/>
                      <w:color w:val="auto"/>
                      <w:sz w:val="20"/>
                      <w:szCs w:val="20"/>
                      <w:highlight w:val="none"/>
                      <w:lang w:val="en-US" w:eastAsia="zh-CN"/>
                    </w:rPr>
                    <w:t>生产车间</w:t>
                  </w:r>
                </w:p>
              </w:tc>
              <w:tc>
                <w:tcPr>
                  <w:tcW w:w="512" w:type="pct"/>
                  <w:vMerge w:val="restart"/>
                  <w:tcBorders>
                    <w:tl2br w:val="nil"/>
                    <w:tr2bl w:val="nil"/>
                  </w:tcBorders>
                  <w:shd w:val="clear" w:color="auto" w:fill="auto"/>
                  <w:vAlign w:val="center"/>
                </w:tcPr>
                <w:p w14:paraId="7616E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kern w:val="0"/>
                      <w:sz w:val="20"/>
                      <w:szCs w:val="20"/>
                      <w:highlight w:val="none"/>
                      <w:lang w:bidi="ar"/>
                    </w:rPr>
                    <w:t>废气来源</w:t>
                  </w:r>
                </w:p>
              </w:tc>
              <w:tc>
                <w:tcPr>
                  <w:tcW w:w="669" w:type="pct"/>
                  <w:vMerge w:val="restart"/>
                  <w:tcBorders>
                    <w:tl2br w:val="nil"/>
                    <w:tr2bl w:val="nil"/>
                  </w:tcBorders>
                  <w:shd w:val="clear" w:color="auto" w:fill="auto"/>
                  <w:vAlign w:val="center"/>
                </w:tcPr>
                <w:p w14:paraId="0076E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kern w:val="0"/>
                      <w:sz w:val="20"/>
                      <w:szCs w:val="20"/>
                      <w:highlight w:val="none"/>
                      <w:lang w:bidi="ar"/>
                    </w:rPr>
                    <w:t>污染物名称</w:t>
                  </w:r>
                </w:p>
              </w:tc>
              <w:tc>
                <w:tcPr>
                  <w:tcW w:w="497" w:type="pct"/>
                  <w:vMerge w:val="restart"/>
                  <w:tcBorders>
                    <w:tl2br w:val="nil"/>
                    <w:tr2bl w:val="nil"/>
                  </w:tcBorders>
                  <w:shd w:val="clear" w:color="auto" w:fill="auto"/>
                  <w:vAlign w:val="center"/>
                </w:tcPr>
                <w:p w14:paraId="0375D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18"/>
                      <w:szCs w:val="20"/>
                      <w:highlight w:val="none"/>
                    </w:rPr>
                  </w:pPr>
                  <w:r>
                    <w:rPr>
                      <w:rFonts w:hint="default" w:ascii="Times New Roman" w:hAnsi="Times New Roman" w:eastAsia="宋体" w:cs="Times New Roman"/>
                      <w:b/>
                      <w:bCs/>
                      <w:color w:val="auto"/>
                      <w:kern w:val="0"/>
                      <w:sz w:val="18"/>
                      <w:szCs w:val="20"/>
                      <w:highlight w:val="none"/>
                      <w:lang w:bidi="ar"/>
                    </w:rPr>
                    <w:t>产生量（t/a）</w:t>
                  </w:r>
                </w:p>
              </w:tc>
              <w:tc>
                <w:tcPr>
                  <w:tcW w:w="575" w:type="pct"/>
                  <w:vMerge w:val="restart"/>
                  <w:tcBorders>
                    <w:tl2br w:val="nil"/>
                    <w:tr2bl w:val="nil"/>
                  </w:tcBorders>
                  <w:shd w:val="clear" w:color="auto" w:fill="auto"/>
                  <w:vAlign w:val="center"/>
                </w:tcPr>
                <w:p w14:paraId="3AD61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kern w:val="0"/>
                      <w:sz w:val="18"/>
                      <w:szCs w:val="20"/>
                      <w:highlight w:val="none"/>
                      <w:lang w:bidi="ar"/>
                    </w:rPr>
                  </w:pPr>
                  <w:r>
                    <w:rPr>
                      <w:rFonts w:hint="default" w:ascii="Times New Roman" w:hAnsi="Times New Roman" w:eastAsia="宋体" w:cs="Times New Roman"/>
                      <w:b/>
                      <w:bCs/>
                      <w:color w:val="auto"/>
                      <w:kern w:val="0"/>
                      <w:sz w:val="18"/>
                      <w:szCs w:val="20"/>
                      <w:highlight w:val="none"/>
                      <w:lang w:bidi="ar"/>
                    </w:rPr>
                    <w:t>产生速率（kg/h）</w:t>
                  </w:r>
                </w:p>
              </w:tc>
              <w:tc>
                <w:tcPr>
                  <w:tcW w:w="596" w:type="pct"/>
                  <w:vMerge w:val="restart"/>
                  <w:tcBorders>
                    <w:tl2br w:val="nil"/>
                    <w:tr2bl w:val="nil"/>
                  </w:tcBorders>
                  <w:shd w:val="clear" w:color="auto" w:fill="auto"/>
                  <w:vAlign w:val="center"/>
                </w:tcPr>
                <w:p w14:paraId="1C1CB2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18"/>
                      <w:szCs w:val="20"/>
                      <w:highlight w:val="none"/>
                    </w:rPr>
                  </w:pPr>
                  <w:r>
                    <w:rPr>
                      <w:rFonts w:hint="default" w:ascii="Times New Roman" w:hAnsi="Times New Roman" w:eastAsia="宋体" w:cs="Times New Roman"/>
                      <w:b/>
                      <w:bCs/>
                      <w:color w:val="auto"/>
                      <w:kern w:val="0"/>
                      <w:sz w:val="18"/>
                      <w:szCs w:val="20"/>
                      <w:highlight w:val="none"/>
                      <w:lang w:bidi="ar"/>
                    </w:rPr>
                    <w:t>排放量（t/a）</w:t>
                  </w:r>
                </w:p>
              </w:tc>
              <w:tc>
                <w:tcPr>
                  <w:tcW w:w="569" w:type="pct"/>
                  <w:vMerge w:val="restart"/>
                  <w:tcBorders>
                    <w:tl2br w:val="nil"/>
                    <w:tr2bl w:val="nil"/>
                  </w:tcBorders>
                  <w:shd w:val="clear" w:color="auto" w:fill="auto"/>
                  <w:vAlign w:val="center"/>
                </w:tcPr>
                <w:p w14:paraId="4A178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18"/>
                      <w:szCs w:val="20"/>
                      <w:highlight w:val="none"/>
                    </w:rPr>
                  </w:pPr>
                  <w:r>
                    <w:rPr>
                      <w:rFonts w:hint="default" w:ascii="Times New Roman" w:hAnsi="Times New Roman" w:eastAsia="宋体" w:cs="Times New Roman"/>
                      <w:b/>
                      <w:bCs/>
                      <w:color w:val="auto"/>
                      <w:kern w:val="0"/>
                      <w:sz w:val="18"/>
                      <w:szCs w:val="20"/>
                      <w:highlight w:val="none"/>
                      <w:lang w:bidi="ar"/>
                    </w:rPr>
                    <w:t>排放速率（kg/h）</w:t>
                  </w:r>
                </w:p>
              </w:tc>
              <w:tc>
                <w:tcPr>
                  <w:tcW w:w="1279" w:type="pct"/>
                  <w:gridSpan w:val="2"/>
                  <w:tcBorders>
                    <w:tl2br w:val="nil"/>
                    <w:tr2bl w:val="nil"/>
                  </w:tcBorders>
                  <w:shd w:val="clear" w:color="auto" w:fill="auto"/>
                  <w:vAlign w:val="center"/>
                </w:tcPr>
                <w:p w14:paraId="799F3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kern w:val="0"/>
                      <w:sz w:val="20"/>
                      <w:szCs w:val="20"/>
                      <w:highlight w:val="none"/>
                      <w:lang w:bidi="ar"/>
                    </w:rPr>
                    <w:t>面源</w:t>
                  </w:r>
                </w:p>
              </w:tc>
            </w:tr>
            <w:tr w14:paraId="600E4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00" w:type="pct"/>
                  <w:vMerge w:val="continue"/>
                  <w:tcBorders>
                    <w:tl2br w:val="nil"/>
                    <w:tr2bl w:val="nil"/>
                  </w:tcBorders>
                  <w:shd w:val="clear" w:color="auto" w:fill="auto"/>
                  <w:vAlign w:val="center"/>
                </w:tcPr>
                <w:p w14:paraId="70EEA24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p>
              </w:tc>
              <w:tc>
                <w:tcPr>
                  <w:tcW w:w="512" w:type="pct"/>
                  <w:vMerge w:val="continue"/>
                  <w:tcBorders>
                    <w:tl2br w:val="nil"/>
                    <w:tr2bl w:val="nil"/>
                  </w:tcBorders>
                  <w:shd w:val="clear" w:color="auto" w:fill="auto"/>
                  <w:vAlign w:val="center"/>
                </w:tcPr>
                <w:p w14:paraId="546C92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p>
              </w:tc>
              <w:tc>
                <w:tcPr>
                  <w:tcW w:w="669" w:type="pct"/>
                  <w:vMerge w:val="continue"/>
                  <w:tcBorders>
                    <w:tl2br w:val="nil"/>
                    <w:tr2bl w:val="nil"/>
                  </w:tcBorders>
                  <w:shd w:val="clear" w:color="auto" w:fill="auto"/>
                  <w:vAlign w:val="center"/>
                </w:tcPr>
                <w:p w14:paraId="5EDF500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rPr>
                  </w:pPr>
                </w:p>
              </w:tc>
              <w:tc>
                <w:tcPr>
                  <w:tcW w:w="497" w:type="pct"/>
                  <w:vMerge w:val="continue"/>
                  <w:tcBorders>
                    <w:tl2br w:val="nil"/>
                    <w:tr2bl w:val="nil"/>
                  </w:tcBorders>
                  <w:shd w:val="clear" w:color="auto" w:fill="auto"/>
                  <w:vAlign w:val="center"/>
                </w:tcPr>
                <w:p w14:paraId="528A60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20"/>
                      <w:highlight w:val="none"/>
                    </w:rPr>
                  </w:pPr>
                </w:p>
              </w:tc>
              <w:tc>
                <w:tcPr>
                  <w:tcW w:w="575" w:type="pct"/>
                  <w:vMerge w:val="continue"/>
                  <w:tcBorders>
                    <w:tl2br w:val="nil"/>
                    <w:tr2bl w:val="nil"/>
                  </w:tcBorders>
                  <w:shd w:val="clear" w:color="auto" w:fill="auto"/>
                  <w:vAlign w:val="center"/>
                </w:tcPr>
                <w:p w14:paraId="0E58F60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20"/>
                      <w:highlight w:val="none"/>
                    </w:rPr>
                  </w:pPr>
                </w:p>
              </w:tc>
              <w:tc>
                <w:tcPr>
                  <w:tcW w:w="596" w:type="pct"/>
                  <w:vMerge w:val="continue"/>
                  <w:tcBorders>
                    <w:tl2br w:val="nil"/>
                    <w:tr2bl w:val="nil"/>
                  </w:tcBorders>
                  <w:shd w:val="clear" w:color="auto" w:fill="auto"/>
                  <w:vAlign w:val="center"/>
                </w:tcPr>
                <w:p w14:paraId="30EF06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20"/>
                      <w:highlight w:val="none"/>
                    </w:rPr>
                  </w:pPr>
                </w:p>
              </w:tc>
              <w:tc>
                <w:tcPr>
                  <w:tcW w:w="569" w:type="pct"/>
                  <w:vMerge w:val="continue"/>
                  <w:tcBorders>
                    <w:tl2br w:val="nil"/>
                    <w:tr2bl w:val="nil"/>
                  </w:tcBorders>
                  <w:shd w:val="clear" w:color="auto" w:fill="auto"/>
                  <w:vAlign w:val="center"/>
                </w:tcPr>
                <w:p w14:paraId="07CDCC4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20"/>
                      <w:highlight w:val="none"/>
                    </w:rPr>
                  </w:pPr>
                </w:p>
              </w:tc>
              <w:tc>
                <w:tcPr>
                  <w:tcW w:w="730" w:type="pct"/>
                  <w:tcBorders>
                    <w:tl2br w:val="nil"/>
                    <w:tr2bl w:val="nil"/>
                  </w:tcBorders>
                  <w:shd w:val="clear" w:color="auto" w:fill="auto"/>
                  <w:vAlign w:val="center"/>
                </w:tcPr>
                <w:p w14:paraId="7BE49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b/>
                      <w:bCs/>
                      <w:color w:val="auto"/>
                      <w:sz w:val="20"/>
                      <w:szCs w:val="20"/>
                      <w:highlight w:val="none"/>
                      <w:lang w:val="en-US" w:eastAsia="zh-CN"/>
                    </w:rPr>
                  </w:pPr>
                  <w:r>
                    <w:rPr>
                      <w:rFonts w:hint="eastAsia" w:ascii="Times New Roman" w:hAnsi="Times New Roman" w:eastAsia="宋体" w:cs="Times New Roman"/>
                      <w:b/>
                      <w:bCs/>
                      <w:color w:val="auto"/>
                      <w:sz w:val="20"/>
                      <w:szCs w:val="20"/>
                      <w:highlight w:val="none"/>
                      <w:lang w:val="en-US" w:eastAsia="zh-CN"/>
                    </w:rPr>
                    <w:t>面积（m</w:t>
                  </w:r>
                  <w:r>
                    <w:rPr>
                      <w:rFonts w:hint="eastAsia" w:ascii="Times New Roman" w:hAnsi="Times New Roman" w:eastAsia="宋体" w:cs="Times New Roman"/>
                      <w:b/>
                      <w:bCs/>
                      <w:color w:val="auto"/>
                      <w:sz w:val="20"/>
                      <w:szCs w:val="20"/>
                      <w:highlight w:val="none"/>
                      <w:vertAlign w:val="superscript"/>
                      <w:lang w:val="en-US" w:eastAsia="zh-CN"/>
                    </w:rPr>
                    <w:t>2</w:t>
                  </w:r>
                  <w:r>
                    <w:rPr>
                      <w:rFonts w:hint="eastAsia" w:ascii="Times New Roman" w:hAnsi="Times New Roman" w:eastAsia="宋体" w:cs="Times New Roman"/>
                      <w:b/>
                      <w:bCs/>
                      <w:color w:val="auto"/>
                      <w:sz w:val="20"/>
                      <w:szCs w:val="20"/>
                      <w:highlight w:val="none"/>
                      <w:lang w:val="en-US" w:eastAsia="zh-CN"/>
                    </w:rPr>
                    <w:t>）</w:t>
                  </w:r>
                </w:p>
              </w:tc>
              <w:tc>
                <w:tcPr>
                  <w:tcW w:w="548" w:type="pct"/>
                  <w:tcBorders>
                    <w:tl2br w:val="nil"/>
                    <w:tr2bl w:val="nil"/>
                  </w:tcBorders>
                  <w:shd w:val="clear" w:color="auto" w:fill="auto"/>
                  <w:vAlign w:val="center"/>
                </w:tcPr>
                <w:p w14:paraId="001AF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kern w:val="0"/>
                      <w:sz w:val="20"/>
                      <w:szCs w:val="20"/>
                      <w:highlight w:val="none"/>
                      <w:lang w:bidi="ar"/>
                    </w:rPr>
                    <w:t>高度（m）</w:t>
                  </w:r>
                </w:p>
              </w:tc>
            </w:tr>
            <w:tr w14:paraId="497C6A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300" w:type="pct"/>
                  <w:vMerge w:val="restart"/>
                  <w:tcBorders>
                    <w:tl2br w:val="nil"/>
                    <w:tr2bl w:val="nil"/>
                  </w:tcBorders>
                  <w:shd w:val="clear" w:color="auto" w:fill="auto"/>
                  <w:vAlign w:val="center"/>
                </w:tcPr>
                <w:p w14:paraId="17DA6D7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1号楼</w:t>
                  </w:r>
                </w:p>
              </w:tc>
              <w:tc>
                <w:tcPr>
                  <w:tcW w:w="512" w:type="pct"/>
                  <w:tcBorders>
                    <w:bottom w:val="single" w:color="auto" w:sz="4" w:space="0"/>
                    <w:tl2br w:val="nil"/>
                    <w:tr2bl w:val="nil"/>
                  </w:tcBorders>
                  <w:shd w:val="clear" w:color="auto" w:fill="auto"/>
                  <w:vAlign w:val="center"/>
                </w:tcPr>
                <w:p w14:paraId="287A84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cs="Times New Roman"/>
                      <w:color w:val="auto"/>
                      <w:kern w:val="0"/>
                      <w:sz w:val="20"/>
                      <w:szCs w:val="20"/>
                      <w:highlight w:val="none"/>
                      <w:lang w:val="en-US" w:eastAsia="zh-CN" w:bidi="ar"/>
                    </w:rPr>
                    <w:t>喷涂硅油-脱模剂</w:t>
                  </w:r>
                </w:p>
              </w:tc>
              <w:tc>
                <w:tcPr>
                  <w:tcW w:w="669" w:type="pct"/>
                  <w:tcBorders>
                    <w:bottom w:val="single" w:color="auto" w:sz="4" w:space="0"/>
                    <w:tl2br w:val="nil"/>
                    <w:tr2bl w:val="nil"/>
                  </w:tcBorders>
                  <w:shd w:val="clear" w:color="auto" w:fill="auto"/>
                  <w:vAlign w:val="center"/>
                </w:tcPr>
                <w:p w14:paraId="60B32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bidi="ar"/>
                    </w:rPr>
                  </w:pPr>
                  <w:r>
                    <w:rPr>
                      <w:rFonts w:hint="eastAsia" w:ascii="Times New Roman" w:hAnsi="Times New Roman" w:eastAsia="宋体"/>
                      <w:b w:val="0"/>
                      <w:bCs w:val="0"/>
                      <w:color w:val="auto"/>
                      <w:sz w:val="20"/>
                      <w:szCs w:val="20"/>
                      <w:highlight w:val="none"/>
                      <w:lang w:eastAsia="zh-CN"/>
                    </w:rPr>
                    <w:t>非甲烷总烃</w:t>
                  </w:r>
                </w:p>
              </w:tc>
              <w:tc>
                <w:tcPr>
                  <w:tcW w:w="497" w:type="pct"/>
                  <w:tcBorders>
                    <w:bottom w:val="single" w:color="auto" w:sz="4" w:space="0"/>
                    <w:tl2br w:val="nil"/>
                    <w:tr2bl w:val="nil"/>
                  </w:tcBorders>
                  <w:shd w:val="clear" w:color="auto" w:fill="auto"/>
                  <w:vAlign w:val="center"/>
                </w:tcPr>
                <w:p w14:paraId="09F97F1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0.0181</w:t>
                  </w:r>
                </w:p>
              </w:tc>
              <w:tc>
                <w:tcPr>
                  <w:tcW w:w="575" w:type="pct"/>
                  <w:tcBorders>
                    <w:bottom w:val="single" w:color="auto" w:sz="4" w:space="0"/>
                    <w:tl2br w:val="nil"/>
                    <w:tr2bl w:val="nil"/>
                  </w:tcBorders>
                  <w:shd w:val="clear" w:color="auto" w:fill="auto"/>
                  <w:vAlign w:val="center"/>
                </w:tcPr>
                <w:p w14:paraId="5F9E2E6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0.0100</w:t>
                  </w:r>
                </w:p>
              </w:tc>
              <w:tc>
                <w:tcPr>
                  <w:tcW w:w="596" w:type="pct"/>
                  <w:tcBorders>
                    <w:bottom w:val="single" w:color="auto" w:sz="4" w:space="0"/>
                    <w:tl2br w:val="nil"/>
                    <w:tr2bl w:val="nil"/>
                  </w:tcBorders>
                  <w:shd w:val="clear" w:color="auto" w:fill="auto"/>
                  <w:vAlign w:val="center"/>
                </w:tcPr>
                <w:p w14:paraId="1F8E27A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0.0181</w:t>
                  </w:r>
                </w:p>
              </w:tc>
              <w:tc>
                <w:tcPr>
                  <w:tcW w:w="569" w:type="pct"/>
                  <w:tcBorders>
                    <w:bottom w:val="single" w:color="auto" w:sz="4" w:space="0"/>
                    <w:tl2br w:val="nil"/>
                    <w:tr2bl w:val="nil"/>
                  </w:tcBorders>
                  <w:shd w:val="clear" w:color="auto" w:fill="auto"/>
                  <w:vAlign w:val="center"/>
                </w:tcPr>
                <w:p w14:paraId="303AE50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0.0100</w:t>
                  </w:r>
                </w:p>
              </w:tc>
              <w:tc>
                <w:tcPr>
                  <w:tcW w:w="730" w:type="pct"/>
                  <w:vMerge w:val="restart"/>
                  <w:tcBorders>
                    <w:tl2br w:val="nil"/>
                    <w:tr2bl w:val="nil"/>
                  </w:tcBorders>
                  <w:shd w:val="clear" w:color="auto" w:fill="auto"/>
                  <w:vAlign w:val="center"/>
                </w:tcPr>
                <w:p w14:paraId="593E828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4275</w:t>
                  </w:r>
                </w:p>
              </w:tc>
              <w:tc>
                <w:tcPr>
                  <w:tcW w:w="548" w:type="pct"/>
                  <w:vMerge w:val="restart"/>
                  <w:tcBorders>
                    <w:tl2br w:val="nil"/>
                    <w:tr2bl w:val="nil"/>
                  </w:tcBorders>
                  <w:shd w:val="clear" w:color="auto" w:fill="auto"/>
                  <w:noWrap/>
                  <w:vAlign w:val="center"/>
                </w:tcPr>
                <w:p w14:paraId="035882B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22</w:t>
                  </w:r>
                </w:p>
              </w:tc>
            </w:tr>
            <w:tr w14:paraId="3F5331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9" w:hRule="atLeast"/>
                <w:jc w:val="center"/>
              </w:trPr>
              <w:tc>
                <w:tcPr>
                  <w:tcW w:w="300" w:type="pct"/>
                  <w:vMerge w:val="continue"/>
                  <w:tcBorders>
                    <w:tl2br w:val="nil"/>
                    <w:tr2bl w:val="nil"/>
                  </w:tcBorders>
                  <w:shd w:val="clear" w:color="auto" w:fill="auto"/>
                  <w:vAlign w:val="center"/>
                </w:tcPr>
                <w:p w14:paraId="64E010B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12" w:type="pct"/>
                  <w:tcBorders>
                    <w:top w:val="single" w:color="auto" w:sz="4" w:space="0"/>
                    <w:tl2br w:val="nil"/>
                    <w:tr2bl w:val="nil"/>
                  </w:tcBorders>
                  <w:shd w:val="clear" w:color="auto" w:fill="auto"/>
                  <w:vAlign w:val="center"/>
                </w:tcPr>
                <w:p w14:paraId="3CCD49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cs="Times New Roman"/>
                      <w:color w:val="auto"/>
                      <w:kern w:val="0"/>
                      <w:sz w:val="20"/>
                      <w:szCs w:val="20"/>
                      <w:highlight w:val="none"/>
                      <w:lang w:val="en-US" w:eastAsia="zh-CN" w:bidi="ar"/>
                    </w:rPr>
                    <w:t>精细抛光</w:t>
                  </w:r>
                </w:p>
              </w:tc>
              <w:tc>
                <w:tcPr>
                  <w:tcW w:w="669" w:type="pct"/>
                  <w:tcBorders>
                    <w:top w:val="single" w:color="auto" w:sz="4" w:space="0"/>
                    <w:tl2br w:val="nil"/>
                    <w:tr2bl w:val="nil"/>
                  </w:tcBorders>
                  <w:shd w:val="clear" w:color="auto" w:fill="auto"/>
                  <w:vAlign w:val="center"/>
                </w:tcPr>
                <w:p w14:paraId="6621EF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b w:val="0"/>
                      <w:bCs w:val="0"/>
                      <w:color w:val="auto"/>
                      <w:sz w:val="20"/>
                      <w:szCs w:val="20"/>
                      <w:highlight w:val="none"/>
                      <w:lang w:val="en-US" w:eastAsia="zh-CN"/>
                    </w:rPr>
                  </w:pPr>
                  <w:r>
                    <w:rPr>
                      <w:rFonts w:hint="eastAsia"/>
                      <w:b w:val="0"/>
                      <w:bCs w:val="0"/>
                      <w:color w:val="auto"/>
                      <w:sz w:val="20"/>
                      <w:szCs w:val="20"/>
                      <w:highlight w:val="none"/>
                      <w:lang w:val="en-US" w:eastAsia="zh-CN"/>
                    </w:rPr>
                    <w:t>颗粒物</w:t>
                  </w:r>
                </w:p>
              </w:tc>
              <w:tc>
                <w:tcPr>
                  <w:tcW w:w="497" w:type="pct"/>
                  <w:tcBorders>
                    <w:top w:val="single" w:color="auto" w:sz="4" w:space="0"/>
                    <w:tl2br w:val="nil"/>
                    <w:tr2bl w:val="nil"/>
                  </w:tcBorders>
                  <w:shd w:val="clear" w:color="auto" w:fill="auto"/>
                  <w:vAlign w:val="center"/>
                </w:tcPr>
                <w:p w14:paraId="210E005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0.0788</w:t>
                  </w:r>
                </w:p>
              </w:tc>
              <w:tc>
                <w:tcPr>
                  <w:tcW w:w="575" w:type="pct"/>
                  <w:tcBorders>
                    <w:top w:val="single" w:color="auto" w:sz="4" w:space="0"/>
                    <w:tl2br w:val="nil"/>
                    <w:tr2bl w:val="nil"/>
                  </w:tcBorders>
                  <w:shd w:val="clear" w:color="auto" w:fill="auto"/>
                  <w:vAlign w:val="center"/>
                </w:tcPr>
                <w:p w14:paraId="0DB8AD8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0.0525</w:t>
                  </w:r>
                </w:p>
              </w:tc>
              <w:tc>
                <w:tcPr>
                  <w:tcW w:w="596" w:type="pct"/>
                  <w:tcBorders>
                    <w:top w:val="single" w:color="auto" w:sz="4" w:space="0"/>
                    <w:tl2br w:val="nil"/>
                    <w:tr2bl w:val="nil"/>
                  </w:tcBorders>
                  <w:shd w:val="clear" w:color="auto" w:fill="auto"/>
                  <w:vAlign w:val="center"/>
                </w:tcPr>
                <w:p w14:paraId="638ED73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0.0788</w:t>
                  </w:r>
                </w:p>
              </w:tc>
              <w:tc>
                <w:tcPr>
                  <w:tcW w:w="569" w:type="pct"/>
                  <w:tcBorders>
                    <w:top w:val="single" w:color="auto" w:sz="4" w:space="0"/>
                    <w:tl2br w:val="nil"/>
                    <w:tr2bl w:val="nil"/>
                  </w:tcBorders>
                  <w:shd w:val="clear" w:color="auto" w:fill="auto"/>
                  <w:vAlign w:val="center"/>
                </w:tcPr>
                <w:p w14:paraId="22064C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0.0525</w:t>
                  </w:r>
                </w:p>
              </w:tc>
              <w:tc>
                <w:tcPr>
                  <w:tcW w:w="730" w:type="pct"/>
                  <w:vMerge w:val="continue"/>
                  <w:tcBorders>
                    <w:tl2br w:val="nil"/>
                    <w:tr2bl w:val="nil"/>
                  </w:tcBorders>
                  <w:shd w:val="clear" w:color="auto" w:fill="auto"/>
                  <w:vAlign w:val="center"/>
                </w:tcPr>
                <w:p w14:paraId="4D2DD1C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48" w:type="pct"/>
                  <w:vMerge w:val="continue"/>
                  <w:tcBorders>
                    <w:tl2br w:val="nil"/>
                    <w:tr2bl w:val="nil"/>
                  </w:tcBorders>
                  <w:shd w:val="clear" w:color="auto" w:fill="auto"/>
                  <w:noWrap/>
                  <w:vAlign w:val="center"/>
                </w:tcPr>
                <w:p w14:paraId="4FD1E4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r>
            <w:tr w14:paraId="43D3D8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300" w:type="pct"/>
                  <w:vMerge w:val="restart"/>
                  <w:tcBorders>
                    <w:tl2br w:val="nil"/>
                    <w:tr2bl w:val="nil"/>
                  </w:tcBorders>
                  <w:shd w:val="clear" w:color="auto" w:fill="auto"/>
                  <w:vAlign w:val="center"/>
                </w:tcPr>
                <w:p w14:paraId="0969154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2号楼</w:t>
                  </w:r>
                </w:p>
              </w:tc>
              <w:tc>
                <w:tcPr>
                  <w:tcW w:w="512" w:type="pct"/>
                  <w:tcBorders>
                    <w:bottom w:val="single" w:color="auto" w:sz="4" w:space="0"/>
                    <w:tl2br w:val="nil"/>
                    <w:tr2bl w:val="nil"/>
                  </w:tcBorders>
                  <w:shd w:val="clear" w:color="auto" w:fill="auto"/>
                  <w:vAlign w:val="center"/>
                </w:tcPr>
                <w:p w14:paraId="1FDF0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bidi="ar"/>
                    </w:rPr>
                  </w:pPr>
                  <w:r>
                    <w:rPr>
                      <w:rFonts w:hint="eastAsia" w:cs="Times New Roman"/>
                      <w:color w:val="auto"/>
                      <w:kern w:val="0"/>
                      <w:sz w:val="20"/>
                      <w:szCs w:val="20"/>
                      <w:highlight w:val="none"/>
                      <w:lang w:val="en-US" w:eastAsia="zh-CN" w:bidi="ar"/>
                    </w:rPr>
                    <w:t>喷涂硅油-脱模剂</w:t>
                  </w:r>
                </w:p>
              </w:tc>
              <w:tc>
                <w:tcPr>
                  <w:tcW w:w="669" w:type="pct"/>
                  <w:tcBorders>
                    <w:bottom w:val="single" w:color="auto" w:sz="4" w:space="0"/>
                    <w:tl2br w:val="nil"/>
                    <w:tr2bl w:val="nil"/>
                  </w:tcBorders>
                  <w:shd w:val="clear" w:color="auto" w:fill="auto"/>
                  <w:vAlign w:val="center"/>
                </w:tcPr>
                <w:p w14:paraId="5BBBF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bidi="ar"/>
                    </w:rPr>
                  </w:pPr>
                  <w:r>
                    <w:rPr>
                      <w:rFonts w:hint="eastAsia" w:ascii="Times New Roman" w:hAnsi="Times New Roman" w:eastAsia="宋体"/>
                      <w:b w:val="0"/>
                      <w:bCs w:val="0"/>
                      <w:color w:val="auto"/>
                      <w:sz w:val="20"/>
                      <w:szCs w:val="20"/>
                      <w:highlight w:val="none"/>
                      <w:lang w:eastAsia="zh-CN"/>
                    </w:rPr>
                    <w:t>非甲烷总烃</w:t>
                  </w:r>
                </w:p>
              </w:tc>
              <w:tc>
                <w:tcPr>
                  <w:tcW w:w="497" w:type="pct"/>
                  <w:tcBorders>
                    <w:bottom w:val="single" w:color="auto" w:sz="4" w:space="0"/>
                    <w:tl2br w:val="nil"/>
                    <w:tr2bl w:val="nil"/>
                  </w:tcBorders>
                  <w:shd w:val="clear" w:color="auto" w:fill="auto"/>
                  <w:vAlign w:val="center"/>
                </w:tcPr>
                <w:p w14:paraId="78B657C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0.0181</w:t>
                  </w:r>
                </w:p>
              </w:tc>
              <w:tc>
                <w:tcPr>
                  <w:tcW w:w="575" w:type="pct"/>
                  <w:tcBorders>
                    <w:bottom w:val="single" w:color="auto" w:sz="4" w:space="0"/>
                    <w:tl2br w:val="nil"/>
                    <w:tr2bl w:val="nil"/>
                  </w:tcBorders>
                  <w:shd w:val="clear" w:color="auto" w:fill="auto"/>
                  <w:vAlign w:val="center"/>
                </w:tcPr>
                <w:p w14:paraId="434026A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0.0100</w:t>
                  </w:r>
                </w:p>
              </w:tc>
              <w:tc>
                <w:tcPr>
                  <w:tcW w:w="596" w:type="pct"/>
                  <w:tcBorders>
                    <w:bottom w:val="single" w:color="auto" w:sz="4" w:space="0"/>
                    <w:tl2br w:val="nil"/>
                    <w:tr2bl w:val="nil"/>
                  </w:tcBorders>
                  <w:shd w:val="clear" w:color="auto" w:fill="auto"/>
                  <w:vAlign w:val="center"/>
                </w:tcPr>
                <w:p w14:paraId="2F3662F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0.0181</w:t>
                  </w:r>
                </w:p>
              </w:tc>
              <w:tc>
                <w:tcPr>
                  <w:tcW w:w="569" w:type="pct"/>
                  <w:tcBorders>
                    <w:bottom w:val="single" w:color="auto" w:sz="4" w:space="0"/>
                    <w:tl2br w:val="nil"/>
                    <w:tr2bl w:val="nil"/>
                  </w:tcBorders>
                  <w:shd w:val="clear" w:color="auto" w:fill="auto"/>
                  <w:vAlign w:val="center"/>
                </w:tcPr>
                <w:p w14:paraId="1941A6F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0.0100</w:t>
                  </w:r>
                </w:p>
              </w:tc>
              <w:tc>
                <w:tcPr>
                  <w:tcW w:w="730" w:type="pct"/>
                  <w:vMerge w:val="restart"/>
                  <w:tcBorders>
                    <w:tl2br w:val="nil"/>
                    <w:tr2bl w:val="nil"/>
                  </w:tcBorders>
                  <w:shd w:val="clear" w:color="auto" w:fill="auto"/>
                  <w:vAlign w:val="center"/>
                </w:tcPr>
                <w:p w14:paraId="54366DB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4275</w:t>
                  </w:r>
                </w:p>
              </w:tc>
              <w:tc>
                <w:tcPr>
                  <w:tcW w:w="548" w:type="pct"/>
                  <w:vMerge w:val="restart"/>
                  <w:tcBorders>
                    <w:tl2br w:val="nil"/>
                    <w:tr2bl w:val="nil"/>
                  </w:tcBorders>
                  <w:shd w:val="clear" w:color="auto" w:fill="auto"/>
                  <w:noWrap/>
                  <w:vAlign w:val="center"/>
                </w:tcPr>
                <w:p w14:paraId="6C488EF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22</w:t>
                  </w:r>
                </w:p>
              </w:tc>
            </w:tr>
            <w:tr w14:paraId="41CA56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300" w:type="pct"/>
                  <w:vMerge w:val="continue"/>
                  <w:tcBorders>
                    <w:tl2br w:val="nil"/>
                    <w:tr2bl w:val="nil"/>
                  </w:tcBorders>
                  <w:shd w:val="clear" w:color="auto" w:fill="auto"/>
                  <w:vAlign w:val="center"/>
                </w:tcPr>
                <w:p w14:paraId="3AB2FEC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12" w:type="pct"/>
                  <w:tcBorders>
                    <w:top w:val="single" w:color="auto" w:sz="4" w:space="0"/>
                    <w:tl2br w:val="nil"/>
                    <w:tr2bl w:val="nil"/>
                  </w:tcBorders>
                  <w:shd w:val="clear" w:color="auto" w:fill="auto"/>
                  <w:vAlign w:val="center"/>
                </w:tcPr>
                <w:p w14:paraId="668C76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 w:val="20"/>
                      <w:szCs w:val="20"/>
                      <w:highlight w:val="none"/>
                      <w:lang w:val="en-US" w:eastAsia="zh-CN" w:bidi="ar"/>
                    </w:rPr>
                  </w:pPr>
                  <w:r>
                    <w:rPr>
                      <w:rFonts w:hint="eastAsia" w:cs="Times New Roman"/>
                      <w:color w:val="auto"/>
                      <w:kern w:val="0"/>
                      <w:sz w:val="20"/>
                      <w:szCs w:val="20"/>
                      <w:highlight w:val="none"/>
                      <w:lang w:val="en-US" w:eastAsia="zh-CN" w:bidi="ar"/>
                    </w:rPr>
                    <w:t>精细抛光</w:t>
                  </w:r>
                </w:p>
              </w:tc>
              <w:tc>
                <w:tcPr>
                  <w:tcW w:w="669" w:type="pct"/>
                  <w:tcBorders>
                    <w:top w:val="single" w:color="auto" w:sz="4" w:space="0"/>
                    <w:tl2br w:val="nil"/>
                    <w:tr2bl w:val="nil"/>
                  </w:tcBorders>
                  <w:shd w:val="clear" w:color="auto" w:fill="auto"/>
                  <w:vAlign w:val="center"/>
                </w:tcPr>
                <w:p w14:paraId="5C3E6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b w:val="0"/>
                      <w:bCs w:val="0"/>
                      <w:color w:val="auto"/>
                      <w:sz w:val="20"/>
                      <w:szCs w:val="20"/>
                      <w:highlight w:val="none"/>
                      <w:lang w:eastAsia="zh-CN"/>
                    </w:rPr>
                  </w:pPr>
                  <w:r>
                    <w:rPr>
                      <w:rFonts w:hint="eastAsia"/>
                      <w:b w:val="0"/>
                      <w:bCs w:val="0"/>
                      <w:color w:val="auto"/>
                      <w:sz w:val="20"/>
                      <w:szCs w:val="20"/>
                      <w:highlight w:val="none"/>
                      <w:lang w:val="en-US" w:eastAsia="zh-CN"/>
                    </w:rPr>
                    <w:t>颗粒物</w:t>
                  </w:r>
                </w:p>
              </w:tc>
              <w:tc>
                <w:tcPr>
                  <w:tcW w:w="497" w:type="pct"/>
                  <w:tcBorders>
                    <w:top w:val="single" w:color="auto" w:sz="4" w:space="0"/>
                    <w:tl2br w:val="nil"/>
                    <w:tr2bl w:val="nil"/>
                  </w:tcBorders>
                  <w:shd w:val="clear" w:color="auto" w:fill="auto"/>
                  <w:vAlign w:val="center"/>
                </w:tcPr>
                <w:p w14:paraId="728227D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0.0788</w:t>
                  </w:r>
                </w:p>
              </w:tc>
              <w:tc>
                <w:tcPr>
                  <w:tcW w:w="575" w:type="pct"/>
                  <w:tcBorders>
                    <w:top w:val="single" w:color="auto" w:sz="4" w:space="0"/>
                    <w:tl2br w:val="nil"/>
                    <w:tr2bl w:val="nil"/>
                  </w:tcBorders>
                  <w:shd w:val="clear" w:color="auto" w:fill="auto"/>
                  <w:vAlign w:val="center"/>
                </w:tcPr>
                <w:p w14:paraId="7329E6A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0.0525</w:t>
                  </w:r>
                </w:p>
              </w:tc>
              <w:tc>
                <w:tcPr>
                  <w:tcW w:w="596" w:type="pct"/>
                  <w:tcBorders>
                    <w:top w:val="single" w:color="auto" w:sz="4" w:space="0"/>
                    <w:tl2br w:val="nil"/>
                    <w:tr2bl w:val="nil"/>
                  </w:tcBorders>
                  <w:shd w:val="clear" w:color="auto" w:fill="auto"/>
                  <w:vAlign w:val="center"/>
                </w:tcPr>
                <w:p w14:paraId="405D8A2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0.0788</w:t>
                  </w:r>
                </w:p>
              </w:tc>
              <w:tc>
                <w:tcPr>
                  <w:tcW w:w="569" w:type="pct"/>
                  <w:tcBorders>
                    <w:top w:val="single" w:color="auto" w:sz="4" w:space="0"/>
                    <w:tl2br w:val="nil"/>
                    <w:tr2bl w:val="nil"/>
                  </w:tcBorders>
                  <w:shd w:val="clear" w:color="auto" w:fill="auto"/>
                  <w:vAlign w:val="center"/>
                </w:tcPr>
                <w:p w14:paraId="4C64DBA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0.0525</w:t>
                  </w:r>
                </w:p>
              </w:tc>
              <w:tc>
                <w:tcPr>
                  <w:tcW w:w="730" w:type="pct"/>
                  <w:vMerge w:val="continue"/>
                  <w:tcBorders>
                    <w:tl2br w:val="nil"/>
                    <w:tr2bl w:val="nil"/>
                  </w:tcBorders>
                  <w:shd w:val="clear" w:color="auto" w:fill="auto"/>
                  <w:vAlign w:val="center"/>
                </w:tcPr>
                <w:p w14:paraId="279F883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48" w:type="pct"/>
                  <w:vMerge w:val="continue"/>
                  <w:tcBorders>
                    <w:tl2br w:val="nil"/>
                    <w:tr2bl w:val="nil"/>
                  </w:tcBorders>
                  <w:shd w:val="clear" w:color="auto" w:fill="auto"/>
                  <w:noWrap/>
                  <w:vAlign w:val="center"/>
                </w:tcPr>
                <w:p w14:paraId="1C24CC5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r>
            <w:tr w14:paraId="4FCF8D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300" w:type="pct"/>
                  <w:vMerge w:val="restart"/>
                  <w:tcBorders>
                    <w:tl2br w:val="nil"/>
                    <w:tr2bl w:val="nil"/>
                  </w:tcBorders>
                  <w:shd w:val="clear" w:color="auto" w:fill="auto"/>
                  <w:vAlign w:val="center"/>
                </w:tcPr>
                <w:p w14:paraId="137CA6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3号楼</w:t>
                  </w:r>
                </w:p>
              </w:tc>
              <w:tc>
                <w:tcPr>
                  <w:tcW w:w="512" w:type="pct"/>
                  <w:tcBorders>
                    <w:bottom w:val="single" w:color="auto" w:sz="4" w:space="0"/>
                    <w:tl2br w:val="nil"/>
                    <w:tr2bl w:val="nil"/>
                  </w:tcBorders>
                  <w:shd w:val="clear" w:color="auto" w:fill="auto"/>
                  <w:vAlign w:val="center"/>
                </w:tcPr>
                <w:p w14:paraId="07E4C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bidi="ar"/>
                    </w:rPr>
                  </w:pPr>
                  <w:r>
                    <w:rPr>
                      <w:rFonts w:hint="eastAsia" w:cs="Times New Roman"/>
                      <w:color w:val="auto"/>
                      <w:kern w:val="0"/>
                      <w:sz w:val="20"/>
                      <w:szCs w:val="20"/>
                      <w:highlight w:val="none"/>
                      <w:lang w:val="en-US" w:eastAsia="zh-CN" w:bidi="ar"/>
                    </w:rPr>
                    <w:t>喷涂硅油-脱模剂</w:t>
                  </w:r>
                </w:p>
              </w:tc>
              <w:tc>
                <w:tcPr>
                  <w:tcW w:w="669" w:type="pct"/>
                  <w:tcBorders>
                    <w:bottom w:val="single" w:color="auto" w:sz="4" w:space="0"/>
                    <w:tl2br w:val="nil"/>
                    <w:tr2bl w:val="nil"/>
                  </w:tcBorders>
                  <w:shd w:val="clear" w:color="auto" w:fill="auto"/>
                  <w:vAlign w:val="center"/>
                </w:tcPr>
                <w:p w14:paraId="75B303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bidi="ar"/>
                    </w:rPr>
                  </w:pPr>
                  <w:r>
                    <w:rPr>
                      <w:rFonts w:hint="eastAsia" w:ascii="Times New Roman" w:hAnsi="Times New Roman" w:eastAsia="宋体"/>
                      <w:b w:val="0"/>
                      <w:bCs w:val="0"/>
                      <w:color w:val="auto"/>
                      <w:sz w:val="20"/>
                      <w:szCs w:val="20"/>
                      <w:highlight w:val="none"/>
                      <w:lang w:eastAsia="zh-CN"/>
                    </w:rPr>
                    <w:t>非甲烷总烃</w:t>
                  </w:r>
                </w:p>
              </w:tc>
              <w:tc>
                <w:tcPr>
                  <w:tcW w:w="497" w:type="pct"/>
                  <w:tcBorders>
                    <w:bottom w:val="single" w:color="auto" w:sz="4" w:space="0"/>
                    <w:tl2br w:val="nil"/>
                    <w:tr2bl w:val="nil"/>
                  </w:tcBorders>
                  <w:shd w:val="clear" w:color="auto" w:fill="auto"/>
                  <w:vAlign w:val="center"/>
                </w:tcPr>
                <w:p w14:paraId="08126B0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0.0181</w:t>
                  </w:r>
                </w:p>
              </w:tc>
              <w:tc>
                <w:tcPr>
                  <w:tcW w:w="575" w:type="pct"/>
                  <w:tcBorders>
                    <w:bottom w:val="single" w:color="auto" w:sz="4" w:space="0"/>
                    <w:tl2br w:val="nil"/>
                    <w:tr2bl w:val="nil"/>
                  </w:tcBorders>
                  <w:shd w:val="clear" w:color="auto" w:fill="auto"/>
                  <w:vAlign w:val="center"/>
                </w:tcPr>
                <w:p w14:paraId="73E8F58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0.0100</w:t>
                  </w:r>
                </w:p>
              </w:tc>
              <w:tc>
                <w:tcPr>
                  <w:tcW w:w="596" w:type="pct"/>
                  <w:tcBorders>
                    <w:bottom w:val="single" w:color="auto" w:sz="4" w:space="0"/>
                    <w:tl2br w:val="nil"/>
                    <w:tr2bl w:val="nil"/>
                  </w:tcBorders>
                  <w:shd w:val="clear" w:color="auto" w:fill="auto"/>
                  <w:vAlign w:val="center"/>
                </w:tcPr>
                <w:p w14:paraId="3C50898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0.0181</w:t>
                  </w:r>
                </w:p>
              </w:tc>
              <w:tc>
                <w:tcPr>
                  <w:tcW w:w="569" w:type="pct"/>
                  <w:tcBorders>
                    <w:bottom w:val="single" w:color="auto" w:sz="4" w:space="0"/>
                    <w:tl2br w:val="nil"/>
                    <w:tr2bl w:val="nil"/>
                  </w:tcBorders>
                  <w:shd w:val="clear" w:color="auto" w:fill="auto"/>
                  <w:vAlign w:val="center"/>
                </w:tcPr>
                <w:p w14:paraId="2D6BC92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0.0100</w:t>
                  </w:r>
                </w:p>
              </w:tc>
              <w:tc>
                <w:tcPr>
                  <w:tcW w:w="730" w:type="pct"/>
                  <w:vMerge w:val="restart"/>
                  <w:tcBorders>
                    <w:tl2br w:val="nil"/>
                    <w:tr2bl w:val="nil"/>
                  </w:tcBorders>
                  <w:shd w:val="clear" w:color="auto" w:fill="auto"/>
                  <w:vAlign w:val="center"/>
                </w:tcPr>
                <w:p w14:paraId="22E6859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4275</w:t>
                  </w:r>
                </w:p>
              </w:tc>
              <w:tc>
                <w:tcPr>
                  <w:tcW w:w="548" w:type="pct"/>
                  <w:vMerge w:val="restart"/>
                  <w:tcBorders>
                    <w:tl2br w:val="nil"/>
                    <w:tr2bl w:val="nil"/>
                  </w:tcBorders>
                  <w:shd w:val="clear" w:color="auto" w:fill="auto"/>
                  <w:noWrap/>
                  <w:vAlign w:val="center"/>
                </w:tcPr>
                <w:p w14:paraId="017EACE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22</w:t>
                  </w:r>
                </w:p>
              </w:tc>
            </w:tr>
            <w:tr w14:paraId="683F28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300" w:type="pct"/>
                  <w:vMerge w:val="continue"/>
                  <w:tcBorders>
                    <w:tl2br w:val="nil"/>
                    <w:tr2bl w:val="nil"/>
                  </w:tcBorders>
                  <w:shd w:val="clear" w:color="auto" w:fill="auto"/>
                  <w:vAlign w:val="center"/>
                </w:tcPr>
                <w:p w14:paraId="2787511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12" w:type="pct"/>
                  <w:tcBorders>
                    <w:top w:val="single" w:color="auto" w:sz="4" w:space="0"/>
                    <w:tl2br w:val="nil"/>
                    <w:tr2bl w:val="nil"/>
                  </w:tcBorders>
                  <w:shd w:val="clear" w:color="auto" w:fill="auto"/>
                  <w:vAlign w:val="center"/>
                </w:tcPr>
                <w:p w14:paraId="06D46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 w:val="20"/>
                      <w:szCs w:val="20"/>
                      <w:highlight w:val="none"/>
                      <w:lang w:val="en-US" w:eastAsia="zh-CN" w:bidi="ar"/>
                    </w:rPr>
                  </w:pPr>
                  <w:r>
                    <w:rPr>
                      <w:rFonts w:hint="eastAsia" w:cs="Times New Roman"/>
                      <w:color w:val="auto"/>
                      <w:kern w:val="0"/>
                      <w:sz w:val="20"/>
                      <w:szCs w:val="20"/>
                      <w:highlight w:val="none"/>
                      <w:lang w:val="en-US" w:eastAsia="zh-CN" w:bidi="ar"/>
                    </w:rPr>
                    <w:t>精细抛光</w:t>
                  </w:r>
                </w:p>
              </w:tc>
              <w:tc>
                <w:tcPr>
                  <w:tcW w:w="669" w:type="pct"/>
                  <w:tcBorders>
                    <w:top w:val="single" w:color="auto" w:sz="4" w:space="0"/>
                    <w:tl2br w:val="nil"/>
                    <w:tr2bl w:val="nil"/>
                  </w:tcBorders>
                  <w:shd w:val="clear" w:color="auto" w:fill="auto"/>
                  <w:vAlign w:val="center"/>
                </w:tcPr>
                <w:p w14:paraId="19867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b w:val="0"/>
                      <w:bCs w:val="0"/>
                      <w:color w:val="auto"/>
                      <w:sz w:val="20"/>
                      <w:szCs w:val="20"/>
                      <w:highlight w:val="none"/>
                      <w:lang w:eastAsia="zh-CN"/>
                    </w:rPr>
                  </w:pPr>
                  <w:r>
                    <w:rPr>
                      <w:rFonts w:hint="eastAsia"/>
                      <w:b w:val="0"/>
                      <w:bCs w:val="0"/>
                      <w:color w:val="auto"/>
                      <w:sz w:val="20"/>
                      <w:szCs w:val="20"/>
                      <w:highlight w:val="none"/>
                      <w:lang w:val="en-US" w:eastAsia="zh-CN"/>
                    </w:rPr>
                    <w:t>颗粒物</w:t>
                  </w:r>
                </w:p>
              </w:tc>
              <w:tc>
                <w:tcPr>
                  <w:tcW w:w="497" w:type="pct"/>
                  <w:tcBorders>
                    <w:top w:val="single" w:color="auto" w:sz="4" w:space="0"/>
                    <w:tl2br w:val="nil"/>
                    <w:tr2bl w:val="nil"/>
                  </w:tcBorders>
                  <w:shd w:val="clear" w:color="auto" w:fill="auto"/>
                  <w:vAlign w:val="center"/>
                </w:tcPr>
                <w:p w14:paraId="54539A0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0.076</w:t>
                  </w:r>
                </w:p>
              </w:tc>
              <w:tc>
                <w:tcPr>
                  <w:tcW w:w="575" w:type="pct"/>
                  <w:tcBorders>
                    <w:top w:val="single" w:color="auto" w:sz="4" w:space="0"/>
                    <w:tl2br w:val="nil"/>
                    <w:tr2bl w:val="nil"/>
                  </w:tcBorders>
                  <w:shd w:val="clear" w:color="auto" w:fill="auto"/>
                  <w:vAlign w:val="center"/>
                </w:tcPr>
                <w:p w14:paraId="63ECF1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0.0507</w:t>
                  </w:r>
                  <w:r>
                    <w:rPr>
                      <w:rFonts w:hint="eastAsia" w:ascii="Times New Roman" w:hAnsi="Times New Roman" w:eastAsia="宋体" w:cs="Times New Roman"/>
                      <w:color w:val="auto"/>
                      <w:sz w:val="18"/>
                      <w:szCs w:val="20"/>
                      <w:highlight w:val="none"/>
                      <w:lang w:val="en-US" w:eastAsia="zh-CN"/>
                    </w:rPr>
                    <w:t xml:space="preserve"> </w:t>
                  </w:r>
                </w:p>
              </w:tc>
              <w:tc>
                <w:tcPr>
                  <w:tcW w:w="596" w:type="pct"/>
                  <w:tcBorders>
                    <w:top w:val="single" w:color="auto" w:sz="4" w:space="0"/>
                    <w:tl2br w:val="nil"/>
                    <w:tr2bl w:val="nil"/>
                  </w:tcBorders>
                  <w:shd w:val="clear" w:color="auto" w:fill="auto"/>
                  <w:vAlign w:val="center"/>
                </w:tcPr>
                <w:p w14:paraId="1C9751B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0.076</w:t>
                  </w:r>
                </w:p>
              </w:tc>
              <w:tc>
                <w:tcPr>
                  <w:tcW w:w="569" w:type="pct"/>
                  <w:tcBorders>
                    <w:top w:val="single" w:color="auto" w:sz="4" w:space="0"/>
                    <w:tl2br w:val="nil"/>
                    <w:tr2bl w:val="nil"/>
                  </w:tcBorders>
                  <w:shd w:val="clear" w:color="auto" w:fill="auto"/>
                  <w:vAlign w:val="center"/>
                </w:tcPr>
                <w:p w14:paraId="38175DB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0.0507</w:t>
                  </w:r>
                  <w:r>
                    <w:rPr>
                      <w:rFonts w:hint="eastAsia" w:ascii="Times New Roman" w:hAnsi="Times New Roman" w:eastAsia="宋体" w:cs="Times New Roman"/>
                      <w:color w:val="auto"/>
                      <w:sz w:val="18"/>
                      <w:szCs w:val="20"/>
                      <w:highlight w:val="none"/>
                      <w:lang w:val="en-US" w:eastAsia="zh-CN"/>
                    </w:rPr>
                    <w:t xml:space="preserve"> </w:t>
                  </w:r>
                </w:p>
              </w:tc>
              <w:tc>
                <w:tcPr>
                  <w:tcW w:w="730" w:type="pct"/>
                  <w:vMerge w:val="continue"/>
                  <w:tcBorders>
                    <w:tl2br w:val="nil"/>
                    <w:tr2bl w:val="nil"/>
                  </w:tcBorders>
                  <w:shd w:val="clear" w:color="auto" w:fill="auto"/>
                  <w:vAlign w:val="center"/>
                </w:tcPr>
                <w:p w14:paraId="6D58509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48" w:type="pct"/>
                  <w:vMerge w:val="continue"/>
                  <w:tcBorders>
                    <w:tl2br w:val="nil"/>
                    <w:tr2bl w:val="nil"/>
                  </w:tcBorders>
                  <w:shd w:val="clear" w:color="auto" w:fill="auto"/>
                  <w:noWrap/>
                  <w:vAlign w:val="center"/>
                </w:tcPr>
                <w:p w14:paraId="2B3508B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r>
            <w:tr w14:paraId="3D107A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00" w:type="pct"/>
                  <w:vMerge w:val="restart"/>
                  <w:tcBorders>
                    <w:tl2br w:val="nil"/>
                    <w:tr2bl w:val="nil"/>
                  </w:tcBorders>
                  <w:shd w:val="clear" w:color="auto" w:fill="auto"/>
                  <w:vAlign w:val="center"/>
                </w:tcPr>
                <w:p w14:paraId="1B5492B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4号楼</w:t>
                  </w:r>
                </w:p>
              </w:tc>
              <w:tc>
                <w:tcPr>
                  <w:tcW w:w="512" w:type="pct"/>
                  <w:tcBorders>
                    <w:bottom w:val="single" w:color="auto" w:sz="4" w:space="0"/>
                    <w:tl2br w:val="nil"/>
                    <w:tr2bl w:val="nil"/>
                  </w:tcBorders>
                  <w:shd w:val="clear" w:color="auto" w:fill="auto"/>
                  <w:vAlign w:val="center"/>
                </w:tcPr>
                <w:p w14:paraId="695EA0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bidi="ar"/>
                    </w:rPr>
                  </w:pPr>
                  <w:r>
                    <w:rPr>
                      <w:rFonts w:hint="eastAsia" w:cs="Times New Roman"/>
                      <w:color w:val="auto"/>
                      <w:kern w:val="0"/>
                      <w:sz w:val="20"/>
                      <w:szCs w:val="20"/>
                      <w:highlight w:val="none"/>
                      <w:lang w:val="en-US" w:eastAsia="zh-CN" w:bidi="ar"/>
                    </w:rPr>
                    <w:t>喷涂硅油-脱模剂</w:t>
                  </w:r>
                </w:p>
              </w:tc>
              <w:tc>
                <w:tcPr>
                  <w:tcW w:w="669" w:type="pct"/>
                  <w:tcBorders>
                    <w:bottom w:val="single" w:color="auto" w:sz="4" w:space="0"/>
                    <w:tl2br w:val="nil"/>
                    <w:tr2bl w:val="nil"/>
                  </w:tcBorders>
                  <w:shd w:val="clear" w:color="auto" w:fill="auto"/>
                  <w:vAlign w:val="center"/>
                </w:tcPr>
                <w:p w14:paraId="272D1E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0"/>
                      <w:szCs w:val="20"/>
                      <w:highlight w:val="none"/>
                      <w:lang w:bidi="ar"/>
                    </w:rPr>
                  </w:pPr>
                  <w:r>
                    <w:rPr>
                      <w:rFonts w:hint="eastAsia" w:ascii="Times New Roman" w:hAnsi="Times New Roman" w:eastAsia="宋体"/>
                      <w:b w:val="0"/>
                      <w:bCs w:val="0"/>
                      <w:color w:val="auto"/>
                      <w:sz w:val="20"/>
                      <w:szCs w:val="20"/>
                      <w:highlight w:val="none"/>
                      <w:lang w:eastAsia="zh-CN"/>
                    </w:rPr>
                    <w:t>非甲烷总烃</w:t>
                  </w:r>
                </w:p>
              </w:tc>
              <w:tc>
                <w:tcPr>
                  <w:tcW w:w="497" w:type="pct"/>
                  <w:tcBorders>
                    <w:bottom w:val="single" w:color="auto" w:sz="4" w:space="0"/>
                    <w:tl2br w:val="nil"/>
                    <w:tr2bl w:val="nil"/>
                  </w:tcBorders>
                  <w:shd w:val="clear" w:color="auto" w:fill="auto"/>
                  <w:vAlign w:val="center"/>
                </w:tcPr>
                <w:p w14:paraId="458C449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0.0181</w:t>
                  </w:r>
                </w:p>
              </w:tc>
              <w:tc>
                <w:tcPr>
                  <w:tcW w:w="575" w:type="pct"/>
                  <w:tcBorders>
                    <w:bottom w:val="single" w:color="auto" w:sz="4" w:space="0"/>
                    <w:tl2br w:val="nil"/>
                    <w:tr2bl w:val="nil"/>
                  </w:tcBorders>
                  <w:shd w:val="clear" w:color="auto" w:fill="auto"/>
                  <w:vAlign w:val="center"/>
                </w:tcPr>
                <w:p w14:paraId="06DB58B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0.0100</w:t>
                  </w:r>
                </w:p>
              </w:tc>
              <w:tc>
                <w:tcPr>
                  <w:tcW w:w="596" w:type="pct"/>
                  <w:tcBorders>
                    <w:bottom w:val="single" w:color="auto" w:sz="4" w:space="0"/>
                    <w:tl2br w:val="nil"/>
                    <w:tr2bl w:val="nil"/>
                  </w:tcBorders>
                  <w:shd w:val="clear" w:color="auto" w:fill="auto"/>
                  <w:vAlign w:val="center"/>
                </w:tcPr>
                <w:p w14:paraId="7719A91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0.0181</w:t>
                  </w:r>
                </w:p>
              </w:tc>
              <w:tc>
                <w:tcPr>
                  <w:tcW w:w="569" w:type="pct"/>
                  <w:tcBorders>
                    <w:bottom w:val="single" w:color="auto" w:sz="4" w:space="0"/>
                    <w:tl2br w:val="nil"/>
                    <w:tr2bl w:val="nil"/>
                  </w:tcBorders>
                  <w:shd w:val="clear" w:color="auto" w:fill="auto"/>
                  <w:vAlign w:val="center"/>
                </w:tcPr>
                <w:p w14:paraId="1E0EE5C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18"/>
                      <w:szCs w:val="20"/>
                      <w:highlight w:val="none"/>
                      <w:lang w:val="en-US" w:eastAsia="zh-CN"/>
                    </w:rPr>
                  </w:pPr>
                  <w:r>
                    <w:rPr>
                      <w:rFonts w:hint="eastAsia" w:cs="Times New Roman"/>
                      <w:color w:val="auto"/>
                      <w:sz w:val="18"/>
                      <w:szCs w:val="18"/>
                      <w:highlight w:val="none"/>
                      <w:lang w:val="en-US" w:eastAsia="zh-CN"/>
                    </w:rPr>
                    <w:t>0.0100</w:t>
                  </w:r>
                </w:p>
              </w:tc>
              <w:tc>
                <w:tcPr>
                  <w:tcW w:w="730" w:type="pct"/>
                  <w:vMerge w:val="restart"/>
                  <w:tcBorders>
                    <w:tl2br w:val="nil"/>
                    <w:tr2bl w:val="nil"/>
                  </w:tcBorders>
                  <w:shd w:val="clear" w:color="auto" w:fill="auto"/>
                  <w:vAlign w:val="center"/>
                </w:tcPr>
                <w:p w14:paraId="47EE78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4275</w:t>
                  </w:r>
                </w:p>
              </w:tc>
              <w:tc>
                <w:tcPr>
                  <w:tcW w:w="548" w:type="pct"/>
                  <w:vMerge w:val="restart"/>
                  <w:tcBorders>
                    <w:tl2br w:val="nil"/>
                    <w:tr2bl w:val="nil"/>
                  </w:tcBorders>
                  <w:shd w:val="clear" w:color="auto" w:fill="auto"/>
                  <w:noWrap/>
                  <w:vAlign w:val="center"/>
                </w:tcPr>
                <w:p w14:paraId="34619A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22</w:t>
                  </w:r>
                </w:p>
              </w:tc>
            </w:tr>
            <w:tr w14:paraId="2CAAB8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300" w:type="pct"/>
                  <w:vMerge w:val="continue"/>
                  <w:tcBorders>
                    <w:tl2br w:val="nil"/>
                    <w:tr2bl w:val="nil"/>
                  </w:tcBorders>
                  <w:shd w:val="clear" w:color="auto" w:fill="auto"/>
                  <w:vAlign w:val="center"/>
                </w:tcPr>
                <w:p w14:paraId="166202B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12" w:type="pct"/>
                  <w:tcBorders>
                    <w:top w:val="single" w:color="auto" w:sz="4" w:space="0"/>
                    <w:bottom w:val="single" w:color="auto" w:sz="4" w:space="0"/>
                    <w:right w:val="single" w:color="auto" w:sz="6" w:space="0"/>
                    <w:tl2br w:val="nil"/>
                    <w:tr2bl w:val="nil"/>
                  </w:tcBorders>
                  <w:shd w:val="clear" w:color="auto" w:fill="auto"/>
                  <w:vAlign w:val="center"/>
                </w:tcPr>
                <w:p w14:paraId="52A5E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 w:val="20"/>
                      <w:szCs w:val="20"/>
                      <w:highlight w:val="none"/>
                      <w:lang w:val="en-US" w:eastAsia="zh-CN" w:bidi="ar"/>
                    </w:rPr>
                  </w:pPr>
                  <w:r>
                    <w:rPr>
                      <w:rFonts w:hint="eastAsia" w:cs="Times New Roman"/>
                      <w:color w:val="auto"/>
                      <w:kern w:val="0"/>
                      <w:sz w:val="20"/>
                      <w:szCs w:val="20"/>
                      <w:highlight w:val="none"/>
                      <w:lang w:val="en-US" w:eastAsia="zh-CN" w:bidi="ar"/>
                    </w:rPr>
                    <w:t>精细抛光</w:t>
                  </w:r>
                </w:p>
              </w:tc>
              <w:tc>
                <w:tcPr>
                  <w:tcW w:w="669" w:type="pct"/>
                  <w:tcBorders>
                    <w:top w:val="single" w:color="auto" w:sz="4" w:space="0"/>
                    <w:left w:val="single" w:color="auto" w:sz="6" w:space="0"/>
                    <w:bottom w:val="single" w:color="auto" w:sz="4" w:space="0"/>
                    <w:right w:val="single" w:color="auto" w:sz="4" w:space="0"/>
                  </w:tcBorders>
                  <w:shd w:val="clear" w:color="auto" w:fill="auto"/>
                  <w:vAlign w:val="center"/>
                </w:tcPr>
                <w:p w14:paraId="7E4020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b w:val="0"/>
                      <w:bCs w:val="0"/>
                      <w:color w:val="auto"/>
                      <w:sz w:val="20"/>
                      <w:szCs w:val="20"/>
                      <w:highlight w:val="none"/>
                      <w:lang w:eastAsia="zh-CN"/>
                    </w:rPr>
                  </w:pPr>
                  <w:r>
                    <w:rPr>
                      <w:rFonts w:hint="eastAsia"/>
                      <w:b w:val="0"/>
                      <w:bCs w:val="0"/>
                      <w:color w:val="auto"/>
                      <w:sz w:val="20"/>
                      <w:szCs w:val="20"/>
                      <w:highlight w:val="none"/>
                      <w:lang w:val="en-US" w:eastAsia="zh-CN"/>
                    </w:rPr>
                    <w:t>颗粒物</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2F14E62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0.0788</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14:paraId="7084F3C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0.0525</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347D4D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0.0788</w:t>
                  </w:r>
                </w:p>
              </w:tc>
              <w:tc>
                <w:tcPr>
                  <w:tcW w:w="569" w:type="pct"/>
                  <w:tcBorders>
                    <w:top w:val="single" w:color="auto" w:sz="4" w:space="0"/>
                    <w:left w:val="single" w:color="auto" w:sz="4" w:space="0"/>
                    <w:bottom w:val="single" w:color="auto" w:sz="4" w:space="0"/>
                  </w:tcBorders>
                  <w:shd w:val="clear" w:color="auto" w:fill="auto"/>
                  <w:vAlign w:val="center"/>
                </w:tcPr>
                <w:p w14:paraId="68C9B38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18"/>
                      <w:szCs w:val="20"/>
                      <w:highlight w:val="none"/>
                      <w:lang w:val="en-US" w:eastAsia="zh-CN"/>
                    </w:rPr>
                  </w:pPr>
                  <w:r>
                    <w:rPr>
                      <w:rFonts w:hint="eastAsia" w:cs="Times New Roman"/>
                      <w:color w:val="auto"/>
                      <w:sz w:val="18"/>
                      <w:szCs w:val="20"/>
                      <w:highlight w:val="none"/>
                      <w:lang w:val="en-US" w:eastAsia="zh-CN"/>
                    </w:rPr>
                    <w:t>0.0525</w:t>
                  </w:r>
                </w:p>
              </w:tc>
              <w:tc>
                <w:tcPr>
                  <w:tcW w:w="730" w:type="pct"/>
                  <w:vMerge w:val="continue"/>
                  <w:tcBorders>
                    <w:tl2br w:val="nil"/>
                    <w:tr2bl w:val="nil"/>
                  </w:tcBorders>
                  <w:shd w:val="clear" w:color="auto" w:fill="auto"/>
                  <w:vAlign w:val="center"/>
                </w:tcPr>
                <w:p w14:paraId="2013796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c>
                <w:tcPr>
                  <w:tcW w:w="548" w:type="pct"/>
                  <w:vMerge w:val="continue"/>
                  <w:tcBorders>
                    <w:tl2br w:val="nil"/>
                    <w:tr2bl w:val="nil"/>
                  </w:tcBorders>
                  <w:shd w:val="clear" w:color="auto" w:fill="auto"/>
                  <w:noWrap/>
                  <w:vAlign w:val="center"/>
                </w:tcPr>
                <w:p w14:paraId="3A475FC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color w:val="auto"/>
                      <w:sz w:val="20"/>
                      <w:szCs w:val="20"/>
                      <w:highlight w:val="none"/>
                      <w:lang w:val="en-US" w:eastAsia="zh-CN"/>
                    </w:rPr>
                  </w:pPr>
                </w:p>
              </w:tc>
            </w:tr>
            <w:tr w14:paraId="655A66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300" w:type="pct"/>
                  <w:vMerge w:val="restart"/>
                  <w:tcBorders>
                    <w:tl2br w:val="nil"/>
                    <w:tr2bl w:val="nil"/>
                  </w:tcBorders>
                  <w:shd w:val="clear" w:color="auto" w:fill="auto"/>
                  <w:vAlign w:val="center"/>
                </w:tcPr>
                <w:p w14:paraId="78E2CC8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合计</w:t>
                  </w:r>
                </w:p>
              </w:tc>
              <w:tc>
                <w:tcPr>
                  <w:tcW w:w="512" w:type="pct"/>
                  <w:vMerge w:val="restart"/>
                  <w:tcBorders>
                    <w:top w:val="single" w:color="auto" w:sz="4" w:space="0"/>
                    <w:right w:val="single" w:color="auto" w:sz="6" w:space="0"/>
                    <w:tl2br w:val="nil"/>
                    <w:tr2bl w:val="nil"/>
                  </w:tcBorders>
                  <w:shd w:val="clear" w:color="auto" w:fill="auto"/>
                  <w:vAlign w:val="center"/>
                </w:tcPr>
                <w:p w14:paraId="5C38D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cs="Times New Roman"/>
                      <w:b/>
                      <w:bCs/>
                      <w:color w:val="auto"/>
                      <w:kern w:val="0"/>
                      <w:sz w:val="20"/>
                      <w:szCs w:val="20"/>
                      <w:highlight w:val="none"/>
                      <w:lang w:val="en-US" w:eastAsia="zh-CN" w:bidi="ar"/>
                    </w:rPr>
                  </w:pPr>
                  <w:r>
                    <w:rPr>
                      <w:rFonts w:hint="eastAsia" w:cs="Times New Roman"/>
                      <w:b/>
                      <w:bCs/>
                      <w:color w:val="auto"/>
                      <w:kern w:val="0"/>
                      <w:sz w:val="20"/>
                      <w:szCs w:val="20"/>
                      <w:highlight w:val="none"/>
                      <w:lang w:val="en-US" w:eastAsia="zh-CN" w:bidi="ar"/>
                    </w:rPr>
                    <w:t>/</w:t>
                  </w:r>
                </w:p>
              </w:tc>
              <w:tc>
                <w:tcPr>
                  <w:tcW w:w="669" w:type="pct"/>
                  <w:tcBorders>
                    <w:top w:val="single" w:color="auto" w:sz="4" w:space="0"/>
                    <w:left w:val="single" w:color="auto" w:sz="6" w:space="0"/>
                    <w:bottom w:val="single" w:color="auto" w:sz="4" w:space="0"/>
                    <w:right w:val="single" w:color="auto" w:sz="4" w:space="0"/>
                  </w:tcBorders>
                  <w:shd w:val="clear" w:color="auto" w:fill="auto"/>
                  <w:vAlign w:val="center"/>
                </w:tcPr>
                <w:p w14:paraId="067E0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b/>
                      <w:bCs/>
                      <w:color w:val="auto"/>
                      <w:sz w:val="20"/>
                      <w:szCs w:val="20"/>
                      <w:highlight w:val="none"/>
                      <w:lang w:val="en-US" w:eastAsia="zh-CN"/>
                    </w:rPr>
                  </w:pPr>
                  <w:r>
                    <w:rPr>
                      <w:rFonts w:hint="eastAsia"/>
                      <w:b/>
                      <w:bCs/>
                      <w:color w:val="auto"/>
                      <w:sz w:val="20"/>
                      <w:szCs w:val="20"/>
                      <w:highlight w:val="none"/>
                      <w:lang w:val="en-US" w:eastAsia="zh-CN"/>
                    </w:rPr>
                    <w:t>非甲烷总烃</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1B3B07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cs="Times New Roman"/>
                      <w:b/>
                      <w:bCs/>
                      <w:color w:val="auto"/>
                      <w:sz w:val="18"/>
                      <w:szCs w:val="20"/>
                      <w:highlight w:val="none"/>
                      <w:lang w:val="en-US" w:eastAsia="zh-CN"/>
                    </w:rPr>
                  </w:pPr>
                  <w:r>
                    <w:rPr>
                      <w:rFonts w:hint="eastAsia" w:cs="Times New Roman"/>
                      <w:b/>
                      <w:bCs/>
                      <w:color w:val="auto"/>
                      <w:sz w:val="18"/>
                      <w:szCs w:val="20"/>
                      <w:highlight w:val="none"/>
                      <w:lang w:val="en-US" w:eastAsia="zh-CN"/>
                    </w:rPr>
                    <w:t>0.0724</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14:paraId="35A05CD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cs="Times New Roman"/>
                      <w:b/>
                      <w:bCs/>
                      <w:color w:val="auto"/>
                      <w:sz w:val="18"/>
                      <w:szCs w:val="20"/>
                      <w:highlight w:val="none"/>
                      <w:lang w:val="en-US" w:eastAsia="zh-CN"/>
                    </w:rPr>
                  </w:pPr>
                  <w:r>
                    <w:rPr>
                      <w:rFonts w:hint="eastAsia" w:cs="Times New Roman"/>
                      <w:b/>
                      <w:bCs/>
                      <w:color w:val="auto"/>
                      <w:sz w:val="18"/>
                      <w:szCs w:val="20"/>
                      <w:highlight w:val="none"/>
                      <w:lang w:val="en-US" w:eastAsia="zh-CN"/>
                    </w:rPr>
                    <w:t>/</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14:paraId="6CDC72E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cs="Times New Roman"/>
                      <w:b/>
                      <w:bCs/>
                      <w:color w:val="auto"/>
                      <w:sz w:val="18"/>
                      <w:szCs w:val="20"/>
                      <w:highlight w:val="none"/>
                      <w:lang w:val="en-US" w:eastAsia="zh-CN"/>
                    </w:rPr>
                  </w:pPr>
                  <w:r>
                    <w:rPr>
                      <w:rFonts w:hint="eastAsia" w:cs="Times New Roman"/>
                      <w:b/>
                      <w:bCs/>
                      <w:color w:val="auto"/>
                      <w:sz w:val="18"/>
                      <w:szCs w:val="20"/>
                      <w:highlight w:val="none"/>
                      <w:lang w:val="en-US" w:eastAsia="zh-CN"/>
                    </w:rPr>
                    <w:t>0.0724</w:t>
                  </w:r>
                </w:p>
              </w:tc>
              <w:tc>
                <w:tcPr>
                  <w:tcW w:w="569" w:type="pct"/>
                  <w:tcBorders>
                    <w:top w:val="single" w:color="auto" w:sz="4" w:space="0"/>
                    <w:left w:val="single" w:color="auto" w:sz="4" w:space="0"/>
                    <w:bottom w:val="single" w:color="auto" w:sz="4" w:space="0"/>
                  </w:tcBorders>
                  <w:shd w:val="clear" w:color="auto" w:fill="auto"/>
                  <w:vAlign w:val="center"/>
                </w:tcPr>
                <w:p w14:paraId="4D4DA01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cs="Times New Roman"/>
                      <w:b/>
                      <w:bCs/>
                      <w:color w:val="auto"/>
                      <w:sz w:val="18"/>
                      <w:szCs w:val="20"/>
                      <w:highlight w:val="none"/>
                      <w:lang w:val="en-US" w:eastAsia="zh-CN"/>
                    </w:rPr>
                  </w:pPr>
                  <w:r>
                    <w:rPr>
                      <w:rFonts w:hint="eastAsia" w:cs="Times New Roman"/>
                      <w:b/>
                      <w:bCs/>
                      <w:color w:val="auto"/>
                      <w:sz w:val="18"/>
                      <w:szCs w:val="20"/>
                      <w:highlight w:val="none"/>
                      <w:lang w:val="en-US" w:eastAsia="zh-CN"/>
                    </w:rPr>
                    <w:t>/</w:t>
                  </w:r>
                </w:p>
              </w:tc>
              <w:tc>
                <w:tcPr>
                  <w:tcW w:w="730" w:type="pct"/>
                  <w:tcBorders>
                    <w:tl2br w:val="nil"/>
                    <w:tr2bl w:val="nil"/>
                  </w:tcBorders>
                  <w:shd w:val="clear" w:color="auto" w:fill="auto"/>
                  <w:vAlign w:val="center"/>
                </w:tcPr>
                <w:p w14:paraId="25F7343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w:t>
                  </w:r>
                </w:p>
              </w:tc>
              <w:tc>
                <w:tcPr>
                  <w:tcW w:w="548" w:type="pct"/>
                  <w:tcBorders>
                    <w:tl2br w:val="nil"/>
                    <w:tr2bl w:val="nil"/>
                  </w:tcBorders>
                  <w:shd w:val="clear" w:color="auto" w:fill="auto"/>
                  <w:noWrap/>
                  <w:vAlign w:val="center"/>
                </w:tcPr>
                <w:p w14:paraId="3B31BD6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w:t>
                  </w:r>
                </w:p>
              </w:tc>
            </w:tr>
            <w:tr w14:paraId="005638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300" w:type="pct"/>
                  <w:vMerge w:val="continue"/>
                  <w:tcBorders>
                    <w:tl2br w:val="nil"/>
                    <w:tr2bl w:val="nil"/>
                  </w:tcBorders>
                  <w:shd w:val="clear" w:color="auto" w:fill="auto"/>
                  <w:vAlign w:val="center"/>
                </w:tcPr>
                <w:p w14:paraId="48C60D1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cs="Times New Roman"/>
                      <w:b/>
                      <w:bCs/>
                      <w:color w:val="auto"/>
                      <w:sz w:val="20"/>
                      <w:szCs w:val="20"/>
                      <w:highlight w:val="none"/>
                      <w:lang w:val="en-US" w:eastAsia="zh-CN"/>
                    </w:rPr>
                  </w:pPr>
                </w:p>
              </w:tc>
              <w:tc>
                <w:tcPr>
                  <w:tcW w:w="512" w:type="pct"/>
                  <w:vMerge w:val="continue"/>
                  <w:tcBorders>
                    <w:right w:val="single" w:color="auto" w:sz="6" w:space="0"/>
                    <w:tl2br w:val="nil"/>
                    <w:tr2bl w:val="nil"/>
                  </w:tcBorders>
                  <w:shd w:val="clear" w:color="auto" w:fill="auto"/>
                  <w:vAlign w:val="center"/>
                </w:tcPr>
                <w:p w14:paraId="2406E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cs="Times New Roman"/>
                      <w:b/>
                      <w:bCs/>
                      <w:color w:val="auto"/>
                      <w:kern w:val="0"/>
                      <w:sz w:val="20"/>
                      <w:szCs w:val="20"/>
                      <w:highlight w:val="none"/>
                      <w:lang w:val="en-US" w:eastAsia="zh-CN" w:bidi="ar"/>
                    </w:rPr>
                  </w:pPr>
                </w:p>
              </w:tc>
              <w:tc>
                <w:tcPr>
                  <w:tcW w:w="669" w:type="pct"/>
                  <w:tcBorders>
                    <w:top w:val="single" w:color="auto" w:sz="4" w:space="0"/>
                    <w:left w:val="single" w:color="auto" w:sz="6" w:space="0"/>
                    <w:bottom w:val="single" w:color="auto" w:sz="12" w:space="0"/>
                    <w:right w:val="single" w:color="auto" w:sz="4" w:space="0"/>
                  </w:tcBorders>
                  <w:shd w:val="clear" w:color="auto" w:fill="auto"/>
                  <w:vAlign w:val="center"/>
                </w:tcPr>
                <w:p w14:paraId="03DF1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b/>
                      <w:bCs/>
                      <w:color w:val="auto"/>
                      <w:sz w:val="20"/>
                      <w:szCs w:val="20"/>
                      <w:highlight w:val="none"/>
                      <w:lang w:val="en-US" w:eastAsia="zh-CN"/>
                    </w:rPr>
                  </w:pPr>
                  <w:r>
                    <w:rPr>
                      <w:rFonts w:hint="eastAsia"/>
                      <w:b/>
                      <w:bCs/>
                      <w:color w:val="auto"/>
                      <w:sz w:val="20"/>
                      <w:szCs w:val="20"/>
                      <w:highlight w:val="none"/>
                      <w:lang w:val="en-US" w:eastAsia="zh-CN"/>
                    </w:rPr>
                    <w:t>颗粒物</w:t>
                  </w:r>
                </w:p>
              </w:tc>
              <w:tc>
                <w:tcPr>
                  <w:tcW w:w="497" w:type="pct"/>
                  <w:tcBorders>
                    <w:top w:val="single" w:color="auto" w:sz="4" w:space="0"/>
                    <w:left w:val="single" w:color="auto" w:sz="4" w:space="0"/>
                    <w:bottom w:val="single" w:color="auto" w:sz="12" w:space="0"/>
                    <w:right w:val="single" w:color="auto" w:sz="4" w:space="0"/>
                  </w:tcBorders>
                  <w:shd w:val="clear" w:color="auto" w:fill="auto"/>
                  <w:vAlign w:val="center"/>
                </w:tcPr>
                <w:p w14:paraId="71C7DD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cs="Times New Roman"/>
                      <w:b/>
                      <w:bCs/>
                      <w:color w:val="auto"/>
                      <w:sz w:val="18"/>
                      <w:szCs w:val="20"/>
                      <w:highlight w:val="none"/>
                      <w:lang w:val="en-US" w:eastAsia="zh-CN"/>
                    </w:rPr>
                  </w:pPr>
                  <w:r>
                    <w:rPr>
                      <w:rFonts w:hint="eastAsia" w:cs="Times New Roman"/>
                      <w:b/>
                      <w:bCs/>
                      <w:color w:val="auto"/>
                      <w:sz w:val="18"/>
                      <w:szCs w:val="20"/>
                      <w:highlight w:val="none"/>
                      <w:lang w:val="en-US" w:eastAsia="zh-CN"/>
                    </w:rPr>
                    <w:t>0.3124</w:t>
                  </w:r>
                </w:p>
              </w:tc>
              <w:tc>
                <w:tcPr>
                  <w:tcW w:w="575" w:type="pct"/>
                  <w:tcBorders>
                    <w:top w:val="single" w:color="auto" w:sz="4" w:space="0"/>
                    <w:left w:val="single" w:color="auto" w:sz="4" w:space="0"/>
                    <w:bottom w:val="single" w:color="auto" w:sz="12" w:space="0"/>
                    <w:right w:val="single" w:color="auto" w:sz="4" w:space="0"/>
                  </w:tcBorders>
                  <w:shd w:val="clear" w:color="auto" w:fill="auto"/>
                  <w:vAlign w:val="center"/>
                </w:tcPr>
                <w:p w14:paraId="37C172B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cs="Times New Roman"/>
                      <w:b/>
                      <w:bCs/>
                      <w:color w:val="auto"/>
                      <w:sz w:val="18"/>
                      <w:szCs w:val="20"/>
                      <w:highlight w:val="none"/>
                      <w:lang w:val="en-US" w:eastAsia="zh-CN"/>
                    </w:rPr>
                  </w:pPr>
                  <w:r>
                    <w:rPr>
                      <w:rFonts w:hint="eastAsia" w:cs="Times New Roman"/>
                      <w:b/>
                      <w:bCs/>
                      <w:color w:val="auto"/>
                      <w:sz w:val="18"/>
                      <w:szCs w:val="20"/>
                      <w:highlight w:val="none"/>
                      <w:lang w:val="en-US" w:eastAsia="zh-CN"/>
                    </w:rPr>
                    <w:t>/</w:t>
                  </w:r>
                </w:p>
              </w:tc>
              <w:tc>
                <w:tcPr>
                  <w:tcW w:w="1094" w:type="dxa"/>
                  <w:tcBorders>
                    <w:top w:val="single" w:color="auto" w:sz="4" w:space="0"/>
                    <w:left w:val="single" w:color="auto" w:sz="4" w:space="0"/>
                    <w:bottom w:val="single" w:color="auto" w:sz="12" w:space="0"/>
                    <w:right w:val="single" w:color="auto" w:sz="4" w:space="0"/>
                  </w:tcBorders>
                  <w:shd w:val="clear" w:color="auto" w:fill="auto"/>
                  <w:vAlign w:val="center"/>
                </w:tcPr>
                <w:p w14:paraId="528AEE1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cs="Times New Roman"/>
                      <w:b/>
                      <w:bCs/>
                      <w:color w:val="auto"/>
                      <w:sz w:val="18"/>
                      <w:szCs w:val="20"/>
                      <w:highlight w:val="none"/>
                      <w:lang w:val="en-US" w:eastAsia="zh-CN"/>
                    </w:rPr>
                  </w:pPr>
                  <w:r>
                    <w:rPr>
                      <w:rFonts w:hint="eastAsia" w:cs="Times New Roman"/>
                      <w:b/>
                      <w:bCs/>
                      <w:color w:val="auto"/>
                      <w:sz w:val="18"/>
                      <w:szCs w:val="20"/>
                      <w:highlight w:val="none"/>
                      <w:lang w:val="en-US" w:eastAsia="zh-CN"/>
                    </w:rPr>
                    <w:t>0.3124</w:t>
                  </w:r>
                </w:p>
              </w:tc>
              <w:tc>
                <w:tcPr>
                  <w:tcW w:w="569" w:type="pct"/>
                  <w:tcBorders>
                    <w:top w:val="single" w:color="auto" w:sz="4" w:space="0"/>
                    <w:left w:val="single" w:color="auto" w:sz="4" w:space="0"/>
                    <w:bottom w:val="single" w:color="auto" w:sz="12" w:space="0"/>
                  </w:tcBorders>
                  <w:shd w:val="clear" w:color="auto" w:fill="auto"/>
                  <w:vAlign w:val="center"/>
                </w:tcPr>
                <w:p w14:paraId="4C7EDF3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cs="Times New Roman"/>
                      <w:b/>
                      <w:bCs/>
                      <w:color w:val="auto"/>
                      <w:sz w:val="18"/>
                      <w:szCs w:val="20"/>
                      <w:highlight w:val="none"/>
                      <w:lang w:val="en-US" w:eastAsia="zh-CN"/>
                    </w:rPr>
                  </w:pPr>
                  <w:r>
                    <w:rPr>
                      <w:rFonts w:hint="eastAsia" w:cs="Times New Roman"/>
                      <w:b/>
                      <w:bCs/>
                      <w:color w:val="auto"/>
                      <w:sz w:val="18"/>
                      <w:szCs w:val="20"/>
                      <w:highlight w:val="none"/>
                      <w:lang w:val="en-US" w:eastAsia="zh-CN"/>
                    </w:rPr>
                    <w:t>/</w:t>
                  </w:r>
                </w:p>
              </w:tc>
              <w:tc>
                <w:tcPr>
                  <w:tcW w:w="730" w:type="pct"/>
                  <w:tcBorders>
                    <w:tl2br w:val="nil"/>
                    <w:tr2bl w:val="nil"/>
                  </w:tcBorders>
                  <w:shd w:val="clear" w:color="auto" w:fill="auto"/>
                  <w:vAlign w:val="center"/>
                </w:tcPr>
                <w:p w14:paraId="6807EDE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w:t>
                  </w:r>
                </w:p>
              </w:tc>
              <w:tc>
                <w:tcPr>
                  <w:tcW w:w="548" w:type="pct"/>
                  <w:tcBorders>
                    <w:tl2br w:val="nil"/>
                    <w:tr2bl w:val="nil"/>
                  </w:tcBorders>
                  <w:shd w:val="clear" w:color="auto" w:fill="auto"/>
                  <w:noWrap/>
                  <w:vAlign w:val="center"/>
                </w:tcPr>
                <w:p w14:paraId="0C6B142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bCs/>
                      <w:color w:val="auto"/>
                      <w:sz w:val="20"/>
                      <w:szCs w:val="20"/>
                      <w:highlight w:val="none"/>
                      <w:lang w:val="en-US" w:eastAsia="zh-CN"/>
                    </w:rPr>
                  </w:pPr>
                  <w:r>
                    <w:rPr>
                      <w:rFonts w:hint="eastAsia" w:cs="Times New Roman"/>
                      <w:b/>
                      <w:bCs/>
                      <w:color w:val="auto"/>
                      <w:sz w:val="20"/>
                      <w:szCs w:val="20"/>
                      <w:highlight w:val="none"/>
                      <w:lang w:val="en-US" w:eastAsia="zh-CN"/>
                    </w:rPr>
                    <w:t>/</w:t>
                  </w:r>
                </w:p>
              </w:tc>
            </w:tr>
          </w:tbl>
          <w:p w14:paraId="7275EBAD">
            <w:pPr>
              <w:pStyle w:val="5"/>
              <w:keepNext w:val="0"/>
              <w:keepLines w:val="0"/>
              <w:numPr>
                <w:ilvl w:val="0"/>
                <w:numId w:val="0"/>
              </w:numPr>
              <w:suppressLineNumbers w:val="0"/>
              <w:tabs>
                <w:tab w:val="left" w:pos="2277"/>
                <w:tab w:val="center" w:pos="4647"/>
              </w:tabs>
              <w:adjustRightInd w:val="0"/>
              <w:snapToGrid w:val="0"/>
              <w:spacing w:before="0" w:beforeAutospacing="0" w:after="0" w:afterAutospacing="0" w:line="240" w:lineRule="auto"/>
              <w:ind w:left="425" w:leftChars="0" w:right="0" w:hanging="425" w:firstLineChars="0"/>
              <w:jc w:val="left"/>
              <w:rPr>
                <w:rFonts w:hint="default" w:ascii="Times New Roman" w:hAnsi="Times New Roman" w:eastAsia="宋体" w:cs="Times New Roman"/>
                <w:b/>
                <w:bCs/>
                <w:color w:val="auto"/>
                <w:sz w:val="24"/>
                <w:highlight w:val="none"/>
              </w:rPr>
            </w:pPr>
            <w:r>
              <w:rPr>
                <w:rFonts w:hint="eastAsia" w:cs="Times New Roman"/>
                <w:b/>
                <w:bCs/>
                <w:color w:val="auto"/>
                <w:kern w:val="2"/>
                <w:sz w:val="24"/>
                <w:szCs w:val="24"/>
                <w:highlight w:val="none"/>
                <w:lang w:val="en-US" w:eastAsia="zh-CN" w:bidi="ar-SA"/>
              </w:rPr>
              <w:tab/>
            </w:r>
            <w:r>
              <w:rPr>
                <w:rFonts w:hint="eastAsia" w:cs="Times New Roman"/>
                <w:b/>
                <w:bCs/>
                <w:color w:val="auto"/>
                <w:kern w:val="2"/>
                <w:sz w:val="24"/>
                <w:szCs w:val="24"/>
                <w:highlight w:val="none"/>
                <w:lang w:val="en-US" w:eastAsia="zh-CN" w:bidi="ar-SA"/>
              </w:rPr>
              <w:tab/>
            </w: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5 </w:t>
            </w:r>
            <w:r>
              <w:rPr>
                <w:rFonts w:hint="eastAsia" w:ascii="Times New Roman" w:hAnsi="Times New Roman"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全厂无组织废气产生源强统计表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678"/>
              <w:gridCol w:w="1751"/>
              <w:gridCol w:w="1593"/>
              <w:gridCol w:w="1883"/>
              <w:gridCol w:w="1006"/>
            </w:tblGrid>
            <w:tr w14:paraId="461C5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687" w:type="pct"/>
                  <w:noWrap w:val="0"/>
                  <w:vAlign w:val="center"/>
                </w:tcPr>
                <w:p w14:paraId="268A1EF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污染源位置</w:t>
                  </w:r>
                </w:p>
              </w:tc>
              <w:tc>
                <w:tcPr>
                  <w:tcW w:w="914" w:type="pct"/>
                  <w:noWrap w:val="0"/>
                  <w:vAlign w:val="center"/>
                </w:tcPr>
                <w:p w14:paraId="4D29F7E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污染物名称</w:t>
                  </w:r>
                </w:p>
              </w:tc>
              <w:tc>
                <w:tcPr>
                  <w:tcW w:w="954" w:type="pct"/>
                  <w:noWrap w:val="0"/>
                  <w:vAlign w:val="center"/>
                </w:tcPr>
                <w:p w14:paraId="135B07C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污染物排放量</w:t>
                  </w:r>
                  <w:r>
                    <w:rPr>
                      <w:rFonts w:hint="default" w:ascii="Times New Roman" w:hAnsi="Times New Roman" w:eastAsia="宋体" w:cs="Times New Roman"/>
                      <w:b w:val="0"/>
                      <w:bCs w:val="0"/>
                      <w:color w:val="auto"/>
                      <w:szCs w:val="21"/>
                      <w:highlight w:val="none"/>
                    </w:rPr>
                    <w:t>t/a</w:t>
                  </w:r>
                </w:p>
              </w:tc>
              <w:tc>
                <w:tcPr>
                  <w:tcW w:w="868" w:type="pct"/>
                  <w:noWrap w:val="0"/>
                  <w:vAlign w:val="center"/>
                </w:tcPr>
                <w:p w14:paraId="55C32A5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排放速率</w:t>
                  </w:r>
                </w:p>
                <w:p w14:paraId="29C66CE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kg/h</w:t>
                  </w:r>
                </w:p>
              </w:tc>
              <w:tc>
                <w:tcPr>
                  <w:tcW w:w="1026" w:type="pct"/>
                  <w:noWrap w:val="0"/>
                  <w:vAlign w:val="center"/>
                </w:tcPr>
                <w:p w14:paraId="5110F33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vertAlign w:val="superscript"/>
                    </w:rPr>
                  </w:pPr>
                  <w:r>
                    <w:rPr>
                      <w:rFonts w:hint="eastAsia" w:ascii="Times New Roman" w:hAnsi="Times New Roman" w:eastAsia="宋体" w:cs="Times New Roman"/>
                      <w:b w:val="0"/>
                      <w:bCs w:val="0"/>
                      <w:color w:val="auto"/>
                      <w:szCs w:val="21"/>
                      <w:highlight w:val="none"/>
                    </w:rPr>
                    <w:t>面源面积</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p>
              </w:tc>
              <w:tc>
                <w:tcPr>
                  <w:tcW w:w="548" w:type="pct"/>
                  <w:noWrap w:val="0"/>
                  <w:vAlign w:val="center"/>
                </w:tcPr>
                <w:p w14:paraId="6394378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面源高度</w:t>
                  </w:r>
                  <w:r>
                    <w:rPr>
                      <w:rFonts w:hint="default" w:ascii="Times New Roman" w:hAnsi="Times New Roman" w:eastAsia="宋体" w:cs="Times New Roman"/>
                      <w:b w:val="0"/>
                      <w:bCs w:val="0"/>
                      <w:color w:val="auto"/>
                      <w:szCs w:val="21"/>
                      <w:highlight w:val="none"/>
                    </w:rPr>
                    <w:t>m</w:t>
                  </w:r>
                </w:p>
              </w:tc>
            </w:tr>
            <w:tr w14:paraId="18F74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687" w:type="pct"/>
                  <w:vMerge w:val="restart"/>
                  <w:noWrap w:val="0"/>
                  <w:vAlign w:val="center"/>
                </w:tcPr>
                <w:p w14:paraId="2F246E8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生产车间1号楼</w:t>
                  </w:r>
                </w:p>
              </w:tc>
              <w:tc>
                <w:tcPr>
                  <w:tcW w:w="914" w:type="pct"/>
                  <w:noWrap w:val="0"/>
                  <w:vAlign w:val="center"/>
                </w:tcPr>
                <w:p w14:paraId="4923533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val="en-US" w:eastAsia="zh-CN"/>
                    </w:rPr>
                    <w:t>非甲烷总烃</w:t>
                  </w:r>
                </w:p>
              </w:tc>
              <w:tc>
                <w:tcPr>
                  <w:tcW w:w="954" w:type="pct"/>
                  <w:noWrap w:val="0"/>
                  <w:vAlign w:val="center"/>
                </w:tcPr>
                <w:p w14:paraId="5E737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0.0556</w:t>
                  </w:r>
                </w:p>
              </w:tc>
              <w:tc>
                <w:tcPr>
                  <w:tcW w:w="868" w:type="pct"/>
                  <w:noWrap w:val="0"/>
                  <w:vAlign w:val="center"/>
                </w:tcPr>
                <w:p w14:paraId="3454C9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0.0355</w:t>
                  </w:r>
                </w:p>
              </w:tc>
              <w:tc>
                <w:tcPr>
                  <w:tcW w:w="1026" w:type="pct"/>
                  <w:vMerge w:val="restart"/>
                  <w:noWrap w:val="0"/>
                  <w:vAlign w:val="center"/>
                </w:tcPr>
                <w:p w14:paraId="1E30FC1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 w:val="20"/>
                      <w:szCs w:val="20"/>
                      <w:highlight w:val="none"/>
                      <w:lang w:val="en-US" w:eastAsia="zh-CN"/>
                    </w:rPr>
                    <w:t>4275</w:t>
                  </w:r>
                </w:p>
              </w:tc>
              <w:tc>
                <w:tcPr>
                  <w:tcW w:w="548" w:type="pct"/>
                  <w:vMerge w:val="restart"/>
                  <w:noWrap w:val="0"/>
                  <w:vAlign w:val="center"/>
                </w:tcPr>
                <w:p w14:paraId="39FE2E1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 w:val="20"/>
                      <w:szCs w:val="20"/>
                      <w:highlight w:val="none"/>
                      <w:lang w:val="en-US" w:eastAsia="zh-CN"/>
                    </w:rPr>
                    <w:t>22</w:t>
                  </w:r>
                </w:p>
              </w:tc>
            </w:tr>
            <w:tr w14:paraId="07E71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6" w:hRule="atLeast"/>
                <w:jc w:val="center"/>
              </w:trPr>
              <w:tc>
                <w:tcPr>
                  <w:tcW w:w="687" w:type="pct"/>
                  <w:vMerge w:val="continue"/>
                  <w:noWrap w:val="0"/>
                  <w:vAlign w:val="center"/>
                </w:tcPr>
                <w:p w14:paraId="4B7C0F1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p>
              </w:tc>
              <w:tc>
                <w:tcPr>
                  <w:tcW w:w="914" w:type="pct"/>
                  <w:noWrap w:val="0"/>
                  <w:vAlign w:val="center"/>
                </w:tcPr>
                <w:p w14:paraId="09CB404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氮氧化物</w:t>
                  </w:r>
                </w:p>
              </w:tc>
              <w:tc>
                <w:tcPr>
                  <w:tcW w:w="954" w:type="pct"/>
                  <w:noWrap w:val="0"/>
                  <w:vAlign w:val="center"/>
                </w:tcPr>
                <w:p w14:paraId="25B6E0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0.0018</w:t>
                  </w:r>
                </w:p>
              </w:tc>
              <w:tc>
                <w:tcPr>
                  <w:tcW w:w="868" w:type="pct"/>
                  <w:noWrap w:val="0"/>
                  <w:vAlign w:val="center"/>
                </w:tcPr>
                <w:p w14:paraId="1E10F8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0.003</w:t>
                  </w:r>
                </w:p>
              </w:tc>
              <w:tc>
                <w:tcPr>
                  <w:tcW w:w="1026" w:type="pct"/>
                  <w:vMerge w:val="continue"/>
                  <w:noWrap w:val="0"/>
                  <w:vAlign w:val="center"/>
                </w:tcPr>
                <w:p w14:paraId="3FD9CFE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20"/>
                      <w:szCs w:val="20"/>
                      <w:highlight w:val="none"/>
                      <w:lang w:val="en-US" w:eastAsia="zh-CN"/>
                    </w:rPr>
                  </w:pPr>
                </w:p>
              </w:tc>
              <w:tc>
                <w:tcPr>
                  <w:tcW w:w="548" w:type="pct"/>
                  <w:vMerge w:val="continue"/>
                  <w:noWrap w:val="0"/>
                  <w:vAlign w:val="center"/>
                </w:tcPr>
                <w:p w14:paraId="614A5DE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20"/>
                      <w:szCs w:val="20"/>
                      <w:highlight w:val="none"/>
                      <w:lang w:val="en-US" w:eastAsia="zh-CN"/>
                    </w:rPr>
                  </w:pPr>
                </w:p>
              </w:tc>
            </w:tr>
            <w:tr w14:paraId="40B45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87" w:type="pct"/>
                  <w:vMerge w:val="continue"/>
                  <w:noWrap w:val="0"/>
                  <w:vAlign w:val="center"/>
                </w:tcPr>
                <w:p w14:paraId="7ACB148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p>
              </w:tc>
              <w:tc>
                <w:tcPr>
                  <w:tcW w:w="914" w:type="pct"/>
                  <w:noWrap w:val="0"/>
                  <w:vAlign w:val="center"/>
                </w:tcPr>
                <w:p w14:paraId="5FE5A37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val="en-US" w:eastAsia="zh-CN"/>
                    </w:rPr>
                    <w:t>颗粒物</w:t>
                  </w:r>
                </w:p>
              </w:tc>
              <w:tc>
                <w:tcPr>
                  <w:tcW w:w="954" w:type="pct"/>
                  <w:noWrap w:val="0"/>
                  <w:vAlign w:val="center"/>
                </w:tcPr>
                <w:p w14:paraId="27EA81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0.1621</w:t>
                  </w:r>
                </w:p>
              </w:tc>
              <w:tc>
                <w:tcPr>
                  <w:tcW w:w="868" w:type="pct"/>
                  <w:noWrap w:val="0"/>
                  <w:vAlign w:val="center"/>
                </w:tcPr>
                <w:p w14:paraId="5F39A0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0.0338</w:t>
                  </w:r>
                </w:p>
              </w:tc>
              <w:tc>
                <w:tcPr>
                  <w:tcW w:w="1026" w:type="pct"/>
                  <w:vMerge w:val="continue"/>
                  <w:noWrap w:val="0"/>
                  <w:vAlign w:val="center"/>
                </w:tcPr>
                <w:p w14:paraId="0AFCB5E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p>
              </w:tc>
              <w:tc>
                <w:tcPr>
                  <w:tcW w:w="548" w:type="pct"/>
                  <w:vMerge w:val="continue"/>
                  <w:noWrap w:val="0"/>
                  <w:vAlign w:val="center"/>
                </w:tcPr>
                <w:p w14:paraId="27A1049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p>
              </w:tc>
            </w:tr>
            <w:tr w14:paraId="1A8AA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687" w:type="pct"/>
                  <w:vMerge w:val="restart"/>
                  <w:noWrap w:val="0"/>
                  <w:vAlign w:val="center"/>
                </w:tcPr>
                <w:p w14:paraId="0A10731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生产车间2号楼</w:t>
                  </w:r>
                </w:p>
              </w:tc>
              <w:tc>
                <w:tcPr>
                  <w:tcW w:w="914" w:type="pct"/>
                  <w:noWrap w:val="0"/>
                  <w:vAlign w:val="center"/>
                </w:tcPr>
                <w:p w14:paraId="1001B5A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非甲烷总烃</w:t>
                  </w:r>
                </w:p>
              </w:tc>
              <w:tc>
                <w:tcPr>
                  <w:tcW w:w="954" w:type="pct"/>
                  <w:noWrap w:val="0"/>
                  <w:vAlign w:val="center"/>
                </w:tcPr>
                <w:p w14:paraId="5D3726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0.0556</w:t>
                  </w:r>
                </w:p>
              </w:tc>
              <w:tc>
                <w:tcPr>
                  <w:tcW w:w="868" w:type="pct"/>
                  <w:noWrap w:val="0"/>
                  <w:vAlign w:val="center"/>
                </w:tcPr>
                <w:p w14:paraId="0C9758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0.0355</w:t>
                  </w:r>
                </w:p>
              </w:tc>
              <w:tc>
                <w:tcPr>
                  <w:tcW w:w="1026" w:type="pct"/>
                  <w:vMerge w:val="restart"/>
                  <w:noWrap w:val="0"/>
                  <w:vAlign w:val="center"/>
                </w:tcPr>
                <w:p w14:paraId="2E2E83D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0"/>
                      <w:szCs w:val="20"/>
                      <w:highlight w:val="none"/>
                      <w:lang w:val="en-US" w:eastAsia="zh-CN"/>
                    </w:rPr>
                    <w:t>4275</w:t>
                  </w:r>
                </w:p>
              </w:tc>
              <w:tc>
                <w:tcPr>
                  <w:tcW w:w="548" w:type="pct"/>
                  <w:vMerge w:val="restart"/>
                  <w:noWrap w:val="0"/>
                  <w:vAlign w:val="center"/>
                </w:tcPr>
                <w:p w14:paraId="1AF0DDC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0"/>
                      <w:szCs w:val="20"/>
                      <w:highlight w:val="none"/>
                      <w:lang w:val="en-US" w:eastAsia="zh-CN"/>
                    </w:rPr>
                    <w:t>22</w:t>
                  </w:r>
                </w:p>
              </w:tc>
            </w:tr>
            <w:tr w14:paraId="1BC40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 w:hRule="atLeast"/>
                <w:jc w:val="center"/>
              </w:trPr>
              <w:tc>
                <w:tcPr>
                  <w:tcW w:w="687" w:type="pct"/>
                  <w:vMerge w:val="continue"/>
                  <w:noWrap w:val="0"/>
                  <w:vAlign w:val="center"/>
                </w:tcPr>
                <w:p w14:paraId="687B0A9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eastAsia="zh-CN"/>
                    </w:rPr>
                  </w:pPr>
                </w:p>
              </w:tc>
              <w:tc>
                <w:tcPr>
                  <w:tcW w:w="914" w:type="pct"/>
                  <w:noWrap w:val="0"/>
                  <w:vAlign w:val="center"/>
                </w:tcPr>
                <w:p w14:paraId="629DBF2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氮氧化物</w:t>
                  </w:r>
                </w:p>
              </w:tc>
              <w:tc>
                <w:tcPr>
                  <w:tcW w:w="954" w:type="pct"/>
                  <w:noWrap w:val="0"/>
                  <w:vAlign w:val="center"/>
                </w:tcPr>
                <w:p w14:paraId="053021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0.0018</w:t>
                  </w:r>
                </w:p>
              </w:tc>
              <w:tc>
                <w:tcPr>
                  <w:tcW w:w="868" w:type="pct"/>
                  <w:noWrap w:val="0"/>
                  <w:vAlign w:val="center"/>
                </w:tcPr>
                <w:p w14:paraId="436322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0.003</w:t>
                  </w:r>
                </w:p>
              </w:tc>
              <w:tc>
                <w:tcPr>
                  <w:tcW w:w="1026" w:type="pct"/>
                  <w:vMerge w:val="continue"/>
                  <w:noWrap w:val="0"/>
                  <w:vAlign w:val="center"/>
                </w:tcPr>
                <w:p w14:paraId="1556370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20"/>
                      <w:szCs w:val="20"/>
                      <w:highlight w:val="none"/>
                      <w:lang w:val="en-US" w:eastAsia="zh-CN"/>
                    </w:rPr>
                  </w:pPr>
                </w:p>
              </w:tc>
              <w:tc>
                <w:tcPr>
                  <w:tcW w:w="548" w:type="pct"/>
                  <w:vMerge w:val="continue"/>
                  <w:noWrap w:val="0"/>
                  <w:vAlign w:val="center"/>
                </w:tcPr>
                <w:p w14:paraId="7A14AF0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20"/>
                      <w:szCs w:val="20"/>
                      <w:highlight w:val="none"/>
                      <w:lang w:val="en-US" w:eastAsia="zh-CN"/>
                    </w:rPr>
                  </w:pPr>
                </w:p>
              </w:tc>
            </w:tr>
            <w:tr w14:paraId="42593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87" w:type="pct"/>
                  <w:vMerge w:val="continue"/>
                  <w:noWrap w:val="0"/>
                  <w:vAlign w:val="center"/>
                </w:tcPr>
                <w:p w14:paraId="0E1685E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eastAsia="zh-CN"/>
                    </w:rPr>
                  </w:pPr>
                </w:p>
              </w:tc>
              <w:tc>
                <w:tcPr>
                  <w:tcW w:w="914" w:type="pct"/>
                  <w:noWrap w:val="0"/>
                  <w:vAlign w:val="center"/>
                </w:tcPr>
                <w:p w14:paraId="5C99B96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val="en-US" w:eastAsia="zh-CN"/>
                    </w:rPr>
                    <w:t>颗粒物</w:t>
                  </w:r>
                </w:p>
              </w:tc>
              <w:tc>
                <w:tcPr>
                  <w:tcW w:w="954" w:type="pct"/>
                  <w:noWrap w:val="0"/>
                  <w:vAlign w:val="center"/>
                </w:tcPr>
                <w:p w14:paraId="591A48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0.1621</w:t>
                  </w:r>
                </w:p>
              </w:tc>
              <w:tc>
                <w:tcPr>
                  <w:tcW w:w="868" w:type="pct"/>
                  <w:noWrap w:val="0"/>
                  <w:vAlign w:val="center"/>
                </w:tcPr>
                <w:p w14:paraId="77EE41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0.0338</w:t>
                  </w:r>
                </w:p>
              </w:tc>
              <w:tc>
                <w:tcPr>
                  <w:tcW w:w="1026" w:type="pct"/>
                  <w:vMerge w:val="continue"/>
                  <w:noWrap w:val="0"/>
                  <w:vAlign w:val="center"/>
                </w:tcPr>
                <w:p w14:paraId="236472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p>
              </w:tc>
              <w:tc>
                <w:tcPr>
                  <w:tcW w:w="548" w:type="pct"/>
                  <w:vMerge w:val="continue"/>
                  <w:noWrap w:val="0"/>
                  <w:vAlign w:val="center"/>
                </w:tcPr>
                <w:p w14:paraId="69A1E72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 w:val="21"/>
                      <w:szCs w:val="21"/>
                      <w:highlight w:val="none"/>
                      <w:lang w:val="en-US" w:eastAsia="zh-CN"/>
                    </w:rPr>
                  </w:pPr>
                </w:p>
              </w:tc>
            </w:tr>
            <w:tr w14:paraId="729C8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7" w:type="pct"/>
                  <w:vMerge w:val="restart"/>
                  <w:noWrap w:val="0"/>
                  <w:vAlign w:val="center"/>
                </w:tcPr>
                <w:p w14:paraId="3FA31FC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生产车间3号楼</w:t>
                  </w:r>
                </w:p>
              </w:tc>
              <w:tc>
                <w:tcPr>
                  <w:tcW w:w="914" w:type="pct"/>
                  <w:tcBorders>
                    <w:bottom w:val="single" w:color="000000" w:sz="4" w:space="0"/>
                  </w:tcBorders>
                  <w:noWrap w:val="0"/>
                  <w:vAlign w:val="center"/>
                </w:tcPr>
                <w:p w14:paraId="1A36F30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氟化物</w:t>
                  </w:r>
                </w:p>
              </w:tc>
              <w:tc>
                <w:tcPr>
                  <w:tcW w:w="954" w:type="pct"/>
                  <w:tcBorders>
                    <w:bottom w:val="single" w:color="000000" w:sz="4" w:space="0"/>
                  </w:tcBorders>
                  <w:noWrap w:val="0"/>
                  <w:vAlign w:val="center"/>
                </w:tcPr>
                <w:p w14:paraId="3B5089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0.0008</w:t>
                  </w:r>
                </w:p>
              </w:tc>
              <w:tc>
                <w:tcPr>
                  <w:tcW w:w="868" w:type="pct"/>
                  <w:tcBorders>
                    <w:bottom w:val="single" w:color="000000" w:sz="4" w:space="0"/>
                  </w:tcBorders>
                  <w:noWrap w:val="0"/>
                  <w:vAlign w:val="center"/>
                </w:tcPr>
                <w:p w14:paraId="495C7E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0.00011</w:t>
                  </w:r>
                </w:p>
              </w:tc>
              <w:tc>
                <w:tcPr>
                  <w:tcW w:w="1026" w:type="pct"/>
                  <w:vMerge w:val="restart"/>
                  <w:noWrap w:val="0"/>
                  <w:vAlign w:val="center"/>
                </w:tcPr>
                <w:p w14:paraId="5675046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0"/>
                      <w:szCs w:val="20"/>
                      <w:highlight w:val="none"/>
                      <w:lang w:val="en-US" w:eastAsia="zh-CN"/>
                    </w:rPr>
                    <w:t>4275</w:t>
                  </w:r>
                </w:p>
              </w:tc>
              <w:tc>
                <w:tcPr>
                  <w:tcW w:w="548" w:type="pct"/>
                  <w:vMerge w:val="restart"/>
                  <w:noWrap w:val="0"/>
                  <w:vAlign w:val="center"/>
                </w:tcPr>
                <w:p w14:paraId="5681CDF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0"/>
                      <w:szCs w:val="20"/>
                      <w:highlight w:val="none"/>
                      <w:lang w:val="en-US" w:eastAsia="zh-CN"/>
                    </w:rPr>
                    <w:t>22</w:t>
                  </w:r>
                </w:p>
              </w:tc>
            </w:tr>
            <w:tr w14:paraId="26557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687" w:type="pct"/>
                  <w:vMerge w:val="continue"/>
                  <w:noWrap w:val="0"/>
                  <w:vAlign w:val="center"/>
                </w:tcPr>
                <w:p w14:paraId="3214C59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lang w:val="en-US" w:eastAsia="zh-CN"/>
                    </w:rPr>
                  </w:pPr>
                </w:p>
              </w:tc>
              <w:tc>
                <w:tcPr>
                  <w:tcW w:w="914" w:type="pct"/>
                  <w:tcBorders>
                    <w:top w:val="single" w:color="000000" w:sz="4" w:space="0"/>
                    <w:bottom w:val="single" w:color="000000" w:sz="4" w:space="0"/>
                  </w:tcBorders>
                  <w:noWrap w:val="0"/>
                  <w:vAlign w:val="center"/>
                </w:tcPr>
                <w:p w14:paraId="2BC4466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颗粒物</w:t>
                  </w:r>
                </w:p>
              </w:tc>
              <w:tc>
                <w:tcPr>
                  <w:tcW w:w="954" w:type="pct"/>
                  <w:tcBorders>
                    <w:top w:val="single" w:color="000000" w:sz="4" w:space="0"/>
                    <w:bottom w:val="single" w:color="000000" w:sz="4" w:space="0"/>
                  </w:tcBorders>
                  <w:noWrap w:val="0"/>
                  <w:vAlign w:val="center"/>
                </w:tcPr>
                <w:p w14:paraId="79A408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0.155</w:t>
                  </w:r>
                </w:p>
              </w:tc>
              <w:tc>
                <w:tcPr>
                  <w:tcW w:w="868" w:type="pct"/>
                  <w:tcBorders>
                    <w:top w:val="single" w:color="000000" w:sz="4" w:space="0"/>
                    <w:bottom w:val="single" w:color="000000" w:sz="4" w:space="0"/>
                  </w:tcBorders>
                  <w:noWrap w:val="0"/>
                  <w:vAlign w:val="center"/>
                </w:tcPr>
                <w:p w14:paraId="2B8A9F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0.0298</w:t>
                  </w:r>
                </w:p>
              </w:tc>
              <w:tc>
                <w:tcPr>
                  <w:tcW w:w="1026" w:type="pct"/>
                  <w:vMerge w:val="continue"/>
                  <w:noWrap w:val="0"/>
                  <w:vAlign w:val="center"/>
                </w:tcPr>
                <w:p w14:paraId="150DCC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548" w:type="pct"/>
                  <w:vMerge w:val="continue"/>
                  <w:noWrap w:val="0"/>
                  <w:vAlign w:val="center"/>
                </w:tcPr>
                <w:p w14:paraId="6965D46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 w:val="21"/>
                      <w:szCs w:val="21"/>
                      <w:highlight w:val="none"/>
                      <w:lang w:val="en-US" w:eastAsia="zh-CN"/>
                    </w:rPr>
                  </w:pPr>
                </w:p>
              </w:tc>
            </w:tr>
            <w:tr w14:paraId="6D91C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687" w:type="pct"/>
                  <w:vMerge w:val="continue"/>
                  <w:noWrap w:val="0"/>
                  <w:vAlign w:val="center"/>
                </w:tcPr>
                <w:p w14:paraId="7068C0F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lang w:val="en-US" w:eastAsia="zh-CN"/>
                    </w:rPr>
                  </w:pPr>
                </w:p>
              </w:tc>
              <w:tc>
                <w:tcPr>
                  <w:tcW w:w="914" w:type="pct"/>
                  <w:tcBorders>
                    <w:top w:val="single" w:color="000000" w:sz="4" w:space="0"/>
                    <w:bottom w:val="single" w:color="auto" w:sz="4" w:space="0"/>
                  </w:tcBorders>
                  <w:noWrap w:val="0"/>
                  <w:vAlign w:val="center"/>
                </w:tcPr>
                <w:p w14:paraId="1B37077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val="en-US" w:eastAsia="zh-CN"/>
                    </w:rPr>
                    <w:t>非甲烷总烃</w:t>
                  </w:r>
                </w:p>
              </w:tc>
              <w:tc>
                <w:tcPr>
                  <w:tcW w:w="1751" w:type="dxa"/>
                  <w:tcBorders>
                    <w:top w:val="single" w:color="000000" w:sz="4" w:space="0"/>
                    <w:bottom w:val="single" w:color="auto" w:sz="4" w:space="0"/>
                  </w:tcBorders>
                  <w:noWrap w:val="0"/>
                  <w:vAlign w:val="center"/>
                </w:tcPr>
                <w:p w14:paraId="64E0D1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0.1119</w:t>
                  </w:r>
                </w:p>
              </w:tc>
              <w:tc>
                <w:tcPr>
                  <w:tcW w:w="1593" w:type="dxa"/>
                  <w:tcBorders>
                    <w:top w:val="single" w:color="000000" w:sz="4" w:space="0"/>
                    <w:bottom w:val="single" w:color="auto" w:sz="4" w:space="0"/>
                  </w:tcBorders>
                  <w:noWrap w:val="0"/>
                  <w:vAlign w:val="center"/>
                </w:tcPr>
                <w:p w14:paraId="64ACE71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0.0215</w:t>
                  </w:r>
                </w:p>
              </w:tc>
              <w:tc>
                <w:tcPr>
                  <w:tcW w:w="1026" w:type="pct"/>
                  <w:vMerge w:val="continue"/>
                  <w:noWrap w:val="0"/>
                  <w:vAlign w:val="center"/>
                </w:tcPr>
                <w:p w14:paraId="691A86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548" w:type="pct"/>
                  <w:vMerge w:val="continue"/>
                  <w:noWrap w:val="0"/>
                  <w:vAlign w:val="center"/>
                </w:tcPr>
                <w:p w14:paraId="190EDF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 w:val="21"/>
                      <w:szCs w:val="21"/>
                      <w:highlight w:val="none"/>
                      <w:lang w:val="en-US" w:eastAsia="zh-CN"/>
                    </w:rPr>
                  </w:pPr>
                </w:p>
              </w:tc>
            </w:tr>
            <w:tr w14:paraId="28063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12" w:hRule="atLeast"/>
                <w:jc w:val="center"/>
              </w:trPr>
              <w:tc>
                <w:tcPr>
                  <w:tcW w:w="687" w:type="pct"/>
                  <w:vMerge w:val="continue"/>
                  <w:noWrap w:val="0"/>
                  <w:vAlign w:val="center"/>
                </w:tcPr>
                <w:p w14:paraId="1AA96F9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lang w:val="en-US" w:eastAsia="zh-CN"/>
                    </w:rPr>
                  </w:pPr>
                </w:p>
              </w:tc>
              <w:tc>
                <w:tcPr>
                  <w:tcW w:w="914" w:type="pct"/>
                  <w:tcBorders>
                    <w:top w:val="single" w:color="auto" w:sz="4" w:space="0"/>
                    <w:bottom w:val="single" w:color="000000" w:sz="4" w:space="0"/>
                  </w:tcBorders>
                  <w:noWrap w:val="0"/>
                  <w:vAlign w:val="center"/>
                </w:tcPr>
                <w:p w14:paraId="5A8290E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氮氧化物</w:t>
                  </w:r>
                </w:p>
              </w:tc>
              <w:tc>
                <w:tcPr>
                  <w:tcW w:w="954" w:type="pct"/>
                  <w:tcBorders>
                    <w:top w:val="single" w:color="auto" w:sz="4" w:space="0"/>
                    <w:bottom w:val="single" w:color="000000" w:sz="4" w:space="0"/>
                  </w:tcBorders>
                  <w:noWrap w:val="0"/>
                  <w:vAlign w:val="center"/>
                </w:tcPr>
                <w:p w14:paraId="372EFE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0.0018</w:t>
                  </w:r>
                </w:p>
              </w:tc>
              <w:tc>
                <w:tcPr>
                  <w:tcW w:w="868" w:type="pct"/>
                  <w:tcBorders>
                    <w:top w:val="single" w:color="auto" w:sz="4" w:space="0"/>
                    <w:bottom w:val="single" w:color="000000" w:sz="4" w:space="0"/>
                  </w:tcBorders>
                  <w:noWrap w:val="0"/>
                  <w:vAlign w:val="center"/>
                </w:tcPr>
                <w:p w14:paraId="34771F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0.003</w:t>
                  </w:r>
                </w:p>
              </w:tc>
              <w:tc>
                <w:tcPr>
                  <w:tcW w:w="1026" w:type="pct"/>
                  <w:vMerge w:val="continue"/>
                  <w:noWrap w:val="0"/>
                  <w:vAlign w:val="center"/>
                </w:tcPr>
                <w:p w14:paraId="3F220A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548" w:type="pct"/>
                  <w:vMerge w:val="continue"/>
                  <w:noWrap w:val="0"/>
                  <w:vAlign w:val="center"/>
                </w:tcPr>
                <w:p w14:paraId="6495C2E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 w:val="21"/>
                      <w:szCs w:val="21"/>
                      <w:highlight w:val="none"/>
                      <w:lang w:val="en-US" w:eastAsia="zh-CN"/>
                    </w:rPr>
                  </w:pPr>
                </w:p>
              </w:tc>
            </w:tr>
            <w:tr w14:paraId="0E56A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4" w:hRule="atLeast"/>
                <w:jc w:val="center"/>
              </w:trPr>
              <w:tc>
                <w:tcPr>
                  <w:tcW w:w="687" w:type="pct"/>
                  <w:vMerge w:val="continue"/>
                  <w:noWrap w:val="0"/>
                  <w:vAlign w:val="center"/>
                </w:tcPr>
                <w:p w14:paraId="6639403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lang w:val="en-US" w:eastAsia="zh-CN"/>
                    </w:rPr>
                  </w:pPr>
                </w:p>
              </w:tc>
              <w:tc>
                <w:tcPr>
                  <w:tcW w:w="914" w:type="pct"/>
                  <w:tcBorders>
                    <w:top w:val="single" w:color="000000" w:sz="4" w:space="0"/>
                  </w:tcBorders>
                  <w:noWrap w:val="0"/>
                  <w:vAlign w:val="center"/>
                </w:tcPr>
                <w:p w14:paraId="74AA94F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val="en-US" w:eastAsia="zh-CN"/>
                    </w:rPr>
                    <w:t>酚类</w:t>
                  </w:r>
                </w:p>
              </w:tc>
              <w:tc>
                <w:tcPr>
                  <w:tcW w:w="954" w:type="pct"/>
                  <w:tcBorders>
                    <w:top w:val="single" w:color="000000" w:sz="4" w:space="0"/>
                  </w:tcBorders>
                  <w:noWrap w:val="0"/>
                  <w:vAlign w:val="center"/>
                </w:tcPr>
                <w:p w14:paraId="40AE99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0.0035</w:t>
                  </w:r>
                </w:p>
              </w:tc>
              <w:tc>
                <w:tcPr>
                  <w:tcW w:w="868" w:type="pct"/>
                  <w:tcBorders>
                    <w:top w:val="single" w:color="000000" w:sz="4" w:space="0"/>
                  </w:tcBorders>
                  <w:noWrap w:val="0"/>
                  <w:vAlign w:val="center"/>
                </w:tcPr>
                <w:p w14:paraId="0B6DF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0.00073</w:t>
                  </w:r>
                </w:p>
              </w:tc>
              <w:tc>
                <w:tcPr>
                  <w:tcW w:w="1026" w:type="pct"/>
                  <w:vMerge w:val="continue"/>
                  <w:noWrap w:val="0"/>
                  <w:vAlign w:val="center"/>
                </w:tcPr>
                <w:p w14:paraId="634DE3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548" w:type="pct"/>
                  <w:vMerge w:val="continue"/>
                  <w:noWrap w:val="0"/>
                  <w:vAlign w:val="center"/>
                </w:tcPr>
                <w:p w14:paraId="784CB24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 w:val="21"/>
                      <w:szCs w:val="21"/>
                      <w:highlight w:val="none"/>
                      <w:lang w:val="en-US" w:eastAsia="zh-CN"/>
                    </w:rPr>
                  </w:pPr>
                </w:p>
              </w:tc>
            </w:tr>
            <w:tr w14:paraId="7EDC2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687" w:type="pct"/>
                  <w:vMerge w:val="restart"/>
                  <w:noWrap w:val="0"/>
                  <w:vAlign w:val="center"/>
                </w:tcPr>
                <w:p w14:paraId="5D7E9F3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生产车间4号楼</w:t>
                  </w:r>
                </w:p>
              </w:tc>
              <w:tc>
                <w:tcPr>
                  <w:tcW w:w="914" w:type="pct"/>
                  <w:noWrap w:val="0"/>
                  <w:vAlign w:val="center"/>
                </w:tcPr>
                <w:p w14:paraId="23A1FFD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非甲烷总烃</w:t>
                  </w:r>
                </w:p>
              </w:tc>
              <w:tc>
                <w:tcPr>
                  <w:tcW w:w="1751" w:type="dxa"/>
                  <w:noWrap w:val="0"/>
                  <w:vAlign w:val="center"/>
                </w:tcPr>
                <w:p w14:paraId="7C190A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0.0492</w:t>
                  </w:r>
                </w:p>
              </w:tc>
              <w:tc>
                <w:tcPr>
                  <w:tcW w:w="1593" w:type="dxa"/>
                  <w:noWrap w:val="0"/>
                  <w:vAlign w:val="center"/>
                </w:tcPr>
                <w:p w14:paraId="3657E7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0.0326</w:t>
                  </w:r>
                </w:p>
              </w:tc>
              <w:tc>
                <w:tcPr>
                  <w:tcW w:w="1026" w:type="pct"/>
                  <w:vMerge w:val="restart"/>
                  <w:noWrap w:val="0"/>
                  <w:vAlign w:val="center"/>
                </w:tcPr>
                <w:p w14:paraId="68CD3D2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0"/>
                      <w:szCs w:val="20"/>
                      <w:highlight w:val="none"/>
                      <w:lang w:val="en-US" w:eastAsia="zh-CN"/>
                    </w:rPr>
                    <w:t>4275</w:t>
                  </w:r>
                </w:p>
              </w:tc>
              <w:tc>
                <w:tcPr>
                  <w:tcW w:w="548" w:type="pct"/>
                  <w:vMerge w:val="restart"/>
                  <w:noWrap w:val="0"/>
                  <w:vAlign w:val="center"/>
                </w:tcPr>
                <w:p w14:paraId="2BE0DAC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0"/>
                      <w:szCs w:val="20"/>
                      <w:highlight w:val="none"/>
                      <w:lang w:val="en-US" w:eastAsia="zh-CN"/>
                    </w:rPr>
                    <w:t>22</w:t>
                  </w:r>
                </w:p>
              </w:tc>
            </w:tr>
            <w:tr w14:paraId="519E8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687" w:type="pct"/>
                  <w:vMerge w:val="continue"/>
                  <w:noWrap w:val="0"/>
                  <w:vAlign w:val="center"/>
                </w:tcPr>
                <w:p w14:paraId="4A65BF9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rPr>
                  </w:pPr>
                </w:p>
              </w:tc>
              <w:tc>
                <w:tcPr>
                  <w:tcW w:w="914" w:type="pct"/>
                  <w:noWrap w:val="0"/>
                  <w:vAlign w:val="center"/>
                </w:tcPr>
                <w:p w14:paraId="678DDD6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氮氧化物</w:t>
                  </w:r>
                </w:p>
              </w:tc>
              <w:tc>
                <w:tcPr>
                  <w:tcW w:w="954" w:type="pct"/>
                  <w:noWrap w:val="0"/>
                  <w:vAlign w:val="center"/>
                </w:tcPr>
                <w:p w14:paraId="7F9C45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0.0018</w:t>
                  </w:r>
                </w:p>
              </w:tc>
              <w:tc>
                <w:tcPr>
                  <w:tcW w:w="868" w:type="pct"/>
                  <w:noWrap w:val="0"/>
                  <w:vAlign w:val="center"/>
                </w:tcPr>
                <w:p w14:paraId="6693BE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0.003</w:t>
                  </w:r>
                </w:p>
              </w:tc>
              <w:tc>
                <w:tcPr>
                  <w:tcW w:w="1026" w:type="pct"/>
                  <w:vMerge w:val="continue"/>
                  <w:noWrap w:val="0"/>
                  <w:vAlign w:val="center"/>
                </w:tcPr>
                <w:p w14:paraId="318B18D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20"/>
                      <w:szCs w:val="20"/>
                      <w:highlight w:val="none"/>
                      <w:lang w:val="en-US" w:eastAsia="zh-CN"/>
                    </w:rPr>
                  </w:pPr>
                </w:p>
              </w:tc>
              <w:tc>
                <w:tcPr>
                  <w:tcW w:w="548" w:type="pct"/>
                  <w:vMerge w:val="continue"/>
                  <w:noWrap w:val="0"/>
                  <w:vAlign w:val="center"/>
                </w:tcPr>
                <w:p w14:paraId="2142EA9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20"/>
                      <w:szCs w:val="20"/>
                      <w:highlight w:val="none"/>
                      <w:lang w:val="en-US" w:eastAsia="zh-CN"/>
                    </w:rPr>
                  </w:pPr>
                </w:p>
              </w:tc>
            </w:tr>
            <w:tr w14:paraId="0A210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87" w:type="pct"/>
                  <w:vMerge w:val="continue"/>
                  <w:noWrap w:val="0"/>
                  <w:vAlign w:val="center"/>
                </w:tcPr>
                <w:p w14:paraId="17D23B4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p>
              </w:tc>
              <w:tc>
                <w:tcPr>
                  <w:tcW w:w="914" w:type="pct"/>
                  <w:noWrap w:val="0"/>
                  <w:vAlign w:val="center"/>
                </w:tcPr>
                <w:p w14:paraId="7D0BA38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颗粒物</w:t>
                  </w:r>
                </w:p>
              </w:tc>
              <w:tc>
                <w:tcPr>
                  <w:tcW w:w="1751" w:type="dxa"/>
                  <w:noWrap w:val="0"/>
                  <w:vAlign w:val="center"/>
                </w:tcPr>
                <w:p w14:paraId="3E9410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0.1621</w:t>
                  </w:r>
                </w:p>
              </w:tc>
              <w:tc>
                <w:tcPr>
                  <w:tcW w:w="1593" w:type="dxa"/>
                  <w:noWrap w:val="0"/>
                  <w:vAlign w:val="center"/>
                </w:tcPr>
                <w:p w14:paraId="19E59F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0.0338</w:t>
                  </w:r>
                </w:p>
              </w:tc>
              <w:tc>
                <w:tcPr>
                  <w:tcW w:w="1026" w:type="pct"/>
                  <w:vMerge w:val="continue"/>
                  <w:noWrap w:val="0"/>
                  <w:vAlign w:val="center"/>
                </w:tcPr>
                <w:p w14:paraId="76728875">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p>
              </w:tc>
              <w:tc>
                <w:tcPr>
                  <w:tcW w:w="548" w:type="pct"/>
                  <w:vMerge w:val="continue"/>
                  <w:noWrap w:val="0"/>
                  <w:vAlign w:val="center"/>
                </w:tcPr>
                <w:p w14:paraId="3260B01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p>
              </w:tc>
            </w:tr>
            <w:tr w14:paraId="45A92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87" w:type="pct"/>
                  <w:noWrap w:val="0"/>
                  <w:vAlign w:val="center"/>
                </w:tcPr>
                <w:p w14:paraId="3049935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实验室</w:t>
                  </w:r>
                </w:p>
              </w:tc>
              <w:tc>
                <w:tcPr>
                  <w:tcW w:w="914" w:type="pct"/>
                  <w:noWrap w:val="0"/>
                  <w:vAlign w:val="center"/>
                </w:tcPr>
                <w:p w14:paraId="6163A76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val="en-US" w:eastAsia="zh-CN"/>
                    </w:rPr>
                    <w:t>非甲烷总烃</w:t>
                  </w:r>
                </w:p>
              </w:tc>
              <w:tc>
                <w:tcPr>
                  <w:tcW w:w="954" w:type="pct"/>
                  <w:noWrap w:val="0"/>
                  <w:vAlign w:val="center"/>
                </w:tcPr>
                <w:p w14:paraId="4023D0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0.0134</w:t>
                  </w:r>
                </w:p>
              </w:tc>
              <w:tc>
                <w:tcPr>
                  <w:tcW w:w="868" w:type="pct"/>
                  <w:noWrap w:val="0"/>
                  <w:vAlign w:val="center"/>
                </w:tcPr>
                <w:p w14:paraId="0422EF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0.00418</w:t>
                  </w:r>
                </w:p>
              </w:tc>
              <w:tc>
                <w:tcPr>
                  <w:tcW w:w="1026" w:type="pct"/>
                  <w:noWrap w:val="0"/>
                  <w:vAlign w:val="center"/>
                </w:tcPr>
                <w:p w14:paraId="60CE7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21"/>
                      <w:highlight w:val="none"/>
                      <w:lang w:val="en-US" w:eastAsia="zh-CN"/>
                    </w:rPr>
                    <w:t>4368.86</w:t>
                  </w:r>
                </w:p>
              </w:tc>
              <w:tc>
                <w:tcPr>
                  <w:tcW w:w="548" w:type="pct"/>
                  <w:noWrap w:val="0"/>
                  <w:vAlign w:val="center"/>
                </w:tcPr>
                <w:p w14:paraId="34783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eastAsia" w:ascii="Times New Roman" w:hAnsi="Times New Roman" w:eastAsia="宋体" w:cs="Times New Roman"/>
                      <w:b w:val="0"/>
                      <w:bCs w:val="0"/>
                      <w:color w:val="auto"/>
                      <w:sz w:val="21"/>
                      <w:szCs w:val="21"/>
                      <w:highlight w:val="none"/>
                    </w:rPr>
                  </w:pPr>
                  <w:r>
                    <w:rPr>
                      <w:rFonts w:hint="eastAsia" w:cs="Times New Roman"/>
                      <w:b w:val="0"/>
                      <w:bCs w:val="0"/>
                      <w:color w:val="auto"/>
                      <w:kern w:val="0"/>
                      <w:sz w:val="21"/>
                      <w:szCs w:val="21"/>
                      <w:highlight w:val="none"/>
                      <w:lang w:val="en-US" w:eastAsia="zh-CN" w:bidi="ar"/>
                    </w:rPr>
                    <w:t>10</w:t>
                  </w:r>
                </w:p>
              </w:tc>
            </w:tr>
            <w:tr w14:paraId="343D9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87" w:type="pct"/>
                  <w:noWrap w:val="0"/>
                  <w:vAlign w:val="center"/>
                </w:tcPr>
                <w:p w14:paraId="2FD7F9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危险废物</w:t>
                  </w:r>
                  <w:r>
                    <w:rPr>
                      <w:rFonts w:hint="eastAsia" w:ascii="Times New Roman" w:hAnsi="Times New Roman" w:eastAsia="宋体" w:cs="Times New Roman"/>
                      <w:b w:val="0"/>
                      <w:bCs w:val="0"/>
                      <w:color w:val="auto"/>
                      <w:szCs w:val="21"/>
                      <w:highlight w:val="none"/>
                      <w:lang w:val="en-US" w:eastAsia="zh-CN"/>
                    </w:rPr>
                    <w:t>仓库</w:t>
                  </w:r>
                </w:p>
              </w:tc>
              <w:tc>
                <w:tcPr>
                  <w:tcW w:w="914" w:type="pct"/>
                  <w:noWrap w:val="0"/>
                  <w:vAlign w:val="center"/>
                </w:tcPr>
                <w:p w14:paraId="525014A6">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val="en-US" w:eastAsia="zh-CN"/>
                    </w:rPr>
                    <w:t>非甲烷总烃</w:t>
                  </w:r>
                </w:p>
              </w:tc>
              <w:tc>
                <w:tcPr>
                  <w:tcW w:w="954" w:type="pct"/>
                  <w:noWrap w:val="0"/>
                  <w:vAlign w:val="center"/>
                </w:tcPr>
                <w:p w14:paraId="55BF7F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0.0526</w:t>
                  </w:r>
                </w:p>
              </w:tc>
              <w:tc>
                <w:tcPr>
                  <w:tcW w:w="868" w:type="pct"/>
                  <w:noWrap w:val="0"/>
                  <w:vAlign w:val="center"/>
                </w:tcPr>
                <w:p w14:paraId="3F8741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0.00731</w:t>
                  </w:r>
                </w:p>
              </w:tc>
              <w:tc>
                <w:tcPr>
                  <w:tcW w:w="1026" w:type="pct"/>
                  <w:noWrap w:val="0"/>
                  <w:vAlign w:val="center"/>
                </w:tcPr>
                <w:p w14:paraId="202AFB6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100</w:t>
                  </w:r>
                </w:p>
              </w:tc>
              <w:tc>
                <w:tcPr>
                  <w:tcW w:w="548" w:type="pct"/>
                  <w:noWrap w:val="0"/>
                  <w:vAlign w:val="center"/>
                </w:tcPr>
                <w:p w14:paraId="4C77B3E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w:t>
                  </w:r>
                </w:p>
              </w:tc>
            </w:tr>
          </w:tbl>
          <w:p w14:paraId="35398129">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161" w:beforeLines="50" w:beforeAutospacing="0" w:after="0" w:afterAutospacing="0" w:line="360" w:lineRule="auto"/>
              <w:ind w:left="0" w:right="0"/>
              <w:textAlignment w:val="auto"/>
              <w:rPr>
                <w:rFonts w:hint="default"/>
                <w:b/>
                <w:bCs/>
                <w:color w:val="auto"/>
                <w:sz w:val="24"/>
                <w:highlight w:val="none"/>
              </w:rPr>
            </w:pPr>
            <w:r>
              <w:rPr>
                <w:rFonts w:hint="eastAsia"/>
                <w:b/>
                <w:bCs/>
                <w:color w:val="auto"/>
                <w:sz w:val="24"/>
                <w:highlight w:val="none"/>
                <w:lang w:val="en-US" w:eastAsia="zh-CN"/>
              </w:rPr>
              <w:t>2、</w:t>
            </w:r>
            <w:r>
              <w:rPr>
                <w:rFonts w:hint="eastAsia"/>
                <w:b/>
                <w:bCs/>
                <w:color w:val="auto"/>
                <w:sz w:val="24"/>
                <w:highlight w:val="none"/>
              </w:rPr>
              <w:t>污染防治措施可行性分析</w:t>
            </w:r>
          </w:p>
          <w:p w14:paraId="5DC7DC22">
            <w:pPr>
              <w:pStyle w:val="15"/>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Chars="200" w:right="0"/>
              <w:textAlignment w:val="auto"/>
              <w:rPr>
                <w:rFonts w:hint="eastAsia"/>
                <w:b/>
                <w:bCs/>
                <w:color w:val="auto"/>
                <w:sz w:val="24"/>
                <w:highlight w:val="none"/>
                <w:lang w:val="en-US" w:eastAsia="zh-CN"/>
              </w:rPr>
            </w:pPr>
            <w:r>
              <w:rPr>
                <w:rFonts w:hint="eastAsia"/>
                <w:b/>
                <w:bCs/>
                <w:color w:val="auto"/>
                <w:sz w:val="24"/>
                <w:highlight w:val="none"/>
                <w:lang w:val="en-US" w:eastAsia="zh-CN"/>
              </w:rPr>
              <w:t>（1）本项目废气收集、处理情况</w:t>
            </w:r>
          </w:p>
          <w:p w14:paraId="55A25AA6">
            <w:pPr>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本项目废气收集处理走向图：</w:t>
            </w:r>
          </w:p>
          <w:p w14:paraId="01317794">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firstLine="420" w:firstLineChars="200"/>
              <w:jc w:val="center"/>
              <w:rPr>
                <w:rFonts w:hint="default"/>
                <w:color w:val="auto"/>
                <w:highlight w:val="none"/>
              </w:rPr>
            </w:pPr>
            <w:r>
              <w:rPr>
                <w:rFonts w:hint="default"/>
                <w:color w:val="auto"/>
                <w:highlight w:val="none"/>
              </w:rPr>
              <w:object>
                <v:shape id="_x0000_i1033" o:spt="75" type="#_x0000_t75" style="height:374.85pt;width:421.65pt;" o:ole="t" filled="f" o:preferrelative="t" stroked="f" coordsize="21600,21600">
                  <v:path/>
                  <v:fill on="f" focussize="0,0"/>
                  <v:stroke on="f"/>
                  <v:imagedata r:id="rId25" cropleft="3298f" croptop="1221f" cropright="31571f" cropbottom="46354f" o:title=""/>
                  <o:lock v:ext="edit" aspectratio="t"/>
                  <w10:wrap type="none"/>
                  <w10:anchorlock/>
                </v:shape>
                <o:OLEObject Type="Embed" ProgID="Visio.Drawing.11" ShapeID="_x0000_i1033" DrawAspect="Content" ObjectID="_1468075733" r:id="rId24">
                  <o:LockedField>false</o:LockedField>
                </o:OLEObject>
              </w:object>
            </w:r>
          </w:p>
          <w:p w14:paraId="1826C0EF">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firstLine="482" w:firstLineChars="200"/>
              <w:jc w:val="center"/>
              <w:rPr>
                <w:rFonts w:hint="eastAsia" w:ascii="Times New Roman" w:hAnsi="Times New Roman" w:eastAsia="宋体" w:cs="Times New Roman"/>
                <w:color w:val="auto"/>
                <w:sz w:val="24"/>
                <w:szCs w:val="32"/>
                <w:highlight w:val="none"/>
                <w:lang w:val="en-US" w:eastAsia="zh-CN"/>
              </w:rPr>
            </w:pPr>
            <w:r>
              <w:rPr>
                <w:rFonts w:hint="eastAsia" w:cs="宋体"/>
                <w:b/>
                <w:bCs/>
                <w:color w:val="auto"/>
                <w:sz w:val="24"/>
                <w:szCs w:val="24"/>
                <w:highlight w:val="none"/>
                <w:lang w:val="en-US" w:eastAsia="zh-CN"/>
              </w:rPr>
              <w:t>图4-1  废气收集、处理工艺流程图</w:t>
            </w:r>
          </w:p>
        </w:tc>
      </w:tr>
    </w:tbl>
    <w:p w14:paraId="0B000437">
      <w:pPr>
        <w:pStyle w:val="12"/>
        <w:numPr>
          <w:ilvl w:val="0"/>
          <w:numId w:val="0"/>
        </w:numPr>
        <w:tabs>
          <w:tab w:val="clear" w:pos="2040"/>
        </w:tabs>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715"/>
      </w:tblGrid>
      <w:tr w14:paraId="4F15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6" w:hRule="atLeast"/>
        </w:trPr>
        <w:tc>
          <w:tcPr>
            <w:tcW w:w="423" w:type="dxa"/>
          </w:tcPr>
          <w:p w14:paraId="3BB7C94C">
            <w:pPr>
              <w:pStyle w:val="12"/>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highlight w:val="none"/>
                <w:vertAlign w:val="baseline"/>
              </w:rPr>
            </w:pPr>
          </w:p>
        </w:tc>
        <w:tc>
          <w:tcPr>
            <w:tcW w:w="8715" w:type="dxa"/>
          </w:tcPr>
          <w:p w14:paraId="52C8C787">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32"/>
                <w:highlight w:val="none"/>
              </w:rPr>
            </w:pPr>
            <w:r>
              <w:rPr>
                <w:rFonts w:hint="default" w:ascii="Times New Roman" w:hAnsi="Times New Roman" w:eastAsia="宋体" w:cs="Times New Roman"/>
                <w:b/>
                <w:bCs/>
                <w:color w:val="auto"/>
                <w:kern w:val="0"/>
                <w:sz w:val="24"/>
                <w:szCs w:val="32"/>
                <w:highlight w:val="none"/>
              </w:rPr>
              <w:t>（2）污染防治措施可行性分析</w:t>
            </w:r>
          </w:p>
          <w:p w14:paraId="30E932E2">
            <w:pPr>
              <w:keepNext w:val="0"/>
              <w:keepLines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本项目废气污染防治措施及其可行性情况如下表：</w:t>
            </w:r>
          </w:p>
          <w:p w14:paraId="7CEBBA75">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6</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本项目废气种类及治理措施一览表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4"/>
              <w:gridCol w:w="1079"/>
              <w:gridCol w:w="2367"/>
              <w:gridCol w:w="1834"/>
              <w:gridCol w:w="2478"/>
            </w:tblGrid>
            <w:tr w14:paraId="2F77F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432" w:type="pct"/>
                  <w:noWrap w:val="0"/>
                  <w:vAlign w:val="center"/>
                </w:tcPr>
                <w:p w14:paraId="41EA126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产生点</w:t>
                  </w:r>
                </w:p>
              </w:tc>
              <w:tc>
                <w:tcPr>
                  <w:tcW w:w="635" w:type="pct"/>
                  <w:noWrap w:val="0"/>
                  <w:tcMar>
                    <w:left w:w="0" w:type="dxa"/>
                    <w:right w:w="0" w:type="dxa"/>
                  </w:tcMar>
                  <w:vAlign w:val="center"/>
                </w:tcPr>
                <w:p w14:paraId="6D24D0F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1393" w:type="pct"/>
                  <w:noWrap w:val="0"/>
                  <w:tcMar>
                    <w:left w:w="0" w:type="dxa"/>
                    <w:right w:w="0" w:type="dxa"/>
                  </w:tcMar>
                  <w:vAlign w:val="center"/>
                </w:tcPr>
                <w:p w14:paraId="2559D30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治理措施</w:t>
                  </w:r>
                </w:p>
              </w:tc>
              <w:tc>
                <w:tcPr>
                  <w:tcW w:w="1079" w:type="pct"/>
                  <w:noWrap w:val="0"/>
                  <w:tcMar>
                    <w:left w:w="0" w:type="dxa"/>
                    <w:right w:w="0" w:type="dxa"/>
                  </w:tcMar>
                  <w:vAlign w:val="center"/>
                </w:tcPr>
                <w:p w14:paraId="2D13A748">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是否为可行性技术</w:t>
                  </w:r>
                </w:p>
              </w:tc>
              <w:tc>
                <w:tcPr>
                  <w:tcW w:w="1458" w:type="pct"/>
                  <w:noWrap w:val="0"/>
                  <w:tcMar>
                    <w:left w:w="0" w:type="dxa"/>
                    <w:right w:w="0" w:type="dxa"/>
                  </w:tcMar>
                  <w:vAlign w:val="center"/>
                </w:tcPr>
                <w:p w14:paraId="0FDE27F4">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判定依据</w:t>
                  </w:r>
                </w:p>
              </w:tc>
            </w:tr>
            <w:tr w14:paraId="18AB3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81" w:hRule="atLeast"/>
                <w:jc w:val="center"/>
              </w:trPr>
              <w:tc>
                <w:tcPr>
                  <w:tcW w:w="432" w:type="pct"/>
                  <w:noWrap w:val="0"/>
                  <w:tcMar>
                    <w:left w:w="0" w:type="dxa"/>
                    <w:right w:w="0" w:type="dxa"/>
                  </w:tcMar>
                  <w:vAlign w:val="center"/>
                </w:tcPr>
                <w:p w14:paraId="69AD72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隐形矫治器生产线-喷涂硅油-脱模剂</w:t>
                  </w:r>
                </w:p>
              </w:tc>
              <w:tc>
                <w:tcPr>
                  <w:tcW w:w="635" w:type="pct"/>
                  <w:tcBorders>
                    <w:top w:val="single" w:color="000000" w:sz="6" w:space="0"/>
                    <w:bottom w:val="single" w:color="000000" w:sz="6" w:space="0"/>
                  </w:tcBorders>
                  <w:noWrap w:val="0"/>
                  <w:tcMar>
                    <w:left w:w="0" w:type="dxa"/>
                    <w:right w:w="0" w:type="dxa"/>
                  </w:tcMar>
                  <w:vAlign w:val="center"/>
                </w:tcPr>
                <w:p w14:paraId="5F50419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非甲烷总烃</w:t>
                  </w:r>
                </w:p>
              </w:tc>
              <w:tc>
                <w:tcPr>
                  <w:tcW w:w="1393" w:type="pct"/>
                  <w:noWrap w:val="0"/>
                  <w:tcMar>
                    <w:left w:w="0" w:type="dxa"/>
                    <w:right w:w="0" w:type="dxa"/>
                  </w:tcMar>
                  <w:vAlign w:val="center"/>
                </w:tcPr>
                <w:p w14:paraId="43DCD1D6">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通风橱收集</w:t>
                  </w:r>
                  <w:r>
                    <w:rPr>
                      <w:rFonts w:hint="default" w:ascii="Times New Roman" w:hAnsi="Times New Roman" w:eastAsia="宋体" w:cs="Times New Roman"/>
                      <w:color w:val="auto"/>
                      <w:szCs w:val="21"/>
                      <w:highlight w:val="none"/>
                    </w:rPr>
                    <w:t>（收集率9</w:t>
                  </w:r>
                  <w:r>
                    <w:rPr>
                      <w:rFonts w:hint="eastAsia" w:ascii="Times New Roman" w:hAnsi="Times New Roman" w:eastAsia="宋体" w:cs="Times New Roman"/>
                      <w:color w:val="auto"/>
                      <w:szCs w:val="21"/>
                      <w:highlight w:val="none"/>
                    </w:rPr>
                    <w:t>5</w:t>
                  </w:r>
                  <w:r>
                    <w:rPr>
                      <w:rFonts w:hint="default" w:ascii="Times New Roman" w:hAnsi="Times New Roman" w:eastAsia="宋体" w:cs="Times New Roman"/>
                      <w:color w:val="auto"/>
                      <w:szCs w:val="21"/>
                      <w:highlight w:val="none"/>
                    </w:rPr>
                    <w:t>%）后</w:t>
                  </w:r>
                  <w:r>
                    <w:rPr>
                      <w:rFonts w:hint="eastAsia" w:ascii="Times New Roman" w:hAnsi="Times New Roman" w:eastAsia="宋体" w:cs="Times New Roman"/>
                      <w:color w:val="auto"/>
                      <w:szCs w:val="21"/>
                      <w:highlight w:val="none"/>
                    </w:rPr>
                    <w:t>经</w:t>
                  </w:r>
                  <w:r>
                    <w:rPr>
                      <w:rFonts w:hint="eastAsia" w:ascii="Times New Roman" w:hAnsi="Times New Roman" w:eastAsia="宋体" w:cs="Times New Roman"/>
                      <w:color w:val="auto"/>
                      <w:szCs w:val="21"/>
                      <w:highlight w:val="none"/>
                      <w:lang w:val="en-US" w:eastAsia="zh-CN"/>
                    </w:rPr>
                    <w:t>一级碱喷淋+一级水喷淋+除雾器+</w:t>
                  </w:r>
                  <w:r>
                    <w:rPr>
                      <w:rFonts w:hint="eastAsia" w:ascii="Times New Roman" w:hAnsi="Times New Roman" w:eastAsia="宋体" w:cs="Times New Roman"/>
                      <w:color w:val="auto"/>
                      <w:szCs w:val="21"/>
                      <w:highlight w:val="none"/>
                    </w:rPr>
                    <w:t>二级活性炭</w:t>
                  </w:r>
                  <w:r>
                    <w:rPr>
                      <w:rFonts w:hint="default" w:ascii="Times New Roman" w:hAnsi="Times New Roman" w:eastAsia="宋体" w:cs="Times New Roman"/>
                      <w:color w:val="auto"/>
                      <w:szCs w:val="21"/>
                      <w:highlight w:val="none"/>
                    </w:rPr>
                    <w:t>（处理效率</w:t>
                  </w:r>
                  <w:r>
                    <w:rPr>
                      <w:rFonts w:hint="eastAsia" w:ascii="Times New Roman" w:hAnsi="Times New Roman" w:eastAsia="宋体" w:cs="Times New Roman"/>
                      <w:color w:val="auto"/>
                      <w:szCs w:val="21"/>
                      <w:highlight w:val="none"/>
                      <w:lang w:val="en-US" w:eastAsia="zh-CN"/>
                    </w:rPr>
                    <w:t>90</w:t>
                  </w:r>
                  <w:r>
                    <w:rPr>
                      <w:rFonts w:hint="default" w:ascii="Times New Roman" w:hAnsi="Times New Roman" w:eastAsia="宋体" w:cs="Times New Roman"/>
                      <w:color w:val="auto"/>
                      <w:szCs w:val="21"/>
                      <w:highlight w:val="none"/>
                    </w:rPr>
                    <w:t>%）</w:t>
                  </w:r>
                </w:p>
              </w:tc>
              <w:tc>
                <w:tcPr>
                  <w:tcW w:w="1079" w:type="pct"/>
                  <w:tcBorders>
                    <w:bottom w:val="single" w:color="000000" w:sz="6" w:space="0"/>
                  </w:tcBorders>
                  <w:noWrap w:val="0"/>
                  <w:tcMar>
                    <w:left w:w="0" w:type="dxa"/>
                    <w:right w:w="0" w:type="dxa"/>
                  </w:tcMar>
                  <w:vAlign w:val="center"/>
                </w:tcPr>
                <w:p w14:paraId="3725BD81">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是</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  否</w:t>
                  </w:r>
                  <w:r>
                    <w:rPr>
                      <w:rFonts w:hint="eastAsia" w:ascii="Times New Roman" w:hAnsi="Times New Roman" w:eastAsia="宋体" w:cs="Times New Roman"/>
                      <w:color w:val="auto"/>
                      <w:szCs w:val="21"/>
                      <w:highlight w:val="none"/>
                    </w:rPr>
                    <w:t>□</w:t>
                  </w:r>
                </w:p>
              </w:tc>
              <w:tc>
                <w:tcPr>
                  <w:tcW w:w="1458" w:type="pct"/>
                  <w:noWrap w:val="0"/>
                  <w:tcMar>
                    <w:left w:w="0" w:type="dxa"/>
                    <w:right w:w="0" w:type="dxa"/>
                  </w:tcMar>
                  <w:vAlign w:val="center"/>
                </w:tcPr>
                <w:p w14:paraId="2F442750">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参照</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排污许可证申请与核发技术规范 铁路、船舶、航空航天和其他运输设备制造业》（HJ1124-2020）</w:t>
                  </w:r>
                  <w:r>
                    <w:rPr>
                      <w:rFonts w:hint="eastAsia" w:ascii="Times New Roman" w:hAnsi="Times New Roman" w:eastAsia="宋体" w:cs="Times New Roman"/>
                      <w:color w:val="auto"/>
                      <w:szCs w:val="21"/>
                      <w:highlight w:val="none"/>
                    </w:rPr>
                    <w:t>表</w:t>
                  </w:r>
                  <w:r>
                    <w:rPr>
                      <w:rFonts w:hint="eastAsia" w:ascii="Times New Roman" w:hAnsi="Times New Roman" w:eastAsia="宋体" w:cs="Times New Roman"/>
                      <w:color w:val="auto"/>
                      <w:szCs w:val="21"/>
                      <w:highlight w:val="none"/>
                      <w:lang w:val="en-US" w:eastAsia="zh-CN"/>
                    </w:rPr>
                    <w:t>8</w:t>
                  </w:r>
                  <w:r>
                    <w:rPr>
                      <w:rFonts w:hint="eastAsia" w:ascii="Times New Roman" w:hAnsi="Times New Roman" w:eastAsia="宋体" w:cs="Times New Roman"/>
                      <w:color w:val="auto"/>
                      <w:szCs w:val="21"/>
                      <w:highlight w:val="none"/>
                    </w:rPr>
                    <w:t>中</w:t>
                  </w:r>
                  <w:r>
                    <w:rPr>
                      <w:rFonts w:hint="eastAsia" w:ascii="Times New Roman" w:hAnsi="Times New Roman" w:eastAsia="宋体" w:cs="Times New Roman"/>
                      <w:color w:val="auto"/>
                      <w:szCs w:val="21"/>
                      <w:highlight w:val="none"/>
                      <w:lang w:val="en-US" w:eastAsia="zh-CN"/>
                    </w:rPr>
                    <w:t>挥发性有机物</w:t>
                  </w:r>
                  <w:r>
                    <w:rPr>
                      <w:rFonts w:hint="eastAsia" w:ascii="Times New Roman" w:hAnsi="Times New Roman" w:eastAsia="宋体" w:cs="Times New Roman"/>
                      <w:color w:val="auto"/>
                      <w:szCs w:val="21"/>
                      <w:highlight w:val="none"/>
                    </w:rPr>
                    <w:t>废气防治可行技术</w:t>
                  </w:r>
                </w:p>
              </w:tc>
            </w:tr>
            <w:tr w14:paraId="0E994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432" w:type="pct"/>
                  <w:noWrap w:val="0"/>
                  <w:tcMar>
                    <w:left w:w="0" w:type="dxa"/>
                    <w:right w:w="0" w:type="dxa"/>
                  </w:tcMar>
                  <w:vAlign w:val="center"/>
                </w:tcPr>
                <w:p w14:paraId="19748B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隐形矫治器生产线-</w:t>
                  </w:r>
                  <w:r>
                    <w:rPr>
                      <w:rFonts w:hint="eastAsia" w:cs="Times New Roman"/>
                      <w:color w:val="auto"/>
                      <w:szCs w:val="21"/>
                      <w:highlight w:val="none"/>
                      <w:lang w:val="en-US" w:eastAsia="zh-CN"/>
                    </w:rPr>
                    <w:t>精细</w:t>
                  </w:r>
                  <w:r>
                    <w:rPr>
                      <w:rFonts w:hint="eastAsia" w:ascii="Times New Roman" w:hAnsi="Times New Roman" w:eastAsia="宋体" w:cs="Times New Roman"/>
                      <w:color w:val="auto"/>
                      <w:szCs w:val="21"/>
                      <w:highlight w:val="none"/>
                      <w:lang w:val="en-US" w:eastAsia="zh-CN"/>
                    </w:rPr>
                    <w:t>抛光</w:t>
                  </w:r>
                </w:p>
              </w:tc>
              <w:tc>
                <w:tcPr>
                  <w:tcW w:w="635" w:type="pct"/>
                  <w:tcBorders>
                    <w:top w:val="single" w:color="000000" w:sz="6" w:space="0"/>
                  </w:tcBorders>
                  <w:noWrap w:val="0"/>
                  <w:tcMar>
                    <w:left w:w="0" w:type="dxa"/>
                    <w:right w:w="0" w:type="dxa"/>
                  </w:tcMar>
                  <w:vAlign w:val="center"/>
                </w:tcPr>
                <w:p w14:paraId="6C33C8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1393" w:type="pct"/>
                  <w:noWrap w:val="0"/>
                  <w:tcMar>
                    <w:left w:w="0" w:type="dxa"/>
                    <w:right w:w="0" w:type="dxa"/>
                  </w:tcMar>
                  <w:vAlign w:val="center"/>
                </w:tcPr>
                <w:p w14:paraId="698E07CD">
                  <w:pPr>
                    <w:keepNext w:val="0"/>
                    <w:keepLines w:val="0"/>
                    <w:suppressLineNumbers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设备半密闭抽风收集</w:t>
                  </w:r>
                  <w:r>
                    <w:rPr>
                      <w:rFonts w:hint="eastAsia" w:ascii="Times New Roman" w:hAnsi="Times New Roman" w:eastAsia="宋体" w:cs="Times New Roman"/>
                      <w:color w:val="auto"/>
                      <w:szCs w:val="21"/>
                      <w:highlight w:val="none"/>
                      <w:lang w:val="en-US" w:eastAsia="zh-CN"/>
                    </w:rPr>
                    <w:t>（收集效率95%）+经布袋除尘装置（</w:t>
                  </w:r>
                  <w:r>
                    <w:rPr>
                      <w:rFonts w:hint="default" w:ascii="Times New Roman" w:hAnsi="Times New Roman" w:eastAsia="宋体" w:cs="Times New Roman"/>
                      <w:color w:val="auto"/>
                      <w:szCs w:val="21"/>
                      <w:highlight w:val="none"/>
                    </w:rPr>
                    <w:t>处理效率</w:t>
                  </w:r>
                  <w:r>
                    <w:rPr>
                      <w:rFonts w:hint="eastAsia" w:ascii="Times New Roman" w:hAnsi="Times New Roman" w:eastAsia="宋体" w:cs="Times New Roman"/>
                      <w:color w:val="auto"/>
                      <w:szCs w:val="21"/>
                      <w:highlight w:val="none"/>
                      <w:lang w:val="en-US" w:eastAsia="zh-CN"/>
                    </w:rPr>
                    <w:t>98</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w:t>
                  </w:r>
                </w:p>
              </w:tc>
              <w:tc>
                <w:tcPr>
                  <w:tcW w:w="1079" w:type="pct"/>
                  <w:tcBorders>
                    <w:top w:val="single" w:color="000000" w:sz="6" w:space="0"/>
                    <w:right w:val="single" w:color="auto" w:sz="6" w:space="0"/>
                  </w:tcBorders>
                  <w:noWrap w:val="0"/>
                  <w:tcMar>
                    <w:left w:w="0" w:type="dxa"/>
                    <w:right w:w="0" w:type="dxa"/>
                  </w:tcMar>
                  <w:vAlign w:val="center"/>
                </w:tcPr>
                <w:p w14:paraId="6C098AF9">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  否</w:t>
                  </w:r>
                  <w:r>
                    <w:rPr>
                      <w:rFonts w:hint="eastAsia" w:ascii="Times New Roman" w:hAnsi="Times New Roman" w:eastAsia="宋体" w:cs="Times New Roman"/>
                      <w:color w:val="auto"/>
                      <w:szCs w:val="21"/>
                      <w:highlight w:val="none"/>
                    </w:rPr>
                    <w:t>□</w:t>
                  </w:r>
                </w:p>
              </w:tc>
              <w:tc>
                <w:tcPr>
                  <w:tcW w:w="1458" w:type="pct"/>
                  <w:tcBorders>
                    <w:bottom w:val="single" w:color="auto" w:sz="12" w:space="0"/>
                  </w:tcBorders>
                  <w:noWrap w:val="0"/>
                  <w:tcMar>
                    <w:left w:w="0" w:type="dxa"/>
                    <w:right w:w="0" w:type="dxa"/>
                  </w:tcMar>
                  <w:vAlign w:val="center"/>
                </w:tcPr>
                <w:p w14:paraId="35457CE8">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参照</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排污许可证申请与核发技术规范 铁路、船舶、航空航天和其他运输设备制造业》（HJ1124-2020）</w:t>
                  </w:r>
                  <w:r>
                    <w:rPr>
                      <w:rFonts w:hint="eastAsia" w:ascii="Times New Roman" w:hAnsi="Times New Roman" w:eastAsia="宋体" w:cs="Times New Roman"/>
                      <w:color w:val="auto"/>
                      <w:szCs w:val="21"/>
                      <w:highlight w:val="none"/>
                    </w:rPr>
                    <w:t>表</w:t>
                  </w:r>
                  <w:r>
                    <w:rPr>
                      <w:rFonts w:hint="eastAsia" w:ascii="Times New Roman" w:hAnsi="Times New Roman" w:eastAsia="宋体" w:cs="Times New Roman"/>
                      <w:color w:val="auto"/>
                      <w:szCs w:val="21"/>
                      <w:highlight w:val="none"/>
                      <w:lang w:val="en-US" w:eastAsia="zh-CN"/>
                    </w:rPr>
                    <w:t>8</w:t>
                  </w:r>
                  <w:r>
                    <w:rPr>
                      <w:rFonts w:hint="eastAsia" w:ascii="Times New Roman" w:hAnsi="Times New Roman" w:eastAsia="宋体" w:cs="Times New Roman"/>
                      <w:color w:val="auto"/>
                      <w:szCs w:val="21"/>
                      <w:highlight w:val="none"/>
                    </w:rPr>
                    <w:t>中</w:t>
                  </w:r>
                  <w:r>
                    <w:rPr>
                      <w:rFonts w:hint="eastAsia" w:ascii="Times New Roman" w:hAnsi="Times New Roman" w:eastAsia="宋体" w:cs="Times New Roman"/>
                      <w:color w:val="auto"/>
                      <w:szCs w:val="21"/>
                      <w:highlight w:val="none"/>
                      <w:lang w:val="en-US" w:eastAsia="zh-CN"/>
                    </w:rPr>
                    <w:t>机械预处理-颗粒物</w:t>
                  </w:r>
                  <w:r>
                    <w:rPr>
                      <w:rFonts w:hint="eastAsia" w:ascii="Times New Roman" w:hAnsi="Times New Roman" w:eastAsia="宋体" w:cs="Times New Roman"/>
                      <w:color w:val="auto"/>
                      <w:szCs w:val="21"/>
                      <w:highlight w:val="none"/>
                    </w:rPr>
                    <w:t>废气防治可行技术</w:t>
                  </w:r>
                </w:p>
              </w:tc>
            </w:tr>
          </w:tbl>
          <w:p w14:paraId="38340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由上表可见，</w:t>
            </w: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针对喷涂硅油-脱模剂工段产生的非甲烷总烃、</w:t>
            </w:r>
            <w:r>
              <w:rPr>
                <w:rFonts w:hint="eastAsia" w:cs="Times New Roman"/>
                <w:color w:val="auto"/>
                <w:sz w:val="24"/>
                <w:highlight w:val="none"/>
                <w:lang w:val="en-US" w:eastAsia="zh-CN"/>
              </w:rPr>
              <w:t>精细</w:t>
            </w:r>
            <w:r>
              <w:rPr>
                <w:rFonts w:hint="eastAsia" w:ascii="Times New Roman" w:hAnsi="Times New Roman" w:eastAsia="宋体" w:cs="Times New Roman"/>
                <w:color w:val="auto"/>
                <w:sz w:val="24"/>
                <w:highlight w:val="none"/>
                <w:lang w:val="en-US" w:eastAsia="zh-CN"/>
              </w:rPr>
              <w:t>抛光工段产生的颗粒物采取的治理措施均为可行技术，本报告进行简要分析</w:t>
            </w:r>
            <w:r>
              <w:rPr>
                <w:rFonts w:hint="default" w:ascii="Times New Roman" w:hAnsi="Times New Roman" w:eastAsia="宋体" w:cs="Times New Roman"/>
                <w:color w:val="auto"/>
                <w:sz w:val="24"/>
                <w:highlight w:val="none"/>
              </w:rPr>
              <w:t>。</w:t>
            </w:r>
          </w:p>
          <w:p w14:paraId="3AAC8E30">
            <w:pPr>
              <w:pStyle w:val="15"/>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textAlignment w:val="auto"/>
              <w:rPr>
                <w:rFonts w:hint="eastAsia"/>
                <w:b/>
                <w:bCs/>
                <w:color w:val="auto"/>
                <w:sz w:val="24"/>
                <w:highlight w:val="none"/>
                <w:lang w:eastAsia="zh-CN"/>
              </w:rPr>
            </w:pPr>
            <w:r>
              <w:rPr>
                <w:rFonts w:hint="eastAsia"/>
                <w:b/>
                <w:bCs/>
                <w:color w:val="auto"/>
                <w:sz w:val="24"/>
                <w:highlight w:val="none"/>
                <w:lang w:val="en-US" w:eastAsia="zh-CN"/>
              </w:rPr>
              <w:t>（3）</w:t>
            </w:r>
            <w:r>
              <w:rPr>
                <w:rFonts w:hint="eastAsia"/>
                <w:b/>
                <w:bCs/>
                <w:color w:val="auto"/>
                <w:sz w:val="24"/>
                <w:highlight w:val="none"/>
                <w:lang w:eastAsia="zh-CN"/>
              </w:rPr>
              <w:t>风机风量可行性分析</w:t>
            </w:r>
          </w:p>
          <w:p w14:paraId="5E6D34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eastAsia="宋体"/>
                <w:b/>
                <w:bCs/>
                <w:color w:val="auto"/>
                <w:sz w:val="24"/>
                <w:highlight w:val="none"/>
                <w:lang w:val="en-US" w:eastAsia="zh-CN"/>
              </w:rPr>
            </w:pPr>
            <w:r>
              <w:rPr>
                <w:rFonts w:hint="eastAsia" w:ascii="Times New Roman" w:eastAsia="宋体"/>
                <w:b/>
                <w:bCs/>
                <w:color w:val="auto"/>
                <w:sz w:val="24"/>
                <w:highlight w:val="none"/>
                <w:lang w:val="en-US" w:eastAsia="zh-CN"/>
              </w:rPr>
              <w:t>A.</w:t>
            </w:r>
            <w:r>
              <w:rPr>
                <w:rFonts w:hint="eastAsia" w:ascii="Times New Roman"/>
                <w:b/>
                <w:bCs/>
                <w:color w:val="auto"/>
                <w:sz w:val="24"/>
                <w:highlight w:val="none"/>
                <w:lang w:val="en-US" w:eastAsia="zh-CN"/>
              </w:rPr>
              <w:t>通风橱的风量</w:t>
            </w:r>
          </w:p>
          <w:p w14:paraId="3F1D67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eastAsia="宋体"/>
                <w:b w:val="0"/>
                <w:bCs w:val="0"/>
                <w:color w:val="auto"/>
                <w:sz w:val="24"/>
                <w:highlight w:val="none"/>
                <w:lang w:val="en-US" w:eastAsia="zh-CN"/>
              </w:rPr>
            </w:pPr>
            <w:r>
              <w:rPr>
                <w:rFonts w:hint="eastAsia" w:ascii="Times New Roman" w:eastAsia="宋体"/>
                <w:b w:val="0"/>
                <w:bCs w:val="0"/>
                <w:color w:val="auto"/>
                <w:sz w:val="24"/>
                <w:highlight w:val="none"/>
                <w:lang w:val="en-US" w:eastAsia="zh-CN"/>
              </w:rPr>
              <w:t>参考</w:t>
            </w:r>
            <w:r>
              <w:rPr>
                <w:rFonts w:hint="default" w:ascii="Segoe UI" w:hAnsi="Segoe UI" w:eastAsia="Segoe UI" w:cs="Segoe UI"/>
                <w:i w:val="0"/>
                <w:iCs w:val="0"/>
                <w:caps w:val="0"/>
                <w:color w:val="auto"/>
                <w:spacing w:val="0"/>
                <w:sz w:val="24"/>
                <w:szCs w:val="24"/>
                <w:highlight w:val="none"/>
                <w:shd w:val="clear" w:fill="FFFFFF"/>
              </w:rPr>
              <w:t>《环境工程设计手册》</w:t>
            </w:r>
            <w:r>
              <w:rPr>
                <w:rFonts w:hint="eastAsia" w:ascii="Times New Roman" w:eastAsia="宋体"/>
                <w:b w:val="0"/>
                <w:bCs w:val="0"/>
                <w:color w:val="auto"/>
                <w:sz w:val="24"/>
                <w:highlight w:val="none"/>
                <w:lang w:val="en-US" w:eastAsia="zh-CN"/>
              </w:rPr>
              <w:t>中</w:t>
            </w:r>
            <w:r>
              <w:rPr>
                <w:rFonts w:hint="eastAsia" w:ascii="Times New Roman"/>
                <w:b w:val="0"/>
                <w:bCs w:val="0"/>
                <w:color w:val="auto"/>
                <w:sz w:val="24"/>
                <w:highlight w:val="none"/>
                <w:lang w:val="en-US" w:eastAsia="zh-CN"/>
              </w:rPr>
              <w:t>通风橱</w:t>
            </w:r>
            <w:r>
              <w:rPr>
                <w:rFonts w:hint="eastAsia" w:ascii="Times New Roman" w:eastAsia="宋体"/>
                <w:b w:val="0"/>
                <w:bCs w:val="0"/>
                <w:color w:val="auto"/>
                <w:sz w:val="24"/>
                <w:highlight w:val="none"/>
                <w:lang w:val="en-US" w:eastAsia="zh-CN"/>
              </w:rPr>
              <w:t>的风量计算公式，具体如下：</w:t>
            </w:r>
          </w:p>
          <w:p w14:paraId="6FC771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eastAsia" w:ascii="Times New Roman" w:eastAsia="宋体"/>
                <w:b w:val="0"/>
                <w:bCs w:val="0"/>
                <w:color w:val="auto"/>
                <w:sz w:val="24"/>
                <w:highlight w:val="none"/>
                <w:lang w:val="en-US" w:eastAsia="zh-CN"/>
              </w:rPr>
            </w:pPr>
            <w:r>
              <w:rPr>
                <w:rFonts w:hint="eastAsia" w:ascii="Times New Roman"/>
                <w:b w:val="0"/>
                <w:bCs w:val="0"/>
                <w:color w:val="auto"/>
                <w:sz w:val="24"/>
                <w:highlight w:val="none"/>
                <w:lang w:val="en-US" w:eastAsia="zh-CN"/>
              </w:rPr>
              <w:t>Q=V×A×3600×K</w:t>
            </w:r>
            <w:r>
              <w:rPr>
                <w:rFonts w:hint="eastAsia" w:ascii="Times New Roman" w:eastAsia="宋体"/>
                <w:b w:val="0"/>
                <w:bCs w:val="0"/>
                <w:color w:val="auto"/>
                <w:sz w:val="24"/>
                <w:highlight w:val="none"/>
                <w:lang w:val="en-US" w:eastAsia="zh-CN"/>
              </w:rPr>
              <w:t>（m</w:t>
            </w:r>
            <w:r>
              <w:rPr>
                <w:rFonts w:hint="eastAsia" w:ascii="Times New Roman" w:eastAsia="宋体"/>
                <w:b w:val="0"/>
                <w:bCs w:val="0"/>
                <w:color w:val="auto"/>
                <w:sz w:val="24"/>
                <w:highlight w:val="none"/>
                <w:vertAlign w:val="superscript"/>
                <w:lang w:val="en-US" w:eastAsia="zh-CN"/>
              </w:rPr>
              <w:t>3</w:t>
            </w:r>
            <w:r>
              <w:rPr>
                <w:rFonts w:hint="eastAsia" w:ascii="Times New Roman" w:eastAsia="宋体"/>
                <w:b w:val="0"/>
                <w:bCs w:val="0"/>
                <w:color w:val="auto"/>
                <w:sz w:val="24"/>
                <w:highlight w:val="none"/>
                <w:lang w:val="en-US" w:eastAsia="zh-CN"/>
              </w:rPr>
              <w:t>/s）</w:t>
            </w:r>
          </w:p>
          <w:p w14:paraId="5618D08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olor w:val="auto"/>
                <w:highlight w:val="none"/>
              </w:rPr>
            </w:pPr>
            <w:r>
              <w:rPr>
                <w:rFonts w:hint="eastAsia" w:ascii="Times New Roman" w:hAnsi="Times New Roman" w:eastAsia="宋体"/>
                <w:b w:val="0"/>
                <w:bCs w:val="0"/>
                <w:color w:val="auto"/>
                <w:sz w:val="24"/>
                <w:highlight w:val="none"/>
                <w:lang w:val="en-US" w:eastAsia="zh-CN"/>
              </w:rPr>
              <w:t>式中：</w:t>
            </w:r>
            <w:r>
              <w:rPr>
                <w:rFonts w:hint="default" w:ascii="Times New Roman" w:hAnsi="Times New Roman" w:eastAsia="宋体" w:cs="Segoe UI"/>
                <w:i w:val="0"/>
                <w:iCs w:val="0"/>
                <w:caps w:val="0"/>
                <w:color w:val="auto"/>
                <w:spacing w:val="0"/>
                <w:sz w:val="24"/>
                <w:szCs w:val="24"/>
                <w:highlight w:val="none"/>
                <w:shd w:val="clear" w:fill="FFFFFF"/>
              </w:rPr>
              <w:t>Q为风机风量，单位是</w:t>
            </w:r>
            <w:r>
              <w:rPr>
                <w:rFonts w:hint="eastAsia" w:ascii="Times New Roman" w:hAnsi="Times New Roman" w:eastAsia="宋体"/>
                <w:color w:val="auto"/>
                <w:sz w:val="24"/>
                <w:szCs w:val="24"/>
                <w:highlight w:val="none"/>
                <w:lang w:eastAsia="zh-CN"/>
              </w:rPr>
              <w:t>m³</w:t>
            </w:r>
            <w:r>
              <w:rPr>
                <w:rFonts w:hint="default" w:ascii="Times New Roman" w:hAnsi="Times New Roman" w:eastAsia="宋体"/>
                <w:color w:val="auto"/>
                <w:sz w:val="24"/>
                <w:szCs w:val="24"/>
                <w:highlight w:val="none"/>
              </w:rPr>
              <w:t>/h</w:t>
            </w:r>
            <w:r>
              <w:rPr>
                <w:rFonts w:hint="default" w:ascii="Times New Roman" w:hAnsi="Times New Roman" w:eastAsia="宋体" w:cs="Segoe UI"/>
                <w:i w:val="0"/>
                <w:iCs w:val="0"/>
                <w:caps w:val="0"/>
                <w:color w:val="auto"/>
                <w:spacing w:val="0"/>
                <w:sz w:val="24"/>
                <w:szCs w:val="24"/>
                <w:highlight w:val="none"/>
                <w:shd w:val="clear" w:fill="FFFFFF"/>
              </w:rPr>
              <w:t>。</w:t>
            </w:r>
          </w:p>
          <w:p w14:paraId="1969440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olor w:val="auto"/>
                <w:highlight w:val="none"/>
                <w:lang w:val="en-US" w:eastAsia="zh-CN"/>
              </w:rPr>
            </w:pPr>
            <w:r>
              <w:rPr>
                <w:rFonts w:hint="default" w:ascii="Times New Roman" w:hAnsi="Times New Roman" w:eastAsia="宋体" w:cs="Segoe UI"/>
                <w:i w:val="0"/>
                <w:iCs w:val="0"/>
                <w:caps w:val="0"/>
                <w:color w:val="auto"/>
                <w:spacing w:val="0"/>
                <w:sz w:val="24"/>
                <w:szCs w:val="24"/>
                <w:highlight w:val="none"/>
                <w:shd w:val="clear" w:fill="FFFFFF"/>
              </w:rPr>
              <w:t>v为通风橱面风速，单位是</w:t>
            </w:r>
            <w:r>
              <w:rPr>
                <w:rFonts w:hint="eastAsia" w:ascii="Times New Roman" w:hAnsi="Times New Roman" w:eastAsia="宋体" w:cs="Segoe UI"/>
                <w:i w:val="0"/>
                <w:iCs w:val="0"/>
                <w:caps w:val="0"/>
                <w:color w:val="auto"/>
                <w:spacing w:val="0"/>
                <w:sz w:val="24"/>
                <w:szCs w:val="24"/>
                <w:highlight w:val="none"/>
                <w:shd w:val="clear" w:fill="FFFFFF"/>
                <w:lang w:val="en-US" w:eastAsia="zh-CN"/>
              </w:rPr>
              <w:t>m/s</w:t>
            </w:r>
            <w:r>
              <w:rPr>
                <w:rFonts w:hint="default" w:ascii="Times New Roman" w:hAnsi="Times New Roman" w:eastAsia="宋体" w:cs="Segoe UI"/>
                <w:i w:val="0"/>
                <w:iCs w:val="0"/>
                <w:caps w:val="0"/>
                <w:color w:val="auto"/>
                <w:spacing w:val="0"/>
                <w:sz w:val="24"/>
                <w:szCs w:val="24"/>
                <w:highlight w:val="none"/>
                <w:shd w:val="clear" w:fill="FFFFFF"/>
              </w:rPr>
              <w:t>。不同的使用场景和物质，面风速要求不同。例如，一般化学实验通风橱面风速取(0.5 - 1.5m/s)；对于有剧毒或高挥发性有害物质的实验，面风速可能取更高值。</w:t>
            </w:r>
            <w:r>
              <w:rPr>
                <w:rFonts w:hint="eastAsia" w:ascii="Times New Roman" w:hAnsi="Times New Roman" w:eastAsia="宋体" w:cs="Segoe UI"/>
                <w:i w:val="0"/>
                <w:iCs w:val="0"/>
                <w:caps w:val="0"/>
                <w:color w:val="auto"/>
                <w:spacing w:val="0"/>
                <w:sz w:val="24"/>
                <w:szCs w:val="24"/>
                <w:highlight w:val="none"/>
                <w:shd w:val="clear" w:fill="FFFFFF"/>
                <w:lang w:val="en-US" w:eastAsia="zh-CN"/>
              </w:rPr>
              <w:t>本项目取1m/s。</w:t>
            </w:r>
          </w:p>
          <w:p w14:paraId="298D8C8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olor w:val="auto"/>
                <w:highlight w:val="none"/>
              </w:rPr>
            </w:pPr>
            <w:r>
              <w:rPr>
                <w:rFonts w:hint="default" w:ascii="Times New Roman" w:hAnsi="Times New Roman" w:eastAsia="宋体" w:cs="Segoe UI"/>
                <w:i w:val="0"/>
                <w:iCs w:val="0"/>
                <w:caps w:val="0"/>
                <w:color w:val="auto"/>
                <w:spacing w:val="0"/>
                <w:sz w:val="24"/>
                <w:szCs w:val="24"/>
                <w:highlight w:val="none"/>
                <w:shd w:val="clear" w:fill="FFFFFF"/>
              </w:rPr>
              <w:t>A为通风橱操作口面积，单位是</w:t>
            </w:r>
            <w:r>
              <w:rPr>
                <w:rFonts w:hint="eastAsia" w:ascii="Times New Roman" w:hAnsi="Times New Roman" w:eastAsia="宋体" w:cs="Segoe UI"/>
                <w:i w:val="0"/>
                <w:iCs w:val="0"/>
                <w:caps w:val="0"/>
                <w:color w:val="auto"/>
                <w:spacing w:val="0"/>
                <w:sz w:val="24"/>
                <w:szCs w:val="24"/>
                <w:highlight w:val="none"/>
                <w:shd w:val="clear" w:fill="FFFFFF"/>
                <w:lang w:val="en-US" w:eastAsia="zh-CN"/>
              </w:rPr>
              <w:t>m</w:t>
            </w:r>
            <w:r>
              <w:rPr>
                <w:rFonts w:hint="eastAsia" w:ascii="Times New Roman" w:hAnsi="Times New Roman" w:eastAsia="宋体" w:cs="Segoe UI"/>
                <w:i w:val="0"/>
                <w:iCs w:val="0"/>
                <w:caps w:val="0"/>
                <w:color w:val="auto"/>
                <w:spacing w:val="0"/>
                <w:sz w:val="24"/>
                <w:szCs w:val="24"/>
                <w:highlight w:val="none"/>
                <w:shd w:val="clear" w:fill="FFFFFF"/>
                <w:vertAlign w:val="superscript"/>
                <w:lang w:val="en-US" w:eastAsia="zh-CN"/>
              </w:rPr>
              <w:t>2</w:t>
            </w:r>
            <w:r>
              <w:rPr>
                <w:rFonts w:hint="default" w:ascii="Times New Roman" w:hAnsi="Times New Roman" w:eastAsia="宋体" w:cs="Segoe UI"/>
                <w:i w:val="0"/>
                <w:iCs w:val="0"/>
                <w:caps w:val="0"/>
                <w:color w:val="auto"/>
                <w:spacing w:val="0"/>
                <w:sz w:val="24"/>
                <w:szCs w:val="24"/>
                <w:highlight w:val="none"/>
                <w:shd w:val="clear" w:fill="FFFFFF"/>
              </w:rPr>
              <w:t>。如果通风橱有多个操作口，需计算所有操作口的总面积。</w:t>
            </w:r>
          </w:p>
          <w:p w14:paraId="10E92DF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olor w:val="auto"/>
                <w:highlight w:val="none"/>
                <w:lang w:val="en-US" w:eastAsia="zh-CN"/>
              </w:rPr>
            </w:pPr>
            <w:r>
              <w:rPr>
                <w:rFonts w:hint="default" w:ascii="Times New Roman" w:hAnsi="Times New Roman" w:eastAsia="宋体" w:cs="Segoe UI"/>
                <w:i w:val="0"/>
                <w:iCs w:val="0"/>
                <w:caps w:val="0"/>
                <w:color w:val="auto"/>
                <w:spacing w:val="0"/>
                <w:sz w:val="24"/>
                <w:szCs w:val="24"/>
                <w:highlight w:val="none"/>
                <w:shd w:val="clear" w:fill="FFFFFF"/>
              </w:rPr>
              <w:t>K为安全系数，通常取(1.1 - 1.2)，主要是考虑到实际运行中可能出现的各种不利因素，如通风系统的阻力变化、面风速的不均匀性等，以确保通风效果的可靠性。</w:t>
            </w:r>
            <w:r>
              <w:rPr>
                <w:rFonts w:hint="eastAsia" w:ascii="Times New Roman" w:hAnsi="Times New Roman" w:eastAsia="宋体" w:cs="Segoe UI"/>
                <w:i w:val="0"/>
                <w:iCs w:val="0"/>
                <w:caps w:val="0"/>
                <w:color w:val="auto"/>
                <w:spacing w:val="0"/>
                <w:sz w:val="24"/>
                <w:szCs w:val="24"/>
                <w:highlight w:val="none"/>
                <w:shd w:val="clear" w:fill="FFFFFF"/>
                <w:lang w:val="en-US" w:eastAsia="zh-CN"/>
              </w:rPr>
              <w:t>本项目取1.2。</w:t>
            </w:r>
          </w:p>
          <w:p w14:paraId="2D57C1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b/>
                <w:bCs/>
                <w:color w:val="auto"/>
                <w:sz w:val="24"/>
                <w:highlight w:val="none"/>
              </w:rPr>
            </w:pPr>
            <w:r>
              <w:rPr>
                <w:rFonts w:hint="eastAsia" w:cs="Times New Roman"/>
                <w:b/>
                <w:bCs/>
                <w:color w:val="auto"/>
                <w:sz w:val="24"/>
                <w:highlight w:val="none"/>
                <w:lang w:val="en-US" w:eastAsia="zh-CN"/>
              </w:rPr>
              <w:t>B.设备半密闭抽风收集风</w:t>
            </w:r>
            <w:r>
              <w:rPr>
                <w:rFonts w:hint="default" w:ascii="Times New Roman" w:hAnsi="Times New Roman" w:cs="Times New Roman"/>
                <w:b/>
                <w:bCs/>
                <w:color w:val="auto"/>
                <w:sz w:val="24"/>
                <w:highlight w:val="none"/>
              </w:rPr>
              <w:t>量</w:t>
            </w:r>
          </w:p>
          <w:p w14:paraId="0B921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highlight w:val="none"/>
                <w:lang w:val="en-US" w:eastAsia="zh-CN"/>
              </w:rPr>
              <w:t>设备半密闭抽风</w:t>
            </w:r>
            <w:r>
              <w:rPr>
                <w:rFonts w:hint="eastAsia" w:cs="Times New Roman"/>
                <w:color w:val="auto"/>
                <w:sz w:val="24"/>
                <w:highlight w:val="none"/>
                <w:lang w:eastAsia="zh-CN"/>
              </w:rPr>
              <w:t>收集</w:t>
            </w:r>
            <w:r>
              <w:rPr>
                <w:rFonts w:hint="default" w:ascii="Times New Roman" w:hAnsi="Times New Roman" w:cs="Times New Roman"/>
                <w:color w:val="auto"/>
                <w:sz w:val="24"/>
                <w:highlight w:val="none"/>
              </w:rPr>
              <w:t>风量按下式计算：</w:t>
            </w:r>
          </w:p>
          <w:p w14:paraId="67543F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w:t>
            </w:r>
            <w:r>
              <w:rPr>
                <w:rFonts w:hint="default" w:ascii="Times New Roman" w:hAnsi="Times New Roman" w:cs="Times New Roman"/>
                <w:color w:val="auto"/>
                <w:sz w:val="24"/>
                <w:highlight w:val="none"/>
                <w:lang w:val="en-US" w:eastAsia="zh-CN"/>
              </w:rPr>
              <w:t>π</w:t>
            </w:r>
            <w:r>
              <w:rPr>
                <w:rFonts w:hint="eastAsia" w:cs="Times New Roman"/>
                <w:color w:val="auto"/>
                <w:sz w:val="24"/>
                <w:highlight w:val="none"/>
                <w:lang w:val="en-US" w:eastAsia="zh-CN"/>
              </w:rPr>
              <w:t>r</w:t>
            </w:r>
            <w:r>
              <w:rPr>
                <w:rFonts w:hint="eastAsia" w:cs="Times New Roman"/>
                <w:color w:val="auto"/>
                <w:sz w:val="24"/>
                <w:highlight w:val="none"/>
                <w:vertAlign w:val="superscript"/>
                <w:lang w:val="en-US" w:eastAsia="zh-CN"/>
              </w:rPr>
              <w:t>2</w:t>
            </w:r>
            <w:r>
              <w:rPr>
                <w:rFonts w:hint="default" w:ascii="Times New Roman" w:hAnsi="Times New Roman" w:cs="Times New Roman"/>
                <w:color w:val="auto"/>
                <w:sz w:val="24"/>
                <w:highlight w:val="none"/>
              </w:rPr>
              <w:t>*V*3600（m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p>
          <w:p w14:paraId="31413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式中：Q—风量，m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p>
          <w:p w14:paraId="659DD0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w:t>
            </w:r>
            <w:r>
              <w:rPr>
                <w:rFonts w:hint="eastAsia" w:cs="Times New Roman"/>
                <w:color w:val="auto"/>
                <w:sz w:val="24"/>
                <w:highlight w:val="none"/>
                <w:lang w:eastAsia="zh-CN"/>
              </w:rPr>
              <w:t>管道内</w:t>
            </w:r>
            <w:r>
              <w:rPr>
                <w:rFonts w:hint="default" w:ascii="Times New Roman" w:hAnsi="Times New Roman" w:cs="Times New Roman"/>
                <w:color w:val="auto"/>
                <w:sz w:val="24"/>
                <w:highlight w:val="none"/>
              </w:rPr>
              <w:t>平均风速，m/s，</w:t>
            </w:r>
            <w:r>
              <w:rPr>
                <w:rFonts w:hint="default" w:ascii="Times New Roman" w:hAnsi="Times New Roman" w:cs="Times New Roman"/>
                <w:color w:val="auto"/>
                <w:sz w:val="24"/>
                <w:highlight w:val="none"/>
                <w:lang w:val="en-US" w:eastAsia="zh-CN"/>
              </w:rPr>
              <w:t>对于一般的通风管道系统，常见的设计风速范围可能在(5 - 15m/s)左右</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本项目取</w:t>
            </w:r>
            <w:r>
              <w:rPr>
                <w:rFonts w:hint="eastAsia" w:cs="Times New Roman"/>
                <w:color w:val="auto"/>
                <w:sz w:val="24"/>
                <w:highlight w:val="none"/>
                <w:lang w:val="en-US" w:eastAsia="zh-CN"/>
              </w:rPr>
              <w:t>10</w:t>
            </w:r>
            <w:r>
              <w:rPr>
                <w:rFonts w:hint="default" w:ascii="Times New Roman" w:hAnsi="Times New Roman" w:cs="Times New Roman"/>
                <w:color w:val="auto"/>
                <w:sz w:val="24"/>
                <w:highlight w:val="none"/>
              </w:rPr>
              <w:t>m/s；</w:t>
            </w:r>
          </w:p>
          <w:p w14:paraId="19130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1200" w:firstLineChars="500"/>
              <w:jc w:val="left"/>
              <w:textAlignment w:val="auto"/>
              <w:rPr>
                <w:rFonts w:hint="default" w:eastAsia="宋体"/>
                <w:b w:val="0"/>
                <w:bCs w:val="0"/>
                <w:color w:val="auto"/>
                <w:sz w:val="24"/>
                <w:highlight w:val="none"/>
                <w:lang w:val="en-US" w:eastAsia="zh-CN"/>
              </w:rPr>
            </w:pPr>
            <w:r>
              <w:rPr>
                <w:rFonts w:hint="eastAsia" w:cs="Times New Roman"/>
                <w:color w:val="auto"/>
                <w:sz w:val="24"/>
                <w:highlight w:val="none"/>
                <w:lang w:val="en-US" w:eastAsia="zh-CN"/>
              </w:rPr>
              <w:t>r-管道半径</w:t>
            </w:r>
            <w:r>
              <w:rPr>
                <w:rFonts w:hint="default" w:ascii="Times New Roman" w:hAnsi="Times New Roman" w:cs="Times New Roman"/>
                <w:color w:val="auto"/>
                <w:sz w:val="24"/>
                <w:highlight w:val="none"/>
              </w:rPr>
              <w:t>，m。</w:t>
            </w:r>
            <w:r>
              <w:rPr>
                <w:rFonts w:hint="eastAsia" w:ascii="Times New Roman" w:hAnsi="Times New Roman" w:cs="Times New Roman"/>
                <w:color w:val="auto"/>
                <w:sz w:val="24"/>
                <w:highlight w:val="none"/>
                <w:lang w:val="en-US" w:eastAsia="zh-CN"/>
              </w:rPr>
              <w:t>本项目取0.05m。</w:t>
            </w:r>
          </w:p>
          <w:p w14:paraId="2F69AC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b w:val="0"/>
                <w:bCs w:val="0"/>
                <w:color w:val="auto"/>
                <w:sz w:val="24"/>
                <w:highlight w:val="none"/>
                <w:lang w:val="en-US" w:eastAsia="zh-CN"/>
              </w:rPr>
            </w:pPr>
            <w:r>
              <w:rPr>
                <w:rFonts w:hint="eastAsia" w:ascii="Times New Roman" w:eastAsia="宋体"/>
                <w:b w:val="0"/>
                <w:bCs w:val="0"/>
                <w:color w:val="auto"/>
                <w:sz w:val="24"/>
                <w:highlight w:val="none"/>
                <w:lang w:val="en-US" w:eastAsia="zh-CN"/>
              </w:rPr>
              <w:t>根据企业提供的废气方案，</w:t>
            </w:r>
            <w:r>
              <w:rPr>
                <w:rFonts w:hint="eastAsia" w:ascii="Times New Roman"/>
                <w:b w:val="0"/>
                <w:bCs w:val="0"/>
                <w:color w:val="auto"/>
                <w:sz w:val="24"/>
                <w:highlight w:val="none"/>
                <w:lang w:val="en-US" w:eastAsia="zh-CN"/>
              </w:rPr>
              <w:t>本项目对喷涂硅油-脱模剂废气采用通风橱进行收集，1-4号楼内分别布置1个喷涂硅油-脱模剂工位，共计布置4个通风橱；对精细抛光工段采用</w:t>
            </w:r>
            <w:r>
              <w:rPr>
                <w:rFonts w:hint="default" w:ascii="Times New Roman" w:hAnsi="Times New Roman" w:cs="Times New Roman"/>
                <w:color w:val="auto"/>
                <w:sz w:val="24"/>
                <w:szCs w:val="24"/>
                <w:highlight w:val="none"/>
              </w:rPr>
              <w:t>抽风装置收集废气</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本项目全厂新增新型抛光机共计150台，布置情况如下：3号楼新增36台、2号楼新增38台、1号楼布置38台、4号楼布置38台，共计布置4个抽风装置。</w:t>
            </w:r>
          </w:p>
          <w:p w14:paraId="63BF84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b/>
                <w:bCs/>
                <w:color w:val="auto"/>
                <w:sz w:val="24"/>
                <w:highlight w:val="none"/>
              </w:rPr>
            </w:pPr>
            <w:r>
              <w:rPr>
                <w:rFonts w:hint="eastAsia" w:ascii="Times New Roman" w:eastAsia="宋体"/>
                <w:b w:val="0"/>
                <w:bCs w:val="0"/>
                <w:color w:val="auto"/>
                <w:sz w:val="24"/>
                <w:highlight w:val="none"/>
                <w:lang w:val="en-US" w:eastAsia="zh-CN"/>
              </w:rPr>
              <w:t>本项目具体所需风量计算见下表：</w:t>
            </w:r>
          </w:p>
          <w:p w14:paraId="20FC96EF">
            <w:pPr>
              <w:pStyle w:val="4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-7  </w:t>
            </w:r>
            <w:r>
              <w:rPr>
                <w:rFonts w:hint="eastAsia" w:ascii="Times New Roman" w:hAnsi="Times New Roman" w:eastAsia="宋体" w:cs="Times New Roman"/>
                <w:b/>
                <w:bCs/>
                <w:color w:val="auto"/>
                <w:sz w:val="24"/>
                <w:highlight w:val="none"/>
              </w:rPr>
              <w:t>废气</w:t>
            </w:r>
            <w:r>
              <w:rPr>
                <w:rFonts w:hint="eastAsia" w:ascii="Times New Roman" w:hAnsi="Times New Roman" w:eastAsia="宋体" w:cs="Times New Roman"/>
                <w:b/>
                <w:bCs/>
                <w:color w:val="auto"/>
                <w:sz w:val="24"/>
                <w:highlight w:val="none"/>
                <w:lang w:eastAsia="zh-CN"/>
              </w:rPr>
              <w:t>收集方式及</w:t>
            </w:r>
            <w:r>
              <w:rPr>
                <w:rFonts w:hint="eastAsia" w:ascii="Times New Roman" w:hAnsi="Times New Roman" w:eastAsia="宋体" w:cs="Times New Roman"/>
                <w:b/>
                <w:bCs/>
                <w:color w:val="auto"/>
                <w:sz w:val="24"/>
                <w:highlight w:val="none"/>
                <w:lang w:val="en-US" w:eastAsia="zh-CN"/>
              </w:rPr>
              <w:t>风量计算一览表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38"/>
              <w:gridCol w:w="859"/>
              <w:gridCol w:w="1834"/>
              <w:gridCol w:w="616"/>
              <w:gridCol w:w="1397"/>
              <w:gridCol w:w="1430"/>
              <w:gridCol w:w="796"/>
            </w:tblGrid>
            <w:tr w14:paraId="4159E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13" w:type="pct"/>
                  <w:gridSpan w:val="2"/>
                  <w:tcBorders>
                    <w:tl2br w:val="nil"/>
                    <w:tr2bl w:val="nil"/>
                  </w:tcBorders>
                  <w:vAlign w:val="center"/>
                </w:tcPr>
                <w:p w14:paraId="2C082A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产生工序</w:t>
                  </w:r>
                </w:p>
              </w:tc>
              <w:tc>
                <w:tcPr>
                  <w:tcW w:w="554" w:type="pct"/>
                  <w:tcBorders>
                    <w:tl2br w:val="nil"/>
                    <w:tr2bl w:val="nil"/>
                  </w:tcBorders>
                  <w:vAlign w:val="center"/>
                </w:tcPr>
                <w:p w14:paraId="0CE74D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收集方式</w:t>
                  </w:r>
                </w:p>
              </w:tc>
              <w:tc>
                <w:tcPr>
                  <w:tcW w:w="842" w:type="pct"/>
                  <w:tcBorders>
                    <w:tl2br w:val="nil"/>
                    <w:tr2bl w:val="nil"/>
                  </w:tcBorders>
                  <w:vAlign w:val="center"/>
                </w:tcPr>
                <w:p w14:paraId="4F0EC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参数</w:t>
                  </w:r>
                </w:p>
              </w:tc>
              <w:tc>
                <w:tcPr>
                  <w:tcW w:w="411" w:type="pct"/>
                  <w:tcBorders>
                    <w:tl2br w:val="nil"/>
                    <w:tr2bl w:val="nil"/>
                  </w:tcBorders>
                  <w:vAlign w:val="center"/>
                </w:tcPr>
                <w:p w14:paraId="017EC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数量</w:t>
                  </w:r>
                </w:p>
              </w:tc>
              <w:tc>
                <w:tcPr>
                  <w:tcW w:w="870" w:type="pct"/>
                  <w:tcBorders>
                    <w:tl2br w:val="nil"/>
                    <w:tr2bl w:val="nil"/>
                  </w:tcBorders>
                  <w:vAlign w:val="center"/>
                </w:tcPr>
                <w:p w14:paraId="5FB29A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计算</w:t>
                  </w:r>
                  <w:r>
                    <w:rPr>
                      <w:rFonts w:hint="default" w:ascii="Times New Roman" w:hAnsi="Times New Roman" w:eastAsia="宋体" w:cs="Times New Roman"/>
                      <w:b/>
                      <w:bCs/>
                      <w:color w:val="auto"/>
                      <w:sz w:val="21"/>
                      <w:szCs w:val="21"/>
                      <w:highlight w:val="none"/>
                      <w:vertAlign w:val="baseline"/>
                      <w:lang w:val="en-US" w:eastAsia="zh-CN"/>
                    </w:rPr>
                    <w:t>风机</w:t>
                  </w:r>
                </w:p>
                <w:p w14:paraId="4AAE4D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风量（</w:t>
                  </w:r>
                  <w:r>
                    <w:rPr>
                      <w:rFonts w:hint="eastAsia" w:cs="Times New Roman"/>
                      <w:b/>
                      <w:bCs/>
                      <w:i w:val="0"/>
                      <w:iCs w:val="0"/>
                      <w:color w:val="auto"/>
                      <w:kern w:val="0"/>
                      <w:sz w:val="21"/>
                      <w:szCs w:val="21"/>
                      <w:highlight w:val="none"/>
                      <w:u w:val="none"/>
                      <w:lang w:val="en-US" w:eastAsia="zh-CN" w:bidi="ar"/>
                    </w:rPr>
                    <w:t>m³</w:t>
                  </w:r>
                  <w:r>
                    <w:rPr>
                      <w:rFonts w:hint="default" w:ascii="Times New Roman" w:hAnsi="Times New Roman" w:eastAsia="宋体" w:cs="Times New Roman"/>
                      <w:b/>
                      <w:bCs/>
                      <w:i w:val="0"/>
                      <w:iCs w:val="0"/>
                      <w:color w:val="auto"/>
                      <w:kern w:val="0"/>
                      <w:sz w:val="21"/>
                      <w:szCs w:val="21"/>
                      <w:highlight w:val="none"/>
                      <w:u w:val="none"/>
                      <w:lang w:val="en-US" w:eastAsia="zh-CN" w:bidi="ar"/>
                    </w:rPr>
                    <w:t>/h</w:t>
                  </w:r>
                  <w:r>
                    <w:rPr>
                      <w:rFonts w:hint="default" w:ascii="Times New Roman" w:hAnsi="Times New Roman" w:eastAsia="宋体" w:cs="Times New Roman"/>
                      <w:b/>
                      <w:bCs/>
                      <w:color w:val="auto"/>
                      <w:sz w:val="21"/>
                      <w:szCs w:val="21"/>
                      <w:highlight w:val="none"/>
                      <w:vertAlign w:val="baseline"/>
                      <w:lang w:val="en-US" w:eastAsia="zh-CN"/>
                    </w:rPr>
                    <w:t>）</w:t>
                  </w:r>
                </w:p>
              </w:tc>
              <w:tc>
                <w:tcPr>
                  <w:tcW w:w="889" w:type="pct"/>
                  <w:tcBorders>
                    <w:tl2br w:val="nil"/>
                    <w:tr2bl w:val="nil"/>
                  </w:tcBorders>
                  <w:vAlign w:val="center"/>
                </w:tcPr>
                <w:p w14:paraId="15D69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设计</w:t>
                  </w:r>
                  <w:r>
                    <w:rPr>
                      <w:rFonts w:hint="default" w:ascii="Times New Roman" w:hAnsi="Times New Roman" w:eastAsia="宋体" w:cs="Times New Roman"/>
                      <w:b/>
                      <w:bCs/>
                      <w:color w:val="auto"/>
                      <w:sz w:val="21"/>
                      <w:szCs w:val="21"/>
                      <w:highlight w:val="none"/>
                      <w:vertAlign w:val="baseline"/>
                      <w:lang w:val="en-US" w:eastAsia="zh-CN"/>
                    </w:rPr>
                    <w:t>风量（</w:t>
                  </w:r>
                  <w:r>
                    <w:rPr>
                      <w:rFonts w:hint="eastAsia" w:cs="Times New Roman"/>
                      <w:b/>
                      <w:bCs/>
                      <w:i w:val="0"/>
                      <w:iCs w:val="0"/>
                      <w:color w:val="auto"/>
                      <w:kern w:val="0"/>
                      <w:sz w:val="21"/>
                      <w:szCs w:val="21"/>
                      <w:highlight w:val="none"/>
                      <w:u w:val="none"/>
                      <w:lang w:val="en-US" w:eastAsia="zh-CN" w:bidi="ar"/>
                    </w:rPr>
                    <w:t>m</w:t>
                  </w:r>
                  <w:r>
                    <w:rPr>
                      <w:rFonts w:hint="eastAsia"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/h</w:t>
                  </w:r>
                  <w:r>
                    <w:rPr>
                      <w:rFonts w:hint="default" w:ascii="Times New Roman" w:hAnsi="Times New Roman" w:eastAsia="宋体" w:cs="Times New Roman"/>
                      <w:b/>
                      <w:bCs/>
                      <w:color w:val="auto"/>
                      <w:sz w:val="21"/>
                      <w:szCs w:val="21"/>
                      <w:highlight w:val="none"/>
                      <w:vertAlign w:val="baseline"/>
                      <w:lang w:val="en-US" w:eastAsia="zh-CN"/>
                    </w:rPr>
                    <w:t>）</w:t>
                  </w:r>
                </w:p>
              </w:tc>
              <w:tc>
                <w:tcPr>
                  <w:tcW w:w="516" w:type="pct"/>
                  <w:tcBorders>
                    <w:tl2br w:val="nil"/>
                    <w:tr2bl w:val="nil"/>
                  </w:tcBorders>
                  <w:vAlign w:val="center"/>
                </w:tcPr>
                <w:p w14:paraId="7E1FEF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w:t>
                  </w:r>
                </w:p>
                <w:p w14:paraId="0CD6BA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方式</w:t>
                  </w:r>
                </w:p>
              </w:tc>
            </w:tr>
            <w:tr w14:paraId="20875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95" w:type="pct"/>
                  <w:vMerge w:val="restart"/>
                  <w:tcBorders>
                    <w:tl2br w:val="nil"/>
                    <w:tr2bl w:val="nil"/>
                  </w:tcBorders>
                  <w:vAlign w:val="center"/>
                </w:tcPr>
                <w:p w14:paraId="6F9E51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宋体" w:hAnsi="宋体" w:cs="宋体"/>
                      <w:b w:val="0"/>
                      <w:bCs w:val="0"/>
                      <w:i w:val="0"/>
                      <w:iCs w:val="0"/>
                      <w:color w:val="auto"/>
                      <w:kern w:val="0"/>
                      <w:sz w:val="21"/>
                      <w:szCs w:val="21"/>
                      <w:highlight w:val="none"/>
                      <w:u w:val="none"/>
                      <w:lang w:val="en-US" w:eastAsia="zh-CN" w:bidi="ar"/>
                    </w:rPr>
                    <w:t>生产</w:t>
                  </w:r>
                  <w:r>
                    <w:rPr>
                      <w:rFonts w:hint="eastAsia" w:ascii="宋体" w:hAnsi="宋体" w:eastAsia="宋体" w:cs="宋体"/>
                      <w:b w:val="0"/>
                      <w:bCs w:val="0"/>
                      <w:i w:val="0"/>
                      <w:iCs w:val="0"/>
                      <w:color w:val="auto"/>
                      <w:kern w:val="0"/>
                      <w:sz w:val="21"/>
                      <w:szCs w:val="21"/>
                      <w:highlight w:val="none"/>
                      <w:u w:val="none"/>
                      <w:lang w:val="en-US" w:eastAsia="zh-CN" w:bidi="ar"/>
                    </w:rPr>
                    <w:t>车间</w:t>
                  </w:r>
                </w:p>
              </w:tc>
              <w:tc>
                <w:tcPr>
                  <w:tcW w:w="717" w:type="pct"/>
                  <w:tcBorders>
                    <w:tl2br w:val="nil"/>
                    <w:tr2bl w:val="nil"/>
                  </w:tcBorders>
                  <w:vAlign w:val="center"/>
                </w:tcPr>
                <w:p w14:paraId="567A48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3号楼喷涂硅油-脱模剂</w:t>
                  </w:r>
                  <w:r>
                    <w:rPr>
                      <w:rFonts w:hint="eastAsia" w:ascii="Times New Roman" w:hAnsi="Times New Roman" w:eastAsia="宋体" w:cs="Times New Roman"/>
                      <w:b w:val="0"/>
                      <w:bCs w:val="0"/>
                      <w:color w:val="auto"/>
                      <w:sz w:val="21"/>
                      <w:szCs w:val="21"/>
                      <w:highlight w:val="none"/>
                      <w:vertAlign w:val="baseline"/>
                      <w:lang w:val="en-US" w:eastAsia="zh-CN"/>
                    </w:rPr>
                    <w:t>废气</w:t>
                  </w:r>
                </w:p>
              </w:tc>
              <w:tc>
                <w:tcPr>
                  <w:tcW w:w="554" w:type="pct"/>
                  <w:tcBorders>
                    <w:tl2br w:val="nil"/>
                    <w:tr2bl w:val="nil"/>
                  </w:tcBorders>
                  <w:vAlign w:val="center"/>
                </w:tcPr>
                <w:p w14:paraId="24AD4A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通风橱收集</w:t>
                  </w:r>
                </w:p>
              </w:tc>
              <w:tc>
                <w:tcPr>
                  <w:tcW w:w="842" w:type="pct"/>
                  <w:vMerge w:val="restart"/>
                  <w:tcBorders>
                    <w:tl2br w:val="nil"/>
                    <w:tr2bl w:val="nil"/>
                  </w:tcBorders>
                  <w:vAlign w:val="center"/>
                </w:tcPr>
                <w:p w14:paraId="40A658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宋体"/>
                      <w:b w:val="0"/>
                      <w:bCs w:val="0"/>
                      <w:i w:val="0"/>
                      <w:iCs w:val="0"/>
                      <w:color w:val="auto"/>
                      <w:kern w:val="0"/>
                      <w:sz w:val="21"/>
                      <w:szCs w:val="21"/>
                      <w:highlight w:val="none"/>
                      <w:u w:val="none"/>
                      <w:lang w:val="en-US" w:eastAsia="zh-CN" w:bidi="ar"/>
                    </w:rPr>
                    <w:t>A=0.5×0.6=0.3m</w:t>
                  </w:r>
                  <w:r>
                    <w:rPr>
                      <w:rFonts w:hint="eastAsia" w:ascii="Times New Roman" w:hAnsi="Times New Roman" w:eastAsia="宋体" w:cs="宋体"/>
                      <w:b w:val="0"/>
                      <w:bCs w:val="0"/>
                      <w:i w:val="0"/>
                      <w:iCs w:val="0"/>
                      <w:color w:val="auto"/>
                      <w:kern w:val="0"/>
                      <w:sz w:val="21"/>
                      <w:szCs w:val="21"/>
                      <w:highlight w:val="none"/>
                      <w:u w:val="none"/>
                      <w:vertAlign w:val="superscript"/>
                      <w:lang w:val="en-US" w:eastAsia="zh-CN" w:bidi="ar"/>
                    </w:rPr>
                    <w:t>2</w:t>
                  </w:r>
                </w:p>
              </w:tc>
              <w:tc>
                <w:tcPr>
                  <w:tcW w:w="411" w:type="pct"/>
                  <w:tcBorders>
                    <w:tl2br w:val="nil"/>
                    <w:tr2bl w:val="nil"/>
                  </w:tcBorders>
                  <w:vAlign w:val="center"/>
                </w:tcPr>
                <w:p w14:paraId="5B1F41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870" w:type="pct"/>
                  <w:tcBorders>
                    <w:tl2br w:val="nil"/>
                    <w:tr2bl w:val="nil"/>
                  </w:tcBorders>
                  <w:vAlign w:val="center"/>
                </w:tcPr>
                <w:p w14:paraId="54C30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1296</w:t>
                  </w:r>
                </w:p>
              </w:tc>
              <w:tc>
                <w:tcPr>
                  <w:tcW w:w="889" w:type="pct"/>
                  <w:tcBorders>
                    <w:tl2br w:val="nil"/>
                    <w:tr2bl w:val="nil"/>
                  </w:tcBorders>
                  <w:vAlign w:val="center"/>
                </w:tcPr>
                <w:p w14:paraId="1FBE6C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1500</w:t>
                  </w:r>
                </w:p>
              </w:tc>
              <w:tc>
                <w:tcPr>
                  <w:tcW w:w="516" w:type="pct"/>
                  <w:tcBorders>
                    <w:tl2br w:val="nil"/>
                    <w:tr2bl w:val="nil"/>
                  </w:tcBorders>
                  <w:vAlign w:val="center"/>
                </w:tcPr>
                <w:p w14:paraId="01757FE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b w:val="0"/>
                      <w:bCs w:val="0"/>
                      <w:color w:val="auto"/>
                      <w:sz w:val="21"/>
                      <w:szCs w:val="21"/>
                      <w:highlight w:val="none"/>
                      <w:vertAlign w:val="baseline"/>
                      <w:lang w:val="en-US" w:eastAsia="zh-CN"/>
                    </w:rPr>
                    <w:t>FQ07</w:t>
                  </w:r>
                </w:p>
              </w:tc>
            </w:tr>
            <w:tr w14:paraId="4FA66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95" w:type="pct"/>
                  <w:vMerge w:val="continue"/>
                  <w:tcBorders>
                    <w:tl2br w:val="nil"/>
                    <w:tr2bl w:val="nil"/>
                  </w:tcBorders>
                  <w:vAlign w:val="center"/>
                </w:tcPr>
                <w:p w14:paraId="3A49B8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717" w:type="pct"/>
                  <w:tcBorders>
                    <w:tl2br w:val="nil"/>
                    <w:tr2bl w:val="nil"/>
                  </w:tcBorders>
                  <w:vAlign w:val="center"/>
                </w:tcPr>
                <w:p w14:paraId="6B76BD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1号楼喷涂硅油-脱模剂</w:t>
                  </w:r>
                  <w:r>
                    <w:rPr>
                      <w:rFonts w:hint="eastAsia" w:ascii="Times New Roman" w:hAnsi="Times New Roman" w:eastAsia="宋体" w:cs="Times New Roman"/>
                      <w:b w:val="0"/>
                      <w:bCs w:val="0"/>
                      <w:color w:val="auto"/>
                      <w:sz w:val="21"/>
                      <w:szCs w:val="21"/>
                      <w:highlight w:val="none"/>
                      <w:vertAlign w:val="baseline"/>
                      <w:lang w:val="en-US" w:eastAsia="zh-CN"/>
                    </w:rPr>
                    <w:t>废气</w:t>
                  </w:r>
                </w:p>
              </w:tc>
              <w:tc>
                <w:tcPr>
                  <w:tcW w:w="554" w:type="pct"/>
                  <w:tcBorders>
                    <w:tl2br w:val="nil"/>
                    <w:tr2bl w:val="nil"/>
                  </w:tcBorders>
                  <w:vAlign w:val="center"/>
                </w:tcPr>
                <w:p w14:paraId="6B3580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通风橱收集</w:t>
                  </w:r>
                </w:p>
              </w:tc>
              <w:tc>
                <w:tcPr>
                  <w:tcW w:w="842" w:type="pct"/>
                  <w:vMerge w:val="continue"/>
                  <w:tcBorders>
                    <w:tl2br w:val="nil"/>
                    <w:tr2bl w:val="nil"/>
                  </w:tcBorders>
                  <w:vAlign w:val="center"/>
                </w:tcPr>
                <w:p w14:paraId="545D1E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p>
              </w:tc>
              <w:tc>
                <w:tcPr>
                  <w:tcW w:w="411" w:type="pct"/>
                  <w:tcBorders>
                    <w:tl2br w:val="nil"/>
                    <w:tr2bl w:val="nil"/>
                  </w:tcBorders>
                  <w:vAlign w:val="center"/>
                </w:tcPr>
                <w:p w14:paraId="45D0E0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870" w:type="pct"/>
                  <w:tcBorders>
                    <w:tl2br w:val="nil"/>
                    <w:tr2bl w:val="nil"/>
                  </w:tcBorders>
                  <w:vAlign w:val="center"/>
                </w:tcPr>
                <w:p w14:paraId="716F2D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1296</w:t>
                  </w:r>
                </w:p>
              </w:tc>
              <w:tc>
                <w:tcPr>
                  <w:tcW w:w="889" w:type="pct"/>
                  <w:tcBorders>
                    <w:tl2br w:val="nil"/>
                    <w:tr2bl w:val="nil"/>
                  </w:tcBorders>
                  <w:vAlign w:val="center"/>
                </w:tcPr>
                <w:p w14:paraId="28DE3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1500</w:t>
                  </w:r>
                </w:p>
              </w:tc>
              <w:tc>
                <w:tcPr>
                  <w:tcW w:w="516" w:type="pct"/>
                  <w:tcBorders>
                    <w:tl2br w:val="nil"/>
                    <w:tr2bl w:val="nil"/>
                  </w:tcBorders>
                  <w:vAlign w:val="center"/>
                </w:tcPr>
                <w:p w14:paraId="36B37F8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FQ09</w:t>
                  </w:r>
                </w:p>
              </w:tc>
            </w:tr>
            <w:tr w14:paraId="03909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95" w:type="pct"/>
                  <w:vMerge w:val="continue"/>
                  <w:tcBorders>
                    <w:tl2br w:val="nil"/>
                    <w:tr2bl w:val="nil"/>
                  </w:tcBorders>
                  <w:vAlign w:val="center"/>
                </w:tcPr>
                <w:p w14:paraId="36539C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717" w:type="pct"/>
                  <w:tcBorders>
                    <w:tl2br w:val="nil"/>
                    <w:tr2bl w:val="nil"/>
                  </w:tcBorders>
                  <w:vAlign w:val="center"/>
                </w:tcPr>
                <w:p w14:paraId="6AB8D2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2号楼喷涂硅油-脱模剂</w:t>
                  </w:r>
                  <w:r>
                    <w:rPr>
                      <w:rFonts w:hint="eastAsia" w:ascii="Times New Roman" w:hAnsi="Times New Roman" w:eastAsia="宋体" w:cs="Times New Roman"/>
                      <w:b w:val="0"/>
                      <w:bCs w:val="0"/>
                      <w:color w:val="auto"/>
                      <w:sz w:val="21"/>
                      <w:szCs w:val="21"/>
                      <w:highlight w:val="none"/>
                      <w:vertAlign w:val="baseline"/>
                      <w:lang w:val="en-US" w:eastAsia="zh-CN"/>
                    </w:rPr>
                    <w:t>废气</w:t>
                  </w:r>
                </w:p>
              </w:tc>
              <w:tc>
                <w:tcPr>
                  <w:tcW w:w="554" w:type="pct"/>
                  <w:tcBorders>
                    <w:tl2br w:val="nil"/>
                    <w:tr2bl w:val="nil"/>
                  </w:tcBorders>
                  <w:vAlign w:val="center"/>
                </w:tcPr>
                <w:p w14:paraId="70A925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通风橱收集</w:t>
                  </w:r>
                </w:p>
              </w:tc>
              <w:tc>
                <w:tcPr>
                  <w:tcW w:w="842" w:type="pct"/>
                  <w:vMerge w:val="continue"/>
                  <w:tcBorders>
                    <w:tl2br w:val="nil"/>
                    <w:tr2bl w:val="nil"/>
                  </w:tcBorders>
                  <w:vAlign w:val="center"/>
                </w:tcPr>
                <w:p w14:paraId="7F3488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p>
              </w:tc>
              <w:tc>
                <w:tcPr>
                  <w:tcW w:w="411" w:type="pct"/>
                  <w:tcBorders>
                    <w:tl2br w:val="nil"/>
                    <w:tr2bl w:val="nil"/>
                  </w:tcBorders>
                  <w:vAlign w:val="center"/>
                </w:tcPr>
                <w:p w14:paraId="79D6C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870" w:type="pct"/>
                  <w:tcBorders>
                    <w:tl2br w:val="nil"/>
                    <w:tr2bl w:val="nil"/>
                  </w:tcBorders>
                  <w:vAlign w:val="center"/>
                </w:tcPr>
                <w:p w14:paraId="3BA6E7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1296</w:t>
                  </w:r>
                </w:p>
              </w:tc>
              <w:tc>
                <w:tcPr>
                  <w:tcW w:w="889" w:type="pct"/>
                  <w:tcBorders>
                    <w:tl2br w:val="nil"/>
                    <w:tr2bl w:val="nil"/>
                  </w:tcBorders>
                  <w:vAlign w:val="center"/>
                </w:tcPr>
                <w:p w14:paraId="4E1612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1500</w:t>
                  </w:r>
                </w:p>
              </w:tc>
              <w:tc>
                <w:tcPr>
                  <w:tcW w:w="516" w:type="pct"/>
                  <w:tcBorders>
                    <w:tl2br w:val="nil"/>
                    <w:tr2bl w:val="nil"/>
                  </w:tcBorders>
                  <w:vAlign w:val="center"/>
                </w:tcPr>
                <w:p w14:paraId="4C38E6C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FQ10</w:t>
                  </w:r>
                </w:p>
              </w:tc>
            </w:tr>
            <w:tr w14:paraId="4F694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95" w:type="pct"/>
                  <w:vMerge w:val="continue"/>
                  <w:tcBorders>
                    <w:tl2br w:val="nil"/>
                    <w:tr2bl w:val="nil"/>
                  </w:tcBorders>
                  <w:vAlign w:val="center"/>
                </w:tcPr>
                <w:p w14:paraId="15EDDD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717" w:type="pct"/>
                  <w:tcBorders>
                    <w:tl2br w:val="nil"/>
                    <w:tr2bl w:val="nil"/>
                  </w:tcBorders>
                  <w:vAlign w:val="center"/>
                </w:tcPr>
                <w:p w14:paraId="30849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4号楼喷涂硅油-脱模剂</w:t>
                  </w:r>
                  <w:r>
                    <w:rPr>
                      <w:rFonts w:hint="eastAsia" w:ascii="Times New Roman" w:hAnsi="Times New Roman" w:eastAsia="宋体" w:cs="Times New Roman"/>
                      <w:b w:val="0"/>
                      <w:bCs w:val="0"/>
                      <w:color w:val="auto"/>
                      <w:sz w:val="21"/>
                      <w:szCs w:val="21"/>
                      <w:highlight w:val="none"/>
                      <w:vertAlign w:val="baseline"/>
                      <w:lang w:val="en-US" w:eastAsia="zh-CN"/>
                    </w:rPr>
                    <w:t>废气</w:t>
                  </w:r>
                </w:p>
              </w:tc>
              <w:tc>
                <w:tcPr>
                  <w:tcW w:w="554" w:type="pct"/>
                  <w:tcBorders>
                    <w:tl2br w:val="nil"/>
                    <w:tr2bl w:val="nil"/>
                  </w:tcBorders>
                  <w:vAlign w:val="center"/>
                </w:tcPr>
                <w:p w14:paraId="6AA19D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cs="宋体"/>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color w:val="auto"/>
                      <w:sz w:val="21"/>
                      <w:szCs w:val="21"/>
                      <w:highlight w:val="none"/>
                      <w:vertAlign w:val="baseline"/>
                      <w:lang w:val="en-US" w:eastAsia="zh-CN"/>
                    </w:rPr>
                    <w:t>通风橱收集</w:t>
                  </w:r>
                </w:p>
              </w:tc>
              <w:tc>
                <w:tcPr>
                  <w:tcW w:w="842" w:type="pct"/>
                  <w:vMerge w:val="continue"/>
                  <w:tcBorders>
                    <w:tl2br w:val="nil"/>
                    <w:tr2bl w:val="nil"/>
                  </w:tcBorders>
                  <w:vAlign w:val="center"/>
                </w:tcPr>
                <w:p w14:paraId="0F033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p>
              </w:tc>
              <w:tc>
                <w:tcPr>
                  <w:tcW w:w="411" w:type="pct"/>
                  <w:tcBorders>
                    <w:tl2br w:val="nil"/>
                    <w:tr2bl w:val="nil"/>
                  </w:tcBorders>
                  <w:vAlign w:val="center"/>
                </w:tcPr>
                <w:p w14:paraId="5E6C0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870" w:type="pct"/>
                  <w:tcBorders>
                    <w:tl2br w:val="nil"/>
                    <w:tr2bl w:val="nil"/>
                  </w:tcBorders>
                  <w:vAlign w:val="center"/>
                </w:tcPr>
                <w:p w14:paraId="106941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1296</w:t>
                  </w:r>
                </w:p>
              </w:tc>
              <w:tc>
                <w:tcPr>
                  <w:tcW w:w="889" w:type="pct"/>
                  <w:tcBorders>
                    <w:tl2br w:val="nil"/>
                    <w:tr2bl w:val="nil"/>
                  </w:tcBorders>
                  <w:vAlign w:val="center"/>
                </w:tcPr>
                <w:p w14:paraId="786621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1500</w:t>
                  </w:r>
                </w:p>
              </w:tc>
              <w:tc>
                <w:tcPr>
                  <w:tcW w:w="516" w:type="pct"/>
                  <w:tcBorders>
                    <w:tl2br w:val="nil"/>
                    <w:tr2bl w:val="nil"/>
                  </w:tcBorders>
                  <w:vAlign w:val="center"/>
                </w:tcPr>
                <w:p w14:paraId="76D494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FQ11</w:t>
                  </w:r>
                </w:p>
              </w:tc>
            </w:tr>
            <w:tr w14:paraId="26277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5" w:type="pct"/>
                  <w:vMerge w:val="continue"/>
                  <w:tcBorders>
                    <w:tl2br w:val="nil"/>
                    <w:tr2bl w:val="nil"/>
                  </w:tcBorders>
                  <w:vAlign w:val="center"/>
                </w:tcPr>
                <w:p w14:paraId="41CB91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717" w:type="pct"/>
                  <w:tcBorders>
                    <w:tl2br w:val="nil"/>
                    <w:tr2bl w:val="nil"/>
                  </w:tcBorders>
                  <w:vAlign w:val="center"/>
                </w:tcPr>
                <w:p w14:paraId="5F745D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3号楼精细抛光</w:t>
                  </w:r>
                </w:p>
              </w:tc>
              <w:tc>
                <w:tcPr>
                  <w:tcW w:w="554" w:type="pct"/>
                  <w:vMerge w:val="restart"/>
                  <w:tcBorders>
                    <w:tl2br w:val="nil"/>
                    <w:tr2bl w:val="nil"/>
                  </w:tcBorders>
                  <w:vAlign w:val="center"/>
                </w:tcPr>
                <w:p w14:paraId="4F68DD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设备半密闭抽风收集</w:t>
                  </w:r>
                </w:p>
              </w:tc>
              <w:tc>
                <w:tcPr>
                  <w:tcW w:w="842" w:type="pct"/>
                  <w:tcBorders>
                    <w:tl2br w:val="nil"/>
                    <w:tr2bl w:val="nil"/>
                  </w:tcBorders>
                  <w:vAlign w:val="center"/>
                </w:tcPr>
                <w:p w14:paraId="245A1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Times New Roman" w:hAnsi="Times New Roman" w:eastAsia="宋体" w:cs="宋体"/>
                      <w:b w:val="0"/>
                      <w:bCs w:val="0"/>
                      <w:i w:val="0"/>
                      <w:iCs w:val="0"/>
                      <w:color w:val="auto"/>
                      <w:kern w:val="0"/>
                      <w:sz w:val="21"/>
                      <w:szCs w:val="21"/>
                      <w:highlight w:val="none"/>
                      <w:u w:val="none"/>
                      <w:lang w:val="en-US" w:eastAsia="zh-CN" w:bidi="ar"/>
                    </w:rPr>
                    <w:t>r=</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0.05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，V=</w:t>
                  </w:r>
                  <w:r>
                    <w:rPr>
                      <w:rFonts w:hint="eastAsia"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4"/>
                      <w:highlight w:val="none"/>
                    </w:rPr>
                    <w:t>m/s</w:t>
                  </w:r>
                </w:p>
              </w:tc>
              <w:tc>
                <w:tcPr>
                  <w:tcW w:w="411" w:type="pct"/>
                  <w:tcBorders>
                    <w:tl2br w:val="nil"/>
                    <w:tr2bl w:val="nil"/>
                  </w:tcBorders>
                  <w:vAlign w:val="center"/>
                </w:tcPr>
                <w:p w14:paraId="1A05F8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36</w:t>
                  </w:r>
                </w:p>
              </w:tc>
              <w:tc>
                <w:tcPr>
                  <w:tcW w:w="870" w:type="pct"/>
                  <w:tcBorders>
                    <w:tl2br w:val="nil"/>
                    <w:tr2bl w:val="nil"/>
                  </w:tcBorders>
                  <w:vAlign w:val="center"/>
                </w:tcPr>
                <w:p w14:paraId="43824F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10173.6</w:t>
                  </w:r>
                </w:p>
              </w:tc>
              <w:tc>
                <w:tcPr>
                  <w:tcW w:w="889" w:type="pct"/>
                  <w:tcBorders>
                    <w:tl2br w:val="nil"/>
                    <w:tr2bl w:val="nil"/>
                  </w:tcBorders>
                  <w:vAlign w:val="center"/>
                </w:tcPr>
                <w:p w14:paraId="218A27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11000</w:t>
                  </w:r>
                </w:p>
              </w:tc>
              <w:tc>
                <w:tcPr>
                  <w:tcW w:w="516" w:type="pct"/>
                  <w:tcBorders>
                    <w:tl2br w:val="nil"/>
                    <w:tr2bl w:val="nil"/>
                  </w:tcBorders>
                  <w:vAlign w:val="center"/>
                </w:tcPr>
                <w:p w14:paraId="23B9E1A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FQ08</w:t>
                  </w:r>
                </w:p>
              </w:tc>
            </w:tr>
            <w:tr w14:paraId="0F2AF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5" w:type="pct"/>
                  <w:vMerge w:val="continue"/>
                  <w:tcBorders>
                    <w:tl2br w:val="nil"/>
                    <w:tr2bl w:val="nil"/>
                  </w:tcBorders>
                  <w:vAlign w:val="center"/>
                </w:tcPr>
                <w:p w14:paraId="779F94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717" w:type="pct"/>
                  <w:tcBorders>
                    <w:tl2br w:val="nil"/>
                    <w:tr2bl w:val="nil"/>
                  </w:tcBorders>
                  <w:vAlign w:val="center"/>
                </w:tcPr>
                <w:p w14:paraId="12A7E4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1号楼精细抛光</w:t>
                  </w:r>
                </w:p>
              </w:tc>
              <w:tc>
                <w:tcPr>
                  <w:tcW w:w="554" w:type="pct"/>
                  <w:vMerge w:val="continue"/>
                  <w:tcBorders>
                    <w:tl2br w:val="nil"/>
                    <w:tr2bl w:val="nil"/>
                  </w:tcBorders>
                  <w:vAlign w:val="center"/>
                </w:tcPr>
                <w:p w14:paraId="7E14F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eastAsia="宋体" w:cs="宋体"/>
                      <w:i w:val="0"/>
                      <w:iCs w:val="0"/>
                      <w:color w:val="auto"/>
                      <w:kern w:val="0"/>
                      <w:sz w:val="21"/>
                      <w:szCs w:val="21"/>
                      <w:highlight w:val="none"/>
                      <w:u w:val="none"/>
                      <w:lang w:val="en-US" w:eastAsia="zh-CN" w:bidi="ar"/>
                    </w:rPr>
                  </w:pPr>
                </w:p>
              </w:tc>
              <w:tc>
                <w:tcPr>
                  <w:tcW w:w="842" w:type="pct"/>
                  <w:tcBorders>
                    <w:tl2br w:val="nil"/>
                    <w:tr2bl w:val="nil"/>
                  </w:tcBorders>
                  <w:vAlign w:val="center"/>
                </w:tcPr>
                <w:p w14:paraId="67820A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宋体"/>
                      <w:b w:val="0"/>
                      <w:bCs w:val="0"/>
                      <w:i w:val="0"/>
                      <w:iCs w:val="0"/>
                      <w:color w:val="auto"/>
                      <w:kern w:val="0"/>
                      <w:sz w:val="21"/>
                      <w:szCs w:val="21"/>
                      <w:highlight w:val="none"/>
                      <w:u w:val="none"/>
                      <w:lang w:val="en-US" w:eastAsia="zh-CN" w:bidi="ar"/>
                    </w:rPr>
                    <w:t>r=</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0.05</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，V=</w:t>
                  </w:r>
                  <w:r>
                    <w:rPr>
                      <w:rFonts w:hint="eastAsia"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4"/>
                      <w:highlight w:val="none"/>
                    </w:rPr>
                    <w:t>m/s</w:t>
                  </w:r>
                </w:p>
              </w:tc>
              <w:tc>
                <w:tcPr>
                  <w:tcW w:w="411" w:type="pct"/>
                  <w:tcBorders>
                    <w:tl2br w:val="nil"/>
                    <w:tr2bl w:val="nil"/>
                  </w:tcBorders>
                  <w:vAlign w:val="center"/>
                </w:tcPr>
                <w:p w14:paraId="4CCE5F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38</w:t>
                  </w:r>
                </w:p>
              </w:tc>
              <w:tc>
                <w:tcPr>
                  <w:tcW w:w="870" w:type="pct"/>
                  <w:tcBorders>
                    <w:tl2br w:val="nil"/>
                    <w:tr2bl w:val="nil"/>
                  </w:tcBorders>
                  <w:vAlign w:val="center"/>
                </w:tcPr>
                <w:p w14:paraId="7012FA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10738.8</w:t>
                  </w:r>
                </w:p>
              </w:tc>
              <w:tc>
                <w:tcPr>
                  <w:tcW w:w="889" w:type="pct"/>
                  <w:tcBorders>
                    <w:tl2br w:val="nil"/>
                    <w:tr2bl w:val="nil"/>
                  </w:tcBorders>
                  <w:vAlign w:val="center"/>
                </w:tcPr>
                <w:p w14:paraId="177709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11000</w:t>
                  </w:r>
                </w:p>
              </w:tc>
              <w:tc>
                <w:tcPr>
                  <w:tcW w:w="516" w:type="pct"/>
                  <w:tcBorders>
                    <w:tl2br w:val="nil"/>
                    <w:tr2bl w:val="nil"/>
                  </w:tcBorders>
                  <w:vAlign w:val="center"/>
                </w:tcPr>
                <w:p w14:paraId="48A9BCC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FQ12</w:t>
                  </w:r>
                </w:p>
              </w:tc>
            </w:tr>
            <w:tr w14:paraId="7E308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5" w:type="pct"/>
                  <w:vMerge w:val="continue"/>
                  <w:tcBorders>
                    <w:tl2br w:val="nil"/>
                    <w:tr2bl w:val="nil"/>
                  </w:tcBorders>
                  <w:vAlign w:val="center"/>
                </w:tcPr>
                <w:p w14:paraId="45A8C1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717" w:type="pct"/>
                  <w:tcBorders>
                    <w:tl2br w:val="nil"/>
                    <w:tr2bl w:val="nil"/>
                  </w:tcBorders>
                  <w:vAlign w:val="center"/>
                </w:tcPr>
                <w:p w14:paraId="04A24F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2号楼精细抛光</w:t>
                  </w:r>
                </w:p>
              </w:tc>
              <w:tc>
                <w:tcPr>
                  <w:tcW w:w="554" w:type="pct"/>
                  <w:vMerge w:val="continue"/>
                  <w:tcBorders>
                    <w:tl2br w:val="nil"/>
                    <w:tr2bl w:val="nil"/>
                  </w:tcBorders>
                  <w:vAlign w:val="center"/>
                </w:tcPr>
                <w:p w14:paraId="20127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cs="宋体"/>
                      <w:i w:val="0"/>
                      <w:iCs w:val="0"/>
                      <w:color w:val="auto"/>
                      <w:kern w:val="0"/>
                      <w:sz w:val="21"/>
                      <w:szCs w:val="21"/>
                      <w:highlight w:val="none"/>
                      <w:u w:val="none"/>
                      <w:lang w:val="en-US" w:eastAsia="zh-CN" w:bidi="ar"/>
                    </w:rPr>
                  </w:pPr>
                </w:p>
              </w:tc>
              <w:tc>
                <w:tcPr>
                  <w:tcW w:w="842" w:type="pct"/>
                  <w:tcBorders>
                    <w:tl2br w:val="nil"/>
                    <w:tr2bl w:val="nil"/>
                  </w:tcBorders>
                  <w:vAlign w:val="center"/>
                </w:tcPr>
                <w:p w14:paraId="289DBF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Times New Roman" w:hAnsi="Times New Roman" w:eastAsia="宋体" w:cs="宋体"/>
                      <w:b w:val="0"/>
                      <w:bCs w:val="0"/>
                      <w:i w:val="0"/>
                      <w:iCs w:val="0"/>
                      <w:color w:val="auto"/>
                      <w:kern w:val="0"/>
                      <w:sz w:val="21"/>
                      <w:szCs w:val="21"/>
                      <w:highlight w:val="none"/>
                      <w:u w:val="none"/>
                      <w:lang w:val="en-US" w:eastAsia="zh-CN" w:bidi="ar"/>
                    </w:rPr>
                    <w:t>r=</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，V=</w:t>
                  </w:r>
                  <w:r>
                    <w:rPr>
                      <w:rFonts w:hint="eastAsia"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4"/>
                      <w:highlight w:val="none"/>
                    </w:rPr>
                    <w:t>m/s</w:t>
                  </w:r>
                </w:p>
              </w:tc>
              <w:tc>
                <w:tcPr>
                  <w:tcW w:w="411" w:type="pct"/>
                  <w:tcBorders>
                    <w:tl2br w:val="nil"/>
                    <w:tr2bl w:val="nil"/>
                  </w:tcBorders>
                  <w:vAlign w:val="center"/>
                </w:tcPr>
                <w:p w14:paraId="382832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38</w:t>
                  </w:r>
                </w:p>
              </w:tc>
              <w:tc>
                <w:tcPr>
                  <w:tcW w:w="870" w:type="pct"/>
                  <w:tcBorders>
                    <w:tl2br w:val="nil"/>
                    <w:tr2bl w:val="nil"/>
                  </w:tcBorders>
                  <w:vAlign w:val="center"/>
                </w:tcPr>
                <w:p w14:paraId="2FB1B7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10738.8</w:t>
                  </w:r>
                </w:p>
              </w:tc>
              <w:tc>
                <w:tcPr>
                  <w:tcW w:w="889" w:type="pct"/>
                  <w:tcBorders>
                    <w:tl2br w:val="nil"/>
                    <w:tr2bl w:val="nil"/>
                  </w:tcBorders>
                  <w:vAlign w:val="center"/>
                </w:tcPr>
                <w:p w14:paraId="5E9714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11000</w:t>
                  </w:r>
                </w:p>
              </w:tc>
              <w:tc>
                <w:tcPr>
                  <w:tcW w:w="516" w:type="pct"/>
                  <w:tcBorders>
                    <w:tl2br w:val="nil"/>
                    <w:tr2bl w:val="nil"/>
                  </w:tcBorders>
                  <w:vAlign w:val="center"/>
                </w:tcPr>
                <w:p w14:paraId="560CDE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FQ13</w:t>
                  </w:r>
                </w:p>
              </w:tc>
            </w:tr>
            <w:tr w14:paraId="567B1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95" w:type="pct"/>
                  <w:vMerge w:val="continue"/>
                  <w:tcBorders>
                    <w:tl2br w:val="nil"/>
                    <w:tr2bl w:val="nil"/>
                  </w:tcBorders>
                  <w:vAlign w:val="center"/>
                </w:tcPr>
                <w:p w14:paraId="560CD6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717" w:type="pct"/>
                  <w:tcBorders>
                    <w:tl2br w:val="nil"/>
                    <w:tr2bl w:val="nil"/>
                  </w:tcBorders>
                  <w:vAlign w:val="center"/>
                </w:tcPr>
                <w:p w14:paraId="3B62E0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4号楼精细抛光</w:t>
                  </w:r>
                </w:p>
              </w:tc>
              <w:tc>
                <w:tcPr>
                  <w:tcW w:w="554" w:type="pct"/>
                  <w:vMerge w:val="continue"/>
                  <w:tcBorders>
                    <w:tl2br w:val="nil"/>
                    <w:tr2bl w:val="nil"/>
                  </w:tcBorders>
                  <w:vAlign w:val="center"/>
                </w:tcPr>
                <w:p w14:paraId="234134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cs="宋体"/>
                      <w:i w:val="0"/>
                      <w:iCs w:val="0"/>
                      <w:color w:val="auto"/>
                      <w:kern w:val="0"/>
                      <w:sz w:val="21"/>
                      <w:szCs w:val="21"/>
                      <w:highlight w:val="none"/>
                      <w:u w:val="none"/>
                      <w:lang w:val="en-US" w:eastAsia="zh-CN" w:bidi="ar"/>
                    </w:rPr>
                  </w:pPr>
                </w:p>
              </w:tc>
              <w:tc>
                <w:tcPr>
                  <w:tcW w:w="842" w:type="pct"/>
                  <w:tcBorders>
                    <w:tl2br w:val="nil"/>
                    <w:tr2bl w:val="nil"/>
                  </w:tcBorders>
                  <w:vAlign w:val="center"/>
                </w:tcPr>
                <w:p w14:paraId="6D847D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Times New Roman" w:hAnsi="Times New Roman" w:eastAsia="宋体" w:cs="宋体"/>
                      <w:b w:val="0"/>
                      <w:bCs w:val="0"/>
                      <w:i w:val="0"/>
                      <w:iCs w:val="0"/>
                      <w:color w:val="auto"/>
                      <w:kern w:val="0"/>
                      <w:sz w:val="21"/>
                      <w:szCs w:val="21"/>
                      <w:highlight w:val="none"/>
                      <w:u w:val="none"/>
                      <w:lang w:val="en-US" w:eastAsia="zh-CN" w:bidi="ar"/>
                    </w:rPr>
                    <w:t>r=</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0.1</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m</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，V=</w:t>
                  </w:r>
                  <w:r>
                    <w:rPr>
                      <w:rFonts w:hint="eastAsia" w:cs="Times New Roman"/>
                      <w:b w:val="0"/>
                      <w:bCs w:val="0"/>
                      <w:i w:val="0"/>
                      <w:iCs w:val="0"/>
                      <w:color w:val="auto"/>
                      <w:kern w:val="0"/>
                      <w:sz w:val="21"/>
                      <w:szCs w:val="21"/>
                      <w:highlight w:val="none"/>
                      <w:u w:val="none"/>
                      <w:lang w:val="en-US" w:eastAsia="zh-CN" w:bidi="ar"/>
                    </w:rPr>
                    <w:t>10</w:t>
                  </w:r>
                  <w:r>
                    <w:rPr>
                      <w:rFonts w:hint="default" w:ascii="Times New Roman" w:hAnsi="Times New Roman" w:eastAsia="宋体" w:cs="Times New Roman"/>
                      <w:color w:val="auto"/>
                      <w:sz w:val="24"/>
                      <w:highlight w:val="none"/>
                    </w:rPr>
                    <w:t>m/s</w:t>
                  </w:r>
                </w:p>
              </w:tc>
              <w:tc>
                <w:tcPr>
                  <w:tcW w:w="411" w:type="pct"/>
                  <w:tcBorders>
                    <w:tl2br w:val="nil"/>
                    <w:tr2bl w:val="nil"/>
                  </w:tcBorders>
                  <w:vAlign w:val="center"/>
                </w:tcPr>
                <w:p w14:paraId="4CC578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38</w:t>
                  </w:r>
                </w:p>
              </w:tc>
              <w:tc>
                <w:tcPr>
                  <w:tcW w:w="870" w:type="pct"/>
                  <w:tcBorders>
                    <w:tl2br w:val="nil"/>
                    <w:tr2bl w:val="nil"/>
                  </w:tcBorders>
                  <w:vAlign w:val="center"/>
                </w:tcPr>
                <w:p w14:paraId="58A971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10738.8</w:t>
                  </w:r>
                </w:p>
              </w:tc>
              <w:tc>
                <w:tcPr>
                  <w:tcW w:w="889" w:type="pct"/>
                  <w:tcBorders>
                    <w:tl2br w:val="nil"/>
                    <w:tr2bl w:val="nil"/>
                  </w:tcBorders>
                  <w:vAlign w:val="center"/>
                </w:tcPr>
                <w:p w14:paraId="3E0EF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11000</w:t>
                  </w:r>
                </w:p>
              </w:tc>
              <w:tc>
                <w:tcPr>
                  <w:tcW w:w="516" w:type="pct"/>
                  <w:tcBorders>
                    <w:tl2br w:val="nil"/>
                    <w:tr2bl w:val="nil"/>
                  </w:tcBorders>
                  <w:vAlign w:val="center"/>
                </w:tcPr>
                <w:p w14:paraId="3AACEF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FQ14</w:t>
                  </w:r>
                </w:p>
              </w:tc>
            </w:tr>
          </w:tbl>
          <w:p w14:paraId="44ABE3BB">
            <w:pPr>
              <w:pStyle w:val="1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1" w:beforeLines="5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Calibri"/>
                <w:b w:val="0"/>
                <w:bCs w:val="0"/>
                <w:color w:val="auto"/>
                <w:sz w:val="24"/>
                <w:szCs w:val="24"/>
                <w:highlight w:val="none"/>
                <w:lang w:val="en-US" w:eastAsia="zh-CN"/>
              </w:rPr>
              <w:t>①</w:t>
            </w:r>
            <w:r>
              <w:rPr>
                <w:rFonts w:hint="default" w:ascii="Times New Roman" w:hAnsi="Times New Roman" w:cs="Times New Roman"/>
                <w:b w:val="0"/>
                <w:bCs w:val="0"/>
                <w:color w:val="auto"/>
                <w:sz w:val="24"/>
                <w:szCs w:val="24"/>
                <w:highlight w:val="none"/>
                <w:lang w:val="en-US" w:eastAsia="zh-CN"/>
              </w:rPr>
              <w:t>根据上表的相关数据、上述计算公式及风压阻力损耗等因素</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b w:val="0"/>
                <w:bCs w:val="0"/>
                <w:color w:val="auto"/>
                <w:sz w:val="24"/>
                <w:szCs w:val="24"/>
                <w:highlight w:val="none"/>
                <w:lang w:val="en-US" w:eastAsia="zh-CN"/>
              </w:rPr>
              <w:t>本项目新增</w:t>
            </w:r>
            <w:r>
              <w:rPr>
                <w:rFonts w:hint="eastAsia"/>
                <w:b w:val="0"/>
                <w:bCs w:val="0"/>
                <w:color w:val="auto"/>
                <w:sz w:val="24"/>
                <w:szCs w:val="24"/>
                <w:highlight w:val="none"/>
                <w:lang w:val="en-US" w:eastAsia="zh-CN"/>
              </w:rPr>
              <w:t>3号楼喷涂硅油-脱模剂</w:t>
            </w:r>
            <w:r>
              <w:rPr>
                <w:rFonts w:hint="eastAsia" w:ascii="Times New Roman" w:hAnsi="Times New Roman"/>
                <w:b w:val="0"/>
                <w:bCs w:val="0"/>
                <w:color w:val="auto"/>
                <w:sz w:val="24"/>
                <w:szCs w:val="24"/>
                <w:highlight w:val="none"/>
                <w:lang w:val="en-US" w:eastAsia="zh-CN"/>
              </w:rPr>
              <w:t>废气需要150</w:t>
            </w:r>
            <w:r>
              <w:rPr>
                <w:rFonts w:hint="eastAsia"/>
                <w:b w:val="0"/>
                <w:bCs w:val="0"/>
                <w:color w:val="auto"/>
                <w:sz w:val="24"/>
                <w:szCs w:val="24"/>
                <w:highlight w:val="none"/>
                <w:lang w:val="en-US" w:eastAsia="zh-CN"/>
              </w:rPr>
              <w:t>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/h的风机风量，现有FQ07设置的风机（变频）总风量为17500m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根据《时代天使创美基地项目二阶段、年产1亿个隐形矫治器技术改造项目一阶段、年产一亿个口腔隐形正畸产品的个性化定制与柔性制造协同创新模式应用项目一阶段》竣工环境保护验收报告，目前已用风量不超过5000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/h，剩余12000m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/h风量可满足本项目相应工段废气收集需求，因此本项目依托现有FQ07风机（变频，最大风量17500m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/h）是可行的，满足设计要求。</w:t>
            </w:r>
          </w:p>
          <w:p w14:paraId="3D7C13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val="0"/>
                <w:bCs w:val="0"/>
                <w:color w:val="auto"/>
                <w:sz w:val="24"/>
                <w:szCs w:val="24"/>
                <w:highlight w:val="none"/>
                <w:lang w:val="en-US" w:eastAsia="zh-CN"/>
              </w:rPr>
            </w:pPr>
            <w:r>
              <w:rPr>
                <w:rFonts w:hint="default" w:ascii="Times New Roman" w:hAnsi="Times New Roman" w:cs="Calibri"/>
                <w:b w:val="0"/>
                <w:bCs w:val="0"/>
                <w:color w:val="auto"/>
                <w:sz w:val="24"/>
                <w:szCs w:val="24"/>
                <w:highlight w:val="none"/>
                <w:lang w:val="en-US" w:eastAsia="zh-CN"/>
              </w:rPr>
              <w:t>②</w:t>
            </w:r>
            <w:r>
              <w:rPr>
                <w:rFonts w:hint="default" w:ascii="Times New Roman" w:hAnsi="Times New Roman" w:cs="Times New Roman"/>
                <w:b w:val="0"/>
                <w:bCs w:val="0"/>
                <w:color w:val="auto"/>
                <w:sz w:val="24"/>
                <w:szCs w:val="24"/>
                <w:highlight w:val="none"/>
                <w:lang w:val="en-US" w:eastAsia="zh-CN"/>
              </w:rPr>
              <w:t>根据上表的相关数据、上述计算公式及风压阻力损耗等因素</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b w:val="0"/>
                <w:bCs w:val="0"/>
                <w:color w:val="auto"/>
                <w:sz w:val="24"/>
                <w:szCs w:val="24"/>
                <w:highlight w:val="none"/>
                <w:lang w:val="en-US" w:eastAsia="zh-CN"/>
              </w:rPr>
              <w:t>本项目新增</w:t>
            </w:r>
            <w:r>
              <w:rPr>
                <w:rFonts w:hint="eastAsia"/>
                <w:b w:val="0"/>
                <w:bCs w:val="0"/>
                <w:color w:val="auto"/>
                <w:sz w:val="24"/>
                <w:szCs w:val="24"/>
                <w:highlight w:val="none"/>
                <w:lang w:val="en-US" w:eastAsia="zh-CN"/>
              </w:rPr>
              <w:t>1号楼喷涂硅油-脱模剂</w:t>
            </w:r>
            <w:r>
              <w:rPr>
                <w:rFonts w:hint="eastAsia" w:ascii="Times New Roman" w:hAnsi="Times New Roman"/>
                <w:b w:val="0"/>
                <w:bCs w:val="0"/>
                <w:color w:val="auto"/>
                <w:sz w:val="24"/>
                <w:szCs w:val="24"/>
                <w:highlight w:val="none"/>
                <w:lang w:val="en-US" w:eastAsia="zh-CN"/>
              </w:rPr>
              <w:t>废气、</w:t>
            </w:r>
            <w:r>
              <w:rPr>
                <w:rFonts w:hint="eastAsia"/>
                <w:b w:val="0"/>
                <w:bCs w:val="0"/>
                <w:color w:val="auto"/>
                <w:sz w:val="24"/>
                <w:szCs w:val="24"/>
                <w:highlight w:val="none"/>
                <w:lang w:val="en-US" w:eastAsia="zh-CN"/>
              </w:rPr>
              <w:t>2号楼喷涂硅油-脱模剂</w:t>
            </w:r>
            <w:r>
              <w:rPr>
                <w:rFonts w:hint="eastAsia" w:ascii="Times New Roman" w:hAnsi="Times New Roman"/>
                <w:b w:val="0"/>
                <w:bCs w:val="0"/>
                <w:color w:val="auto"/>
                <w:sz w:val="24"/>
                <w:szCs w:val="24"/>
                <w:highlight w:val="none"/>
                <w:lang w:val="en-US" w:eastAsia="zh-CN"/>
              </w:rPr>
              <w:t>废气、</w:t>
            </w:r>
            <w:r>
              <w:rPr>
                <w:rFonts w:hint="eastAsia"/>
                <w:b w:val="0"/>
                <w:bCs w:val="0"/>
                <w:color w:val="auto"/>
                <w:sz w:val="24"/>
                <w:szCs w:val="24"/>
                <w:highlight w:val="none"/>
                <w:lang w:val="en-US" w:eastAsia="zh-CN"/>
              </w:rPr>
              <w:t>4号楼喷涂硅油-脱模剂</w:t>
            </w:r>
            <w:r>
              <w:rPr>
                <w:rFonts w:hint="eastAsia" w:ascii="Times New Roman" w:hAnsi="Times New Roman"/>
                <w:b w:val="0"/>
                <w:bCs w:val="0"/>
                <w:color w:val="auto"/>
                <w:sz w:val="24"/>
                <w:szCs w:val="24"/>
                <w:highlight w:val="none"/>
                <w:lang w:val="en-US" w:eastAsia="zh-CN"/>
              </w:rPr>
              <w:t>废气各需1500m</w:t>
            </w:r>
            <w:r>
              <w:rPr>
                <w:rFonts w:hint="eastAsia" w:ascii="Times New Roman" w:hAnsi="Times New Roman"/>
                <w:b w:val="0"/>
                <w:bCs w:val="0"/>
                <w:color w:val="auto"/>
                <w:sz w:val="24"/>
                <w:szCs w:val="24"/>
                <w:highlight w:val="none"/>
                <w:vertAlign w:val="superscript"/>
                <w:lang w:val="en-US" w:eastAsia="zh-CN"/>
              </w:rPr>
              <w:t>3</w:t>
            </w:r>
            <w:r>
              <w:rPr>
                <w:rFonts w:hint="eastAsia" w:ascii="Times New Roman" w:hAnsi="Times New Roman"/>
                <w:b w:val="0"/>
                <w:bCs w:val="0"/>
                <w:color w:val="auto"/>
                <w:sz w:val="24"/>
                <w:szCs w:val="24"/>
                <w:highlight w:val="none"/>
                <w:lang w:val="en-US" w:eastAsia="zh-CN"/>
              </w:rPr>
              <w:t>/h的风机风量</w:t>
            </w:r>
            <w:r>
              <w:rPr>
                <w:rFonts w:hint="eastAsia"/>
                <w:b w:val="0"/>
                <w:bCs w:val="0"/>
                <w:color w:val="auto"/>
                <w:sz w:val="24"/>
                <w:szCs w:val="24"/>
                <w:highlight w:val="none"/>
                <w:lang w:val="en-US" w:eastAsia="zh-CN"/>
              </w:rPr>
              <w:t>。</w:t>
            </w:r>
          </w:p>
          <w:p w14:paraId="17669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color w:val="auto"/>
                <w:sz w:val="24"/>
                <w:highlight w:val="none"/>
                <w:lang w:val="en-US" w:eastAsia="zh-CN"/>
              </w:rPr>
            </w:pPr>
            <w:r>
              <w:rPr>
                <w:rFonts w:hint="default" w:ascii="Times New Roman" w:hAnsi="Times New Roman" w:cs="Calibri"/>
                <w:b w:val="0"/>
                <w:bCs w:val="0"/>
                <w:color w:val="auto"/>
                <w:sz w:val="24"/>
                <w:szCs w:val="24"/>
                <w:highlight w:val="none"/>
                <w:lang w:val="en-US" w:eastAsia="zh-CN"/>
              </w:rPr>
              <w:t>③</w:t>
            </w:r>
            <w:r>
              <w:rPr>
                <w:rFonts w:hint="default" w:ascii="Times New Roman" w:hAnsi="Times New Roman" w:cs="Times New Roman"/>
                <w:b w:val="0"/>
                <w:bCs w:val="0"/>
                <w:color w:val="auto"/>
                <w:sz w:val="24"/>
                <w:szCs w:val="24"/>
                <w:highlight w:val="none"/>
                <w:lang w:val="en-US" w:eastAsia="zh-CN"/>
              </w:rPr>
              <w:t>根据上表的相关数据、上述计算公式及风压阻力损耗等因素</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b w:val="0"/>
                <w:bCs w:val="0"/>
                <w:color w:val="auto"/>
                <w:sz w:val="24"/>
                <w:szCs w:val="24"/>
                <w:highlight w:val="none"/>
                <w:lang w:val="en-US" w:eastAsia="zh-CN"/>
              </w:rPr>
              <w:t>本项目新增1号楼精细抛光废气、2号楼精细抛光废气、3号楼精细抛光废气、4号楼精细抛光废</w:t>
            </w:r>
            <w:r>
              <w:rPr>
                <w:rFonts w:hint="eastAsia"/>
                <w:b w:val="0"/>
                <w:bCs w:val="0"/>
                <w:color w:val="auto"/>
                <w:sz w:val="24"/>
                <w:szCs w:val="24"/>
                <w:highlight w:val="none"/>
                <w:lang w:val="en-US" w:eastAsia="zh-CN"/>
              </w:rPr>
              <w:t>气各需11000m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/h的风机风量。</w:t>
            </w:r>
          </w:p>
          <w:p w14:paraId="786E37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）不同收集方式废气收集效率合理性分析</w:t>
            </w:r>
          </w:p>
          <w:p w14:paraId="6EB92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①</w:t>
            </w:r>
            <w:r>
              <w:rPr>
                <w:rFonts w:hint="eastAsia" w:ascii="宋体" w:hAnsi="宋体" w:cs="宋体"/>
                <w:b/>
                <w:bCs/>
                <w:color w:val="auto"/>
                <w:sz w:val="24"/>
                <w:highlight w:val="none"/>
                <w:lang w:val="en-US" w:eastAsia="zh-CN"/>
              </w:rPr>
              <w:t>设备半密闭抽风</w:t>
            </w:r>
            <w:r>
              <w:rPr>
                <w:rFonts w:hint="eastAsia" w:ascii="宋体" w:hAnsi="宋体" w:eastAsia="宋体" w:cs="宋体"/>
                <w:b/>
                <w:bCs/>
                <w:color w:val="auto"/>
                <w:sz w:val="24"/>
                <w:highlight w:val="none"/>
                <w:lang w:eastAsia="zh-CN"/>
              </w:rPr>
              <w:t>收集</w:t>
            </w:r>
          </w:p>
          <w:p w14:paraId="100463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精细抛光工段各个工位上装有罩子，罩子仅留双手进出孔洞，设抽风装置收集废气。参考《浙江省重点行业VOCs污染排放源排放量计算方法（1.1版）》认定的废气收集效率：以“设备废气排口直连”的收集方式对废气进行收集，收集效率可取80%-95</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因此，本项目精细抛光</w:t>
            </w:r>
            <w:r>
              <w:rPr>
                <w:rFonts w:hint="eastAsia" w:cs="Times New Roman"/>
                <w:color w:val="auto"/>
                <w:sz w:val="24"/>
                <w:highlight w:val="none"/>
                <w:lang w:val="en-US" w:eastAsia="zh-CN"/>
              </w:rPr>
              <w:t>废气采用半密闭抽风收集，设计收集效率95%</w:t>
            </w:r>
            <w:r>
              <w:rPr>
                <w:rFonts w:hint="eastAsia" w:ascii="Times New Roman" w:hAnsi="Times New Roman" w:eastAsia="宋体" w:cs="Times New Roman"/>
                <w:color w:val="auto"/>
                <w:sz w:val="24"/>
                <w:highlight w:val="none"/>
                <w:lang w:val="en-US" w:eastAsia="zh-CN"/>
              </w:rPr>
              <w:t>合理</w:t>
            </w:r>
            <w:r>
              <w:rPr>
                <w:rFonts w:hint="eastAsia" w:cs="Times New Roman"/>
                <w:color w:val="auto"/>
                <w:sz w:val="24"/>
                <w:highlight w:val="none"/>
                <w:lang w:val="en-US" w:eastAsia="zh-CN"/>
              </w:rPr>
              <w:t>。</w:t>
            </w:r>
          </w:p>
          <w:p w14:paraId="4C2215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②通风橱收集</w:t>
            </w:r>
          </w:p>
          <w:p w14:paraId="0B2F56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color w:val="auto"/>
                <w:sz w:val="24"/>
                <w:highlight w:val="none"/>
                <w:lang w:val="en-US" w:eastAsia="zh-CN"/>
              </w:rPr>
            </w:pPr>
            <w:r>
              <w:rPr>
                <w:rFonts w:hint="eastAsia"/>
                <w:color w:val="auto"/>
                <w:sz w:val="24"/>
                <w:highlight w:val="none"/>
                <w:lang w:val="en-US" w:eastAsia="zh-CN"/>
              </w:rPr>
              <w:t>本项目喷涂硅油-脱模剂工段产生的废气设置通风橱进行</w:t>
            </w:r>
            <w:r>
              <w:rPr>
                <w:rFonts w:hint="default" w:ascii="Times New Roman" w:hAnsi="Times New Roman" w:cs="Times New Roman"/>
                <w:color w:val="auto"/>
                <w:sz w:val="24"/>
                <w:highlight w:val="none"/>
                <w:lang w:val="en-US" w:eastAsia="zh-CN"/>
              </w:rPr>
              <w:t>收集</w:t>
            </w:r>
            <w:r>
              <w:rPr>
                <w:rFonts w:hint="eastAsia"/>
                <w:color w:val="auto"/>
                <w:sz w:val="24"/>
                <w:highlight w:val="none"/>
                <w:lang w:val="en-US" w:eastAsia="zh-CN"/>
              </w:rPr>
              <w:t>。</w:t>
            </w:r>
            <w:r>
              <w:rPr>
                <w:rFonts w:hint="eastAsia" w:cs="Times New Roman"/>
                <w:color w:val="auto"/>
                <w:sz w:val="24"/>
                <w:szCs w:val="24"/>
                <w:highlight w:val="none"/>
                <w:shd w:val="clear" w:color="auto" w:fill="auto"/>
                <w:lang w:val="en-US" w:eastAsia="zh-CN"/>
              </w:rPr>
              <w:t>参考《浙江省重点行业VOCs污染排放量计算方法》中对VOCs认定收集效率表，车间或密闭间进行密闭收集的收集效率可达80-95%。企业采用通风橱对喷涂脱模剂废气进行收集，通过在封闭式操作空间内形成负压环境，有效控制废气逸散。通风橱通过前端机械排风系统将雾化废气定向抽吸，实现密闭化操作。因此本项目喷涂硅油-脱模剂工段采用通风橱进行收集，</w:t>
            </w:r>
            <w:r>
              <w:rPr>
                <w:rFonts w:hint="eastAsia" w:ascii="Times New Roman" w:hAnsi="Times New Roman" w:eastAsia="宋体" w:cs="Times New Roman"/>
                <w:color w:val="auto"/>
                <w:sz w:val="24"/>
                <w:highlight w:val="none"/>
                <w:lang w:val="en-US" w:eastAsia="zh-CN"/>
              </w:rPr>
              <w:t>收集效率取9</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%合理。</w:t>
            </w:r>
          </w:p>
          <w:p w14:paraId="6FB16A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eastAsia="zh-CN"/>
              </w:rPr>
              <w:t>废气</w:t>
            </w:r>
            <w:r>
              <w:rPr>
                <w:rFonts w:hint="eastAsia" w:ascii="Times New Roman" w:hAnsi="Times New Roman" w:eastAsia="宋体" w:cs="Times New Roman"/>
                <w:b/>
                <w:bCs/>
                <w:color w:val="auto"/>
                <w:sz w:val="24"/>
                <w:highlight w:val="none"/>
                <w:lang w:val="en-US" w:eastAsia="zh-CN"/>
              </w:rPr>
              <w:t>治理措施</w:t>
            </w:r>
          </w:p>
          <w:p w14:paraId="46D44C20">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eastAsia" w:eastAsia="宋体"/>
                <w:b/>
                <w:bCs/>
                <w:color w:val="auto"/>
                <w:sz w:val="24"/>
                <w:szCs w:val="24"/>
                <w:highlight w:val="none"/>
                <w:lang w:eastAsia="zh-CN"/>
              </w:rPr>
            </w:pPr>
            <w:r>
              <w:rPr>
                <w:rFonts w:hint="default" w:ascii="Times New Roman" w:hAnsi="Times New Roman" w:eastAsia="宋体" w:cs="Times New Roman"/>
                <w:b/>
                <w:bCs/>
                <w:color w:val="auto"/>
                <w:kern w:val="2"/>
                <w:sz w:val="24"/>
                <w:szCs w:val="24"/>
                <w:highlight w:val="none"/>
                <w:lang w:val="en-US" w:eastAsia="zh-CN" w:bidi="ar-SA"/>
              </w:rPr>
              <w:t>①</w:t>
            </w:r>
            <w:r>
              <w:rPr>
                <w:rFonts w:hint="eastAsia" w:ascii="Times New Roman" w:hAnsi="Times New Roman" w:eastAsia="宋体" w:cs="Times New Roman"/>
                <w:b/>
                <w:bCs/>
                <w:color w:val="auto"/>
                <w:kern w:val="2"/>
                <w:sz w:val="24"/>
                <w:szCs w:val="24"/>
                <w:highlight w:val="none"/>
                <w:lang w:val="en-US" w:eastAsia="zh-CN" w:bidi="ar-SA"/>
              </w:rPr>
              <w:t>布袋除尘装置：</w:t>
            </w:r>
            <w:r>
              <w:rPr>
                <w:rFonts w:hint="eastAsia"/>
                <w:b w:val="0"/>
                <w:bCs w:val="0"/>
                <w:color w:val="auto"/>
                <w:sz w:val="24"/>
                <w:szCs w:val="24"/>
                <w:highlight w:val="none"/>
                <w:lang w:eastAsia="zh-CN"/>
              </w:rPr>
              <w:t>布袋除尘装置是一种高效的气固分离设备，主要用于捕集工业生产中产生的粉尘颗粒。其工作原理是含尘气体在风机作用下进入除尘器，通过由纤维滤料制成的布袋过滤层。粉尘颗粒被截留在滤袋表面，而净化后的气体则透过滤袋排出。随着粉尘的不断积聚，滤袋表面形成粉尘层，进一步提高过滤效率。清灰系统（如脉冲喷吹、机械振动或反吹）定期清除滤袋上的积灰，确保设备持续稳定运行。</w:t>
            </w:r>
            <w:r>
              <w:rPr>
                <w:rFonts w:hint="default" w:ascii="Arial" w:hAnsi="Arial" w:eastAsia="宋体" w:cs="Arial"/>
                <w:i w:val="0"/>
                <w:iCs w:val="0"/>
                <w:caps w:val="0"/>
                <w:color w:val="auto"/>
                <w:spacing w:val="0"/>
                <w:sz w:val="21"/>
                <w:szCs w:val="21"/>
                <w:highlight w:val="none"/>
                <w:shd w:val="clear" w:fill="FFFFFF"/>
              </w:rPr>
              <w:t>‌</w:t>
            </w:r>
          </w:p>
          <w:p w14:paraId="4D116D58">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②</w:t>
            </w:r>
            <w:r>
              <w:rPr>
                <w:rFonts w:hint="eastAsia" w:ascii="Times New Roman" w:hAnsi="Times New Roman" w:eastAsia="宋体" w:cs="Times New Roman"/>
                <w:b/>
                <w:bCs/>
                <w:color w:val="auto"/>
                <w:kern w:val="2"/>
                <w:sz w:val="24"/>
                <w:szCs w:val="24"/>
                <w:highlight w:val="none"/>
                <w:lang w:val="en-US" w:eastAsia="zh-CN" w:bidi="ar-SA"/>
              </w:rPr>
              <w:t>喷淋塔吸附装置工作原理：</w:t>
            </w:r>
          </w:p>
          <w:p w14:paraId="33F4B2CD">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firstLine="480" w:firstLineChars="200"/>
              <w:jc w:val="center"/>
              <w:textAlignment w:val="auto"/>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喷淋塔吸附装置是一种</w:t>
            </w:r>
            <w:r>
              <w:rPr>
                <w:rFonts w:hint="eastAsia" w:cs="Times New Roman"/>
                <w:b w:val="0"/>
                <w:bCs w:val="0"/>
                <w:color w:val="auto"/>
                <w:sz w:val="24"/>
                <w:highlight w:val="none"/>
                <w:lang w:val="en-US" w:eastAsia="zh-CN"/>
              </w:rPr>
              <w:t>湿式</w:t>
            </w:r>
            <w:r>
              <w:rPr>
                <w:rFonts w:hint="default" w:ascii="Times New Roman" w:hAnsi="Times New Roman" w:cs="Times New Roman"/>
                <w:b w:val="0"/>
                <w:bCs w:val="0"/>
                <w:color w:val="auto"/>
                <w:sz w:val="24"/>
                <w:highlight w:val="none"/>
                <w:lang w:val="en-US" w:eastAsia="zh-CN"/>
              </w:rPr>
              <w:t>废气处理设备通过风管将废气引入净化塔。通过填料层后，废气和液体充分接触，以吸收和中和气体。净化后，废气经烟尘板脱水除去，再由风机排放到</w:t>
            </w:r>
            <w:r>
              <w:rPr>
                <w:rFonts w:hint="eastAsia" w:cs="Times New Roman"/>
                <w:b w:val="0"/>
                <w:bCs w:val="0"/>
                <w:color w:val="auto"/>
                <w:sz w:val="24"/>
                <w:highlight w:val="none"/>
                <w:lang w:val="en-US" w:eastAsia="zh-CN"/>
              </w:rPr>
              <w:t>活性炭吸附装置</w:t>
            </w:r>
            <w:r>
              <w:rPr>
                <w:rFonts w:hint="default" w:ascii="Times New Roman" w:hAnsi="Times New Roman" w:cs="Times New Roman"/>
                <w:b w:val="0"/>
                <w:bCs w:val="0"/>
                <w:color w:val="auto"/>
                <w:sz w:val="24"/>
                <w:highlight w:val="none"/>
                <w:lang w:val="en-US" w:eastAsia="zh-CN"/>
              </w:rPr>
              <w:t>中。在塔底用水泵加压后，将吸收剂喷在塔顶喷淋而下，然后再循环到塔底。喷淋塔性废气处理工艺流程图和设计参数</w:t>
            </w:r>
          </w:p>
          <w:p w14:paraId="5DF62BB1">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val="0"/>
                <w:bCs w:val="0"/>
                <w:color w:val="auto"/>
                <w:sz w:val="24"/>
                <w:highlight w:val="none"/>
              </w:rPr>
              <w:drawing>
                <wp:inline distT="0" distB="0" distL="114300" distR="114300">
                  <wp:extent cx="3566160" cy="2517140"/>
                  <wp:effectExtent l="0" t="0" r="15240" b="1651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6"/>
                          <a:stretch>
                            <a:fillRect/>
                          </a:stretch>
                        </pic:blipFill>
                        <pic:spPr>
                          <a:xfrm>
                            <a:off x="0" y="0"/>
                            <a:ext cx="3566160" cy="2517140"/>
                          </a:xfrm>
                          <a:prstGeom prst="rect">
                            <a:avLst/>
                          </a:prstGeom>
                          <a:noFill/>
                          <a:ln>
                            <a:noFill/>
                          </a:ln>
                        </pic:spPr>
                      </pic:pic>
                    </a:graphicData>
                  </a:graphic>
                </wp:inline>
              </w:drawing>
            </w:r>
          </w:p>
          <w:p w14:paraId="593E67A3">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图4-</w:t>
            </w:r>
            <w:r>
              <w:rPr>
                <w:rFonts w:hint="eastAsia" w:cs="Times New Roman"/>
                <w:b/>
                <w:bCs/>
                <w:color w:val="auto"/>
                <w:sz w:val="24"/>
                <w:highlight w:val="none"/>
                <w:lang w:val="en-US" w:eastAsia="zh-CN"/>
              </w:rPr>
              <w:t>2</w:t>
            </w:r>
            <w:r>
              <w:rPr>
                <w:rFonts w:hint="default" w:ascii="Times New Roman" w:hAnsi="Times New Roman" w:cs="Times New Roman"/>
                <w:b/>
                <w:bCs/>
                <w:color w:val="auto"/>
                <w:sz w:val="24"/>
                <w:highlight w:val="none"/>
              </w:rPr>
              <w:t xml:space="preserve"> 二级喷淋</w:t>
            </w:r>
            <w:r>
              <w:rPr>
                <w:rFonts w:hint="eastAsia" w:cs="Times New Roman"/>
                <w:b/>
                <w:bCs/>
                <w:color w:val="auto"/>
                <w:sz w:val="24"/>
                <w:highlight w:val="none"/>
                <w:lang w:val="en-US" w:eastAsia="zh-CN"/>
              </w:rPr>
              <w:t>塔</w:t>
            </w:r>
            <w:r>
              <w:rPr>
                <w:rFonts w:hint="default" w:ascii="Times New Roman" w:hAnsi="Times New Roman" w:cs="Times New Roman"/>
                <w:b/>
                <w:bCs/>
                <w:color w:val="auto"/>
                <w:sz w:val="24"/>
                <w:highlight w:val="none"/>
              </w:rPr>
              <w:t>处理工艺流程图</w:t>
            </w:r>
          </w:p>
          <w:p w14:paraId="31FED3D5">
            <w:pPr>
              <w:pStyle w:val="5"/>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color w:val="auto"/>
                <w:sz w:val="24"/>
                <w:szCs w:val="28"/>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8  </w:t>
            </w:r>
            <w:r>
              <w:rPr>
                <w:rFonts w:hint="eastAsia" w:ascii="Times New Roman" w:hAnsi="Times New Roman" w:eastAsia="宋体" w:cs="Times New Roman"/>
                <w:b/>
                <w:color w:val="auto"/>
                <w:sz w:val="24"/>
                <w:szCs w:val="28"/>
                <w:highlight w:val="none"/>
              </w:rPr>
              <w:t>喷淋塔性能参数表</w:t>
            </w:r>
          </w:p>
          <w:tbl>
            <w:tblPr>
              <w:tblStyle w:val="24"/>
              <w:tblW w:w="501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643"/>
              <w:gridCol w:w="1569"/>
              <w:gridCol w:w="1503"/>
              <w:gridCol w:w="22"/>
              <w:gridCol w:w="1644"/>
              <w:gridCol w:w="1651"/>
            </w:tblGrid>
            <w:tr w14:paraId="590DB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85" w:type="pct"/>
                  <w:vMerge w:val="restart"/>
                  <w:noWrap w:val="0"/>
                  <w:vAlign w:val="center"/>
                </w:tcPr>
                <w:p w14:paraId="198716B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序号</w:t>
                  </w:r>
                </w:p>
              </w:tc>
              <w:tc>
                <w:tcPr>
                  <w:tcW w:w="964" w:type="pct"/>
                  <w:vMerge w:val="restart"/>
                  <w:noWrap w:val="0"/>
                  <w:vAlign w:val="center"/>
                </w:tcPr>
                <w:p w14:paraId="76E8F49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项目</w:t>
                  </w:r>
                </w:p>
              </w:tc>
              <w:tc>
                <w:tcPr>
                  <w:tcW w:w="1816" w:type="pct"/>
                  <w:gridSpan w:val="3"/>
                  <w:tcBorders>
                    <w:left w:val="single" w:color="000000" w:sz="6" w:space="0"/>
                  </w:tcBorders>
                  <w:noWrap w:val="0"/>
                  <w:vAlign w:val="center"/>
                </w:tcPr>
                <w:p w14:paraId="6A8ABD94">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Cs w:val="20"/>
                      <w:highlight w:val="none"/>
                      <w:lang w:val="en-US" w:eastAsia="zh-CN"/>
                    </w:rPr>
                  </w:pPr>
                  <w:r>
                    <w:rPr>
                      <w:rFonts w:hint="eastAsia"/>
                      <w:b/>
                      <w:bCs/>
                      <w:color w:val="auto"/>
                      <w:szCs w:val="21"/>
                      <w:highlight w:val="none"/>
                      <w:lang w:val="en-US" w:eastAsia="zh-CN"/>
                    </w:rPr>
                    <w:t>3号楼</w:t>
                  </w:r>
                  <w:r>
                    <w:rPr>
                      <w:rFonts w:hint="eastAsia"/>
                      <w:b/>
                      <w:bCs/>
                      <w:color w:val="auto"/>
                      <w:szCs w:val="21"/>
                      <w:highlight w:val="none"/>
                    </w:rPr>
                    <w:t>生产车间</w:t>
                  </w:r>
                  <w:r>
                    <w:rPr>
                      <w:rFonts w:hint="eastAsia"/>
                      <w:b/>
                      <w:bCs/>
                      <w:color w:val="auto"/>
                      <w:szCs w:val="21"/>
                      <w:highlight w:val="none"/>
                      <w:lang w:val="en-US" w:eastAsia="zh-CN"/>
                    </w:rPr>
                    <w:t>喷淋塔</w:t>
                  </w:r>
                  <w:r>
                    <w:rPr>
                      <w:rFonts w:hint="default" w:hAnsi="宋体"/>
                      <w:b/>
                      <w:bCs/>
                      <w:color w:val="auto"/>
                      <w:szCs w:val="21"/>
                      <w:highlight w:val="none"/>
                    </w:rPr>
                    <w:t>技术参数</w:t>
                  </w:r>
                </w:p>
              </w:tc>
              <w:tc>
                <w:tcPr>
                  <w:tcW w:w="1934" w:type="pct"/>
                  <w:gridSpan w:val="2"/>
                  <w:tcBorders>
                    <w:left w:val="single" w:color="000000" w:sz="6" w:space="0"/>
                  </w:tcBorders>
                  <w:noWrap w:val="0"/>
                  <w:vAlign w:val="center"/>
                </w:tcPr>
                <w:p w14:paraId="16CC67F2">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b/>
                      <w:color w:val="auto"/>
                      <w:szCs w:val="20"/>
                      <w:highlight w:val="none"/>
                      <w:lang w:val="en-US" w:eastAsia="zh-CN"/>
                    </w:rPr>
                  </w:pPr>
                  <w:r>
                    <w:rPr>
                      <w:rFonts w:hint="eastAsia"/>
                      <w:b/>
                      <w:bCs/>
                      <w:color w:val="auto"/>
                      <w:szCs w:val="21"/>
                      <w:highlight w:val="none"/>
                      <w:lang w:val="en-US" w:eastAsia="zh-CN"/>
                    </w:rPr>
                    <w:t>1号楼、2号楼、4号楼生产车间喷淋塔技术参数</w:t>
                  </w:r>
                </w:p>
              </w:tc>
            </w:tr>
            <w:tr w14:paraId="5A747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85" w:type="pct"/>
                  <w:vMerge w:val="continue"/>
                  <w:noWrap w:val="0"/>
                  <w:vAlign w:val="center"/>
                </w:tcPr>
                <w:p w14:paraId="43634A7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Cs w:val="20"/>
                      <w:highlight w:val="none"/>
                    </w:rPr>
                  </w:pPr>
                </w:p>
              </w:tc>
              <w:tc>
                <w:tcPr>
                  <w:tcW w:w="964" w:type="pct"/>
                  <w:vMerge w:val="continue"/>
                  <w:noWrap w:val="0"/>
                  <w:vAlign w:val="center"/>
                </w:tcPr>
                <w:p w14:paraId="03DED2B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Cs w:val="20"/>
                      <w:highlight w:val="none"/>
                    </w:rPr>
                  </w:pPr>
                </w:p>
              </w:tc>
              <w:tc>
                <w:tcPr>
                  <w:tcW w:w="921" w:type="pct"/>
                  <w:noWrap w:val="0"/>
                  <w:vAlign w:val="center"/>
                </w:tcPr>
                <w:p w14:paraId="4EC61D1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一级碱喷淋塔</w:t>
                  </w:r>
                </w:p>
              </w:tc>
              <w:tc>
                <w:tcPr>
                  <w:tcW w:w="881" w:type="pct"/>
                  <w:noWrap w:val="0"/>
                  <w:vAlign w:val="center"/>
                </w:tcPr>
                <w:p w14:paraId="54D62BD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jc w:val="center"/>
                    <w:textAlignment w:val="auto"/>
                    <w:rPr>
                      <w:rFonts w:hint="default"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一级水喷淋塔</w:t>
                  </w:r>
                </w:p>
              </w:tc>
              <w:tc>
                <w:tcPr>
                  <w:tcW w:w="978" w:type="pct"/>
                  <w:gridSpan w:val="2"/>
                  <w:noWrap w:val="0"/>
                  <w:vAlign w:val="center"/>
                </w:tcPr>
                <w:p w14:paraId="3AD0EAA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jc w:val="center"/>
                    <w:textAlignment w:val="auto"/>
                    <w:rPr>
                      <w:rFonts w:hint="eastAsia"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一级碱喷淋塔</w:t>
                  </w:r>
                </w:p>
              </w:tc>
              <w:tc>
                <w:tcPr>
                  <w:tcW w:w="968" w:type="pct"/>
                  <w:noWrap w:val="0"/>
                  <w:vAlign w:val="center"/>
                </w:tcPr>
                <w:p w14:paraId="24F9872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exact"/>
                    <w:ind w:left="0" w:right="0"/>
                    <w:jc w:val="center"/>
                    <w:textAlignment w:val="auto"/>
                    <w:rPr>
                      <w:rFonts w:hint="eastAsia"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rPr>
                    <w:t>一级水喷淋塔</w:t>
                  </w:r>
                </w:p>
              </w:tc>
            </w:tr>
            <w:tr w14:paraId="65CAA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5" w:type="pct"/>
                  <w:noWrap w:val="0"/>
                  <w:vAlign w:val="center"/>
                </w:tcPr>
                <w:p w14:paraId="3D5DE407">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1</w:t>
                  </w:r>
                </w:p>
              </w:tc>
              <w:tc>
                <w:tcPr>
                  <w:tcW w:w="964" w:type="pct"/>
                  <w:noWrap w:val="0"/>
                  <w:vAlign w:val="center"/>
                </w:tcPr>
                <w:p w14:paraId="460CB440">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风机风量（m</w:t>
                  </w:r>
                  <w:r>
                    <w:rPr>
                      <w:rFonts w:hint="eastAsia" w:ascii="Times New Roman" w:hAnsi="Times New Roman" w:eastAsia="宋体" w:cs="Times New Roman"/>
                      <w:color w:val="auto"/>
                      <w:szCs w:val="24"/>
                      <w:highlight w:val="none"/>
                      <w:vertAlign w:val="superscript"/>
                    </w:rPr>
                    <w:t>3</w:t>
                  </w:r>
                  <w:r>
                    <w:rPr>
                      <w:rFonts w:hint="eastAsia" w:ascii="Times New Roman" w:hAnsi="Times New Roman" w:eastAsia="宋体" w:cs="Times New Roman"/>
                      <w:color w:val="auto"/>
                      <w:szCs w:val="24"/>
                      <w:highlight w:val="none"/>
                    </w:rPr>
                    <w:t>/h）</w:t>
                  </w:r>
                </w:p>
              </w:tc>
              <w:tc>
                <w:tcPr>
                  <w:tcW w:w="1803" w:type="pct"/>
                  <w:gridSpan w:val="2"/>
                  <w:noWrap w:val="0"/>
                  <w:vAlign w:val="center"/>
                </w:tcPr>
                <w:p w14:paraId="43AEC3F5">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lang w:val="en-US"/>
                    </w:rPr>
                  </w:pPr>
                  <w:r>
                    <w:rPr>
                      <w:rFonts w:hint="eastAsia" w:ascii="Times New Roman" w:hAnsi="Times New Roman" w:cs="Times New Roman"/>
                      <w:color w:val="auto"/>
                      <w:szCs w:val="24"/>
                      <w:highlight w:val="none"/>
                      <w:lang w:val="en-US" w:eastAsia="zh-CN"/>
                    </w:rPr>
                    <w:t>17500</w:t>
                  </w:r>
                </w:p>
              </w:tc>
              <w:tc>
                <w:tcPr>
                  <w:tcW w:w="1947" w:type="pct"/>
                  <w:gridSpan w:val="3"/>
                  <w:noWrap w:val="0"/>
                  <w:vAlign w:val="center"/>
                </w:tcPr>
                <w:p w14:paraId="529F84C0">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cs="Times New Roman"/>
                      <w:color w:val="auto"/>
                      <w:szCs w:val="24"/>
                      <w:highlight w:val="none"/>
                      <w:lang w:val="en-US" w:eastAsia="zh-CN"/>
                    </w:rPr>
                  </w:pPr>
                  <w:r>
                    <w:rPr>
                      <w:rFonts w:hint="eastAsia" w:cs="Times New Roman"/>
                      <w:color w:val="auto"/>
                      <w:szCs w:val="24"/>
                      <w:highlight w:val="none"/>
                      <w:lang w:val="en-US" w:eastAsia="zh-CN"/>
                    </w:rPr>
                    <w:t>7500</w:t>
                  </w:r>
                </w:p>
              </w:tc>
            </w:tr>
            <w:tr w14:paraId="66A6B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85" w:type="pct"/>
                  <w:noWrap w:val="0"/>
                  <w:vAlign w:val="center"/>
                </w:tcPr>
                <w:p w14:paraId="15D57E77">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w:t>
                  </w:r>
                </w:p>
              </w:tc>
              <w:tc>
                <w:tcPr>
                  <w:tcW w:w="964" w:type="pct"/>
                  <w:noWrap w:val="0"/>
                  <w:vAlign w:val="center"/>
                </w:tcPr>
                <w:p w14:paraId="2FAD465A">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塔体规格mm</w:t>
                  </w:r>
                </w:p>
              </w:tc>
              <w:tc>
                <w:tcPr>
                  <w:tcW w:w="921" w:type="pct"/>
                  <w:noWrap w:val="0"/>
                  <w:vAlign w:val="center"/>
                </w:tcPr>
                <w:p w14:paraId="4A73EE6A">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Φ</w:t>
                  </w:r>
                  <w:r>
                    <w:rPr>
                      <w:rFonts w:hint="eastAsia" w:ascii="Times New Roman" w:hAnsi="Times New Roman" w:cs="Times New Roman"/>
                      <w:color w:val="auto"/>
                      <w:szCs w:val="24"/>
                      <w:highlight w:val="none"/>
                      <w:lang w:val="en-US" w:eastAsia="zh-CN"/>
                    </w:rPr>
                    <w:t>2000</w:t>
                  </w:r>
                  <w:r>
                    <w:rPr>
                      <w:rFonts w:hint="eastAsia" w:ascii="Times New Roman" w:hAnsi="Times New Roman" w:eastAsia="宋体" w:cs="Times New Roman"/>
                      <w:color w:val="auto"/>
                      <w:szCs w:val="24"/>
                      <w:highlight w:val="none"/>
                      <w:lang w:val="en-US" w:eastAsia="zh-CN"/>
                    </w:rPr>
                    <w:t>*</w:t>
                  </w:r>
                  <w:r>
                    <w:rPr>
                      <w:rFonts w:hint="eastAsia" w:ascii="Times New Roman" w:hAnsi="Times New Roman" w:cs="Times New Roman"/>
                      <w:color w:val="auto"/>
                      <w:szCs w:val="24"/>
                      <w:highlight w:val="none"/>
                      <w:lang w:val="en-US" w:eastAsia="zh-CN"/>
                    </w:rPr>
                    <w:t>350</w:t>
                  </w:r>
                  <w:r>
                    <w:rPr>
                      <w:rFonts w:hint="eastAsia" w:ascii="Times New Roman" w:hAnsi="Times New Roman" w:eastAsia="宋体" w:cs="Times New Roman"/>
                      <w:color w:val="auto"/>
                      <w:szCs w:val="24"/>
                      <w:highlight w:val="none"/>
                      <w:lang w:val="en-US" w:eastAsia="zh-CN"/>
                    </w:rPr>
                    <w:t>0mm</w:t>
                  </w:r>
                </w:p>
              </w:tc>
              <w:tc>
                <w:tcPr>
                  <w:tcW w:w="881" w:type="pct"/>
                  <w:noWrap w:val="0"/>
                  <w:vAlign w:val="center"/>
                </w:tcPr>
                <w:p w14:paraId="3AA356AD">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Φ</w:t>
                  </w:r>
                  <w:r>
                    <w:rPr>
                      <w:rFonts w:hint="eastAsia" w:ascii="Times New Roman" w:hAnsi="Times New Roman" w:cs="Times New Roman"/>
                      <w:color w:val="auto"/>
                      <w:szCs w:val="24"/>
                      <w:highlight w:val="none"/>
                      <w:lang w:val="en-US" w:eastAsia="zh-CN"/>
                    </w:rPr>
                    <w:t>200</w:t>
                  </w:r>
                  <w:r>
                    <w:rPr>
                      <w:rFonts w:hint="eastAsia" w:ascii="Times New Roman" w:hAnsi="Times New Roman" w:eastAsia="宋体" w:cs="Times New Roman"/>
                      <w:color w:val="auto"/>
                      <w:szCs w:val="24"/>
                      <w:highlight w:val="none"/>
                    </w:rPr>
                    <w:t>0*5</w:t>
                  </w:r>
                  <w:r>
                    <w:rPr>
                      <w:rFonts w:hint="eastAsia" w:ascii="Times New Roman" w:hAnsi="Times New Roman" w:cs="Times New Roman"/>
                      <w:color w:val="auto"/>
                      <w:szCs w:val="24"/>
                      <w:highlight w:val="none"/>
                      <w:lang w:val="en-US" w:eastAsia="zh-CN"/>
                    </w:rPr>
                    <w:t>0</w:t>
                  </w:r>
                  <w:r>
                    <w:rPr>
                      <w:rFonts w:hint="eastAsia" w:ascii="Times New Roman" w:hAnsi="Times New Roman" w:eastAsia="宋体" w:cs="Times New Roman"/>
                      <w:color w:val="auto"/>
                      <w:szCs w:val="24"/>
                      <w:highlight w:val="none"/>
                    </w:rPr>
                    <w:t>00mm</w:t>
                  </w:r>
                </w:p>
              </w:tc>
              <w:tc>
                <w:tcPr>
                  <w:tcW w:w="978" w:type="pct"/>
                  <w:gridSpan w:val="2"/>
                  <w:noWrap w:val="0"/>
                  <w:vAlign w:val="center"/>
                </w:tcPr>
                <w:p w14:paraId="15EAB4F6">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lang w:val="en-US" w:eastAsia="zh-CN"/>
                    </w:rPr>
                    <w:t>Φ</w:t>
                  </w:r>
                  <w:r>
                    <w:rPr>
                      <w:rFonts w:hint="eastAsia" w:ascii="Times New Roman" w:hAnsi="Times New Roman" w:cs="Times New Roman"/>
                      <w:color w:val="auto"/>
                      <w:szCs w:val="24"/>
                      <w:highlight w:val="none"/>
                      <w:lang w:val="en-US" w:eastAsia="zh-CN"/>
                    </w:rPr>
                    <w:t>2000</w:t>
                  </w:r>
                  <w:r>
                    <w:rPr>
                      <w:rFonts w:hint="eastAsia" w:ascii="Times New Roman" w:hAnsi="Times New Roman" w:eastAsia="宋体" w:cs="Times New Roman"/>
                      <w:color w:val="auto"/>
                      <w:szCs w:val="24"/>
                      <w:highlight w:val="none"/>
                      <w:lang w:val="en-US" w:eastAsia="zh-CN"/>
                    </w:rPr>
                    <w:t>*</w:t>
                  </w:r>
                  <w:r>
                    <w:rPr>
                      <w:rFonts w:hint="eastAsia" w:ascii="Times New Roman" w:hAnsi="Times New Roman" w:cs="Times New Roman"/>
                      <w:color w:val="auto"/>
                      <w:szCs w:val="24"/>
                      <w:highlight w:val="none"/>
                      <w:lang w:val="en-US" w:eastAsia="zh-CN"/>
                    </w:rPr>
                    <w:t>350</w:t>
                  </w:r>
                  <w:r>
                    <w:rPr>
                      <w:rFonts w:hint="eastAsia" w:ascii="Times New Roman" w:hAnsi="Times New Roman" w:eastAsia="宋体" w:cs="Times New Roman"/>
                      <w:color w:val="auto"/>
                      <w:szCs w:val="24"/>
                      <w:highlight w:val="none"/>
                      <w:lang w:val="en-US" w:eastAsia="zh-CN"/>
                    </w:rPr>
                    <w:t>0mm</w:t>
                  </w:r>
                </w:p>
              </w:tc>
              <w:tc>
                <w:tcPr>
                  <w:tcW w:w="968" w:type="pct"/>
                  <w:noWrap w:val="0"/>
                  <w:vAlign w:val="center"/>
                </w:tcPr>
                <w:p w14:paraId="6A18EE92">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Φ</w:t>
                  </w:r>
                  <w:r>
                    <w:rPr>
                      <w:rFonts w:hint="eastAsia" w:ascii="Times New Roman" w:hAnsi="Times New Roman" w:cs="Times New Roman"/>
                      <w:color w:val="auto"/>
                      <w:szCs w:val="24"/>
                      <w:highlight w:val="none"/>
                      <w:lang w:val="en-US" w:eastAsia="zh-CN"/>
                    </w:rPr>
                    <w:t>200</w:t>
                  </w:r>
                  <w:r>
                    <w:rPr>
                      <w:rFonts w:hint="eastAsia" w:ascii="Times New Roman" w:hAnsi="Times New Roman" w:eastAsia="宋体" w:cs="Times New Roman"/>
                      <w:color w:val="auto"/>
                      <w:szCs w:val="24"/>
                      <w:highlight w:val="none"/>
                    </w:rPr>
                    <w:t>0*5</w:t>
                  </w:r>
                  <w:r>
                    <w:rPr>
                      <w:rFonts w:hint="eastAsia" w:ascii="Times New Roman" w:hAnsi="Times New Roman" w:cs="Times New Roman"/>
                      <w:color w:val="auto"/>
                      <w:szCs w:val="24"/>
                      <w:highlight w:val="none"/>
                      <w:lang w:val="en-US" w:eastAsia="zh-CN"/>
                    </w:rPr>
                    <w:t>0</w:t>
                  </w:r>
                  <w:r>
                    <w:rPr>
                      <w:rFonts w:hint="eastAsia" w:ascii="Times New Roman" w:hAnsi="Times New Roman" w:eastAsia="宋体" w:cs="Times New Roman"/>
                      <w:color w:val="auto"/>
                      <w:szCs w:val="24"/>
                      <w:highlight w:val="none"/>
                    </w:rPr>
                    <w:t>00mm</w:t>
                  </w:r>
                </w:p>
              </w:tc>
            </w:tr>
            <w:tr w14:paraId="685B6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6F5B50DC">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3</w:t>
                  </w:r>
                </w:p>
              </w:tc>
              <w:tc>
                <w:tcPr>
                  <w:tcW w:w="964" w:type="pct"/>
                  <w:noWrap w:val="0"/>
                  <w:vAlign w:val="center"/>
                </w:tcPr>
                <w:p w14:paraId="7C828AEC">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塔体材质</w:t>
                  </w:r>
                </w:p>
              </w:tc>
              <w:tc>
                <w:tcPr>
                  <w:tcW w:w="921" w:type="pct"/>
                  <w:noWrap w:val="0"/>
                  <w:vAlign w:val="center"/>
                </w:tcPr>
                <w:p w14:paraId="05260C20">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PP</w:t>
                  </w:r>
                </w:p>
              </w:tc>
              <w:tc>
                <w:tcPr>
                  <w:tcW w:w="881" w:type="pct"/>
                  <w:noWrap w:val="0"/>
                  <w:vAlign w:val="center"/>
                </w:tcPr>
                <w:p w14:paraId="11990276">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PP</w:t>
                  </w:r>
                </w:p>
              </w:tc>
              <w:tc>
                <w:tcPr>
                  <w:tcW w:w="978" w:type="pct"/>
                  <w:gridSpan w:val="2"/>
                  <w:noWrap w:val="0"/>
                  <w:vAlign w:val="center"/>
                </w:tcPr>
                <w:p w14:paraId="5D9EBDB0">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PP</w:t>
                  </w:r>
                </w:p>
              </w:tc>
              <w:tc>
                <w:tcPr>
                  <w:tcW w:w="968" w:type="pct"/>
                  <w:noWrap w:val="0"/>
                  <w:vAlign w:val="center"/>
                </w:tcPr>
                <w:p w14:paraId="78EF5B9B">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PP</w:t>
                  </w:r>
                </w:p>
              </w:tc>
            </w:tr>
            <w:tr w14:paraId="023B9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33A41E67">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4</w:t>
                  </w:r>
                </w:p>
              </w:tc>
              <w:tc>
                <w:tcPr>
                  <w:tcW w:w="964" w:type="pct"/>
                  <w:noWrap w:val="0"/>
                  <w:vAlign w:val="center"/>
                </w:tcPr>
                <w:p w14:paraId="5CEE270C">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液气比</w:t>
                  </w:r>
                </w:p>
              </w:tc>
              <w:tc>
                <w:tcPr>
                  <w:tcW w:w="921" w:type="pct"/>
                  <w:noWrap w:val="0"/>
                  <w:vAlign w:val="center"/>
                </w:tcPr>
                <w:p w14:paraId="6086D4E8">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2.5</w:t>
                  </w:r>
                </w:p>
              </w:tc>
              <w:tc>
                <w:tcPr>
                  <w:tcW w:w="881" w:type="pct"/>
                  <w:noWrap w:val="0"/>
                  <w:vAlign w:val="center"/>
                </w:tcPr>
                <w:p w14:paraId="01D3AAC3">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2.5</w:t>
                  </w:r>
                </w:p>
              </w:tc>
              <w:tc>
                <w:tcPr>
                  <w:tcW w:w="978" w:type="pct"/>
                  <w:gridSpan w:val="2"/>
                  <w:noWrap w:val="0"/>
                  <w:vAlign w:val="center"/>
                </w:tcPr>
                <w:p w14:paraId="4214A0EF">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2.5</w:t>
                  </w:r>
                </w:p>
              </w:tc>
              <w:tc>
                <w:tcPr>
                  <w:tcW w:w="968" w:type="pct"/>
                  <w:noWrap w:val="0"/>
                  <w:vAlign w:val="center"/>
                </w:tcPr>
                <w:p w14:paraId="1FF0B8F5">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2.5</w:t>
                  </w:r>
                </w:p>
              </w:tc>
            </w:tr>
            <w:tr w14:paraId="57BA55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1B575B36">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5</w:t>
                  </w:r>
                </w:p>
              </w:tc>
              <w:tc>
                <w:tcPr>
                  <w:tcW w:w="964" w:type="pct"/>
                  <w:noWrap w:val="0"/>
                  <w:vAlign w:val="center"/>
                </w:tcPr>
                <w:p w14:paraId="406EDD96">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塔径mm</w:t>
                  </w:r>
                </w:p>
              </w:tc>
              <w:tc>
                <w:tcPr>
                  <w:tcW w:w="921" w:type="pct"/>
                  <w:noWrap w:val="0"/>
                  <w:vAlign w:val="center"/>
                </w:tcPr>
                <w:p w14:paraId="0F7D75F9">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2000</w:t>
                  </w:r>
                </w:p>
              </w:tc>
              <w:tc>
                <w:tcPr>
                  <w:tcW w:w="881" w:type="pct"/>
                  <w:noWrap w:val="0"/>
                  <w:vAlign w:val="center"/>
                </w:tcPr>
                <w:p w14:paraId="38CABCF4">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2000</w:t>
                  </w:r>
                </w:p>
              </w:tc>
              <w:tc>
                <w:tcPr>
                  <w:tcW w:w="978" w:type="pct"/>
                  <w:gridSpan w:val="2"/>
                  <w:noWrap w:val="0"/>
                  <w:vAlign w:val="center"/>
                </w:tcPr>
                <w:p w14:paraId="7FDF00B4">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cs="Times New Roman"/>
                      <w:color w:val="auto"/>
                      <w:szCs w:val="24"/>
                      <w:highlight w:val="none"/>
                      <w:lang w:val="en-US" w:eastAsia="zh-CN"/>
                    </w:rPr>
                  </w:pPr>
                  <w:r>
                    <w:rPr>
                      <w:rFonts w:hint="eastAsia" w:cs="Times New Roman"/>
                      <w:color w:val="auto"/>
                      <w:szCs w:val="24"/>
                      <w:highlight w:val="none"/>
                      <w:lang w:val="en-US" w:eastAsia="zh-CN"/>
                    </w:rPr>
                    <w:t>2000</w:t>
                  </w:r>
                </w:p>
              </w:tc>
              <w:tc>
                <w:tcPr>
                  <w:tcW w:w="968" w:type="pct"/>
                  <w:noWrap w:val="0"/>
                  <w:vAlign w:val="center"/>
                </w:tcPr>
                <w:p w14:paraId="0DDF2B2B">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cs="Times New Roman"/>
                      <w:color w:val="auto"/>
                      <w:szCs w:val="24"/>
                      <w:highlight w:val="none"/>
                      <w:lang w:val="en-US" w:eastAsia="zh-CN"/>
                    </w:rPr>
                  </w:pPr>
                  <w:r>
                    <w:rPr>
                      <w:rFonts w:hint="eastAsia" w:cs="Times New Roman"/>
                      <w:color w:val="auto"/>
                      <w:szCs w:val="24"/>
                      <w:highlight w:val="none"/>
                      <w:lang w:val="en-US" w:eastAsia="zh-CN"/>
                    </w:rPr>
                    <w:t>2000</w:t>
                  </w:r>
                </w:p>
              </w:tc>
            </w:tr>
            <w:tr w14:paraId="083EA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795F05B5">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6</w:t>
                  </w:r>
                </w:p>
              </w:tc>
              <w:tc>
                <w:tcPr>
                  <w:tcW w:w="964" w:type="pct"/>
                  <w:noWrap w:val="0"/>
                  <w:vAlign w:val="center"/>
                </w:tcPr>
                <w:p w14:paraId="64AB4A71">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4"/>
                      <w:highlight w:val="none"/>
                      <w:lang w:eastAsia="zh-CN"/>
                    </w:rPr>
                  </w:pPr>
                  <w:r>
                    <w:rPr>
                      <w:rFonts w:hint="eastAsia" w:cs="Times New Roman"/>
                      <w:color w:val="auto"/>
                      <w:szCs w:val="24"/>
                      <w:highlight w:val="none"/>
                      <w:lang w:val="en-US" w:eastAsia="zh-CN"/>
                    </w:rPr>
                    <w:t>液体成分</w:t>
                  </w:r>
                </w:p>
              </w:tc>
              <w:tc>
                <w:tcPr>
                  <w:tcW w:w="921" w:type="pct"/>
                  <w:noWrap w:val="0"/>
                  <w:vAlign w:val="center"/>
                </w:tcPr>
                <w:p w14:paraId="290B495D">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碱+水</w:t>
                  </w:r>
                </w:p>
              </w:tc>
              <w:tc>
                <w:tcPr>
                  <w:tcW w:w="881" w:type="pct"/>
                  <w:noWrap w:val="0"/>
                  <w:vAlign w:val="center"/>
                </w:tcPr>
                <w:p w14:paraId="6F1A0DBD">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4"/>
                      <w:highlight w:val="none"/>
                      <w:lang w:eastAsia="zh-CN"/>
                    </w:rPr>
                  </w:pPr>
                  <w:r>
                    <w:rPr>
                      <w:rFonts w:hint="eastAsia" w:cs="Times New Roman"/>
                      <w:color w:val="auto"/>
                      <w:szCs w:val="24"/>
                      <w:highlight w:val="none"/>
                      <w:lang w:val="en-US" w:eastAsia="zh-CN"/>
                    </w:rPr>
                    <w:t>水</w:t>
                  </w:r>
                </w:p>
              </w:tc>
              <w:tc>
                <w:tcPr>
                  <w:tcW w:w="978" w:type="pct"/>
                  <w:gridSpan w:val="2"/>
                  <w:noWrap w:val="0"/>
                  <w:vAlign w:val="center"/>
                </w:tcPr>
                <w:p w14:paraId="1A7D2E49">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cs="Times New Roman"/>
                      <w:color w:val="auto"/>
                      <w:szCs w:val="24"/>
                      <w:highlight w:val="none"/>
                      <w:lang w:val="en-US" w:eastAsia="zh-CN"/>
                    </w:rPr>
                  </w:pPr>
                  <w:r>
                    <w:rPr>
                      <w:rFonts w:hint="eastAsia" w:cs="Times New Roman"/>
                      <w:color w:val="auto"/>
                      <w:szCs w:val="24"/>
                      <w:highlight w:val="none"/>
                      <w:lang w:val="en-US" w:eastAsia="zh-CN"/>
                    </w:rPr>
                    <w:t>碱+水</w:t>
                  </w:r>
                </w:p>
              </w:tc>
              <w:tc>
                <w:tcPr>
                  <w:tcW w:w="968" w:type="pct"/>
                  <w:noWrap w:val="0"/>
                  <w:vAlign w:val="center"/>
                </w:tcPr>
                <w:p w14:paraId="50552F8E">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cs="Times New Roman"/>
                      <w:color w:val="auto"/>
                      <w:szCs w:val="24"/>
                      <w:highlight w:val="none"/>
                      <w:lang w:val="en-US" w:eastAsia="zh-CN"/>
                    </w:rPr>
                  </w:pPr>
                  <w:r>
                    <w:rPr>
                      <w:rFonts w:hint="eastAsia" w:cs="Times New Roman"/>
                      <w:color w:val="auto"/>
                      <w:szCs w:val="24"/>
                      <w:highlight w:val="none"/>
                      <w:lang w:val="en-US" w:eastAsia="zh-CN"/>
                    </w:rPr>
                    <w:t>水</w:t>
                  </w:r>
                </w:p>
              </w:tc>
            </w:tr>
            <w:tr w14:paraId="3AFD9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85" w:type="pct"/>
                  <w:noWrap w:val="0"/>
                  <w:vAlign w:val="center"/>
                </w:tcPr>
                <w:p w14:paraId="16D29CCA">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4"/>
                      <w:highlight w:val="none"/>
                      <w:lang w:eastAsia="zh-CN"/>
                    </w:rPr>
                  </w:pPr>
                  <w:r>
                    <w:rPr>
                      <w:rFonts w:hint="eastAsia" w:cs="Times New Roman"/>
                      <w:color w:val="auto"/>
                      <w:szCs w:val="24"/>
                      <w:highlight w:val="none"/>
                      <w:lang w:val="en-US" w:eastAsia="zh-CN"/>
                    </w:rPr>
                    <w:t>7</w:t>
                  </w:r>
                </w:p>
              </w:tc>
              <w:tc>
                <w:tcPr>
                  <w:tcW w:w="964" w:type="pct"/>
                  <w:noWrap w:val="0"/>
                  <w:vAlign w:val="center"/>
                </w:tcPr>
                <w:p w14:paraId="7316AEB8">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空塔风速m/s</w:t>
                  </w:r>
                </w:p>
              </w:tc>
              <w:tc>
                <w:tcPr>
                  <w:tcW w:w="921" w:type="pct"/>
                  <w:noWrap w:val="0"/>
                  <w:vAlign w:val="center"/>
                </w:tcPr>
                <w:p w14:paraId="61C85028">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1.548</w:t>
                  </w:r>
                </w:p>
              </w:tc>
              <w:tc>
                <w:tcPr>
                  <w:tcW w:w="881" w:type="pct"/>
                  <w:noWrap w:val="0"/>
                  <w:vAlign w:val="center"/>
                </w:tcPr>
                <w:p w14:paraId="1B6674BD">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1.548</w:t>
                  </w:r>
                </w:p>
              </w:tc>
              <w:tc>
                <w:tcPr>
                  <w:tcW w:w="978" w:type="pct"/>
                  <w:gridSpan w:val="2"/>
                  <w:noWrap w:val="0"/>
                  <w:vAlign w:val="center"/>
                </w:tcPr>
                <w:p w14:paraId="3D3B8E8A">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cs="Times New Roman"/>
                      <w:color w:val="auto"/>
                      <w:szCs w:val="24"/>
                      <w:highlight w:val="none"/>
                      <w:lang w:val="en-US" w:eastAsia="zh-CN"/>
                    </w:rPr>
                  </w:pPr>
                  <w:r>
                    <w:rPr>
                      <w:rFonts w:hint="eastAsia" w:cs="Times New Roman"/>
                      <w:color w:val="auto"/>
                      <w:szCs w:val="24"/>
                      <w:highlight w:val="none"/>
                      <w:lang w:val="en-US" w:eastAsia="zh-CN"/>
                    </w:rPr>
                    <w:t>1.55</w:t>
                  </w:r>
                </w:p>
              </w:tc>
              <w:tc>
                <w:tcPr>
                  <w:tcW w:w="968" w:type="pct"/>
                  <w:noWrap w:val="0"/>
                  <w:vAlign w:val="center"/>
                </w:tcPr>
                <w:p w14:paraId="7A18888B">
                  <w:pPr>
                    <w:keepNext w:val="0"/>
                    <w:keepLines w:val="0"/>
                    <w:pageBreakBefore w:val="0"/>
                    <w:widowControl w:val="0"/>
                    <w:suppressLineNumbers w:val="0"/>
                    <w:kinsoku/>
                    <w:wordWrap/>
                    <w:overflowPunct/>
                    <w:topLinePunct w:val="0"/>
                    <w:bidi w:val="0"/>
                    <w:snapToGrid/>
                    <w:spacing w:before="0" w:beforeAutospacing="0" w:after="0" w:afterAutospacing="0" w:line="240" w:lineRule="exact"/>
                    <w:ind w:left="0" w:right="0"/>
                    <w:jc w:val="center"/>
                    <w:textAlignment w:val="auto"/>
                    <w:rPr>
                      <w:rFonts w:hint="default" w:ascii="Times New Roman" w:hAnsi="Times New Roman" w:cs="Times New Roman"/>
                      <w:color w:val="auto"/>
                      <w:szCs w:val="24"/>
                      <w:highlight w:val="none"/>
                      <w:lang w:val="en-US" w:eastAsia="zh-CN"/>
                    </w:rPr>
                  </w:pPr>
                  <w:r>
                    <w:rPr>
                      <w:rFonts w:hint="eastAsia" w:cs="Times New Roman"/>
                      <w:color w:val="auto"/>
                      <w:szCs w:val="24"/>
                      <w:highlight w:val="none"/>
                      <w:lang w:val="en-US" w:eastAsia="zh-CN"/>
                    </w:rPr>
                    <w:t>1.55</w:t>
                  </w:r>
                </w:p>
              </w:tc>
            </w:tr>
          </w:tbl>
          <w:p w14:paraId="69FA6317">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cs="Times New Roman"/>
                <w:b w:val="0"/>
                <w:bCs w:val="0"/>
                <w:color w:val="auto"/>
                <w:sz w:val="24"/>
                <w:highlight w:val="none"/>
                <w:lang w:val="en-US" w:eastAsia="zh-CN"/>
              </w:rPr>
            </w:pPr>
            <w:r>
              <w:rPr>
                <w:rFonts w:hint="eastAsia" w:cs="Times New Roman"/>
                <w:b/>
                <w:bCs/>
                <w:color w:val="auto"/>
                <w:sz w:val="24"/>
                <w:highlight w:val="none"/>
                <w:lang w:val="en-US" w:eastAsia="zh-CN"/>
              </w:rPr>
              <w:t>空塔风速：</w:t>
            </w:r>
            <w:r>
              <w:rPr>
                <w:rFonts w:hint="eastAsia" w:cs="Times New Roman"/>
                <w:b w:val="0"/>
                <w:bCs w:val="0"/>
                <w:color w:val="auto"/>
                <w:sz w:val="24"/>
                <w:highlight w:val="none"/>
                <w:lang w:val="en-US" w:eastAsia="zh-CN"/>
              </w:rPr>
              <w:t>3号楼生产车间一级碱喷淋塔、一级水喷淋塔空塔风速=17500÷（π*2</w:t>
            </w:r>
            <w:r>
              <w:rPr>
                <w:rFonts w:hint="eastAsia" w:cs="Times New Roman"/>
                <w:b w:val="0"/>
                <w:bCs w:val="0"/>
                <w:color w:val="auto"/>
                <w:sz w:val="24"/>
                <w:highlight w:val="none"/>
                <w:vertAlign w:val="superscript"/>
                <w:lang w:val="en-US" w:eastAsia="zh-CN"/>
              </w:rPr>
              <w:t>2</w:t>
            </w:r>
            <w:r>
              <w:rPr>
                <w:rFonts w:hint="eastAsia" w:cs="Times New Roman"/>
                <w:b w:val="0"/>
                <w:bCs w:val="0"/>
                <w:color w:val="auto"/>
                <w:sz w:val="24"/>
                <w:highlight w:val="none"/>
                <w:vertAlign w:val="baseline"/>
                <w:lang w:val="en-US" w:eastAsia="zh-CN"/>
              </w:rPr>
              <w:t>/4</w:t>
            </w:r>
            <w:r>
              <w:rPr>
                <w:rFonts w:hint="eastAsia" w:cs="Times New Roman"/>
                <w:b w:val="0"/>
                <w:bCs w:val="0"/>
                <w:color w:val="auto"/>
                <w:sz w:val="24"/>
                <w:highlight w:val="none"/>
                <w:lang w:val="en-US" w:eastAsia="zh-CN"/>
              </w:rPr>
              <w:t>）÷3600=</w:t>
            </w:r>
            <w:r>
              <w:rPr>
                <w:rFonts w:hint="eastAsia" w:cs="Times New Roman"/>
                <w:b/>
                <w:bCs/>
                <w:color w:val="auto"/>
                <w:sz w:val="24"/>
                <w:highlight w:val="none"/>
                <w:lang w:val="en-US" w:eastAsia="zh-CN"/>
              </w:rPr>
              <w:t>1.548m/s</w:t>
            </w:r>
            <w:r>
              <w:rPr>
                <w:rFonts w:hint="eastAsia" w:cs="Times New Roman"/>
                <w:b w:val="0"/>
                <w:bCs w:val="0"/>
                <w:color w:val="auto"/>
                <w:sz w:val="24"/>
                <w:highlight w:val="none"/>
                <w:lang w:val="en-US" w:eastAsia="zh-CN"/>
              </w:rPr>
              <w:t>（</w:t>
            </w:r>
            <w:r>
              <w:rPr>
                <w:rFonts w:hint="eastAsia" w:cs="Times New Roman"/>
                <w:b/>
                <w:bCs/>
                <w:color w:val="auto"/>
                <w:sz w:val="24"/>
                <w:highlight w:val="none"/>
                <w:lang w:val="en-US" w:eastAsia="zh-CN"/>
              </w:rPr>
              <w:t>0.5＜1.548＜2m/s</w:t>
            </w:r>
            <w:r>
              <w:rPr>
                <w:rFonts w:hint="eastAsia" w:cs="Times New Roman"/>
                <w:b w:val="0"/>
                <w:bCs w:val="0"/>
                <w:color w:val="auto"/>
                <w:sz w:val="24"/>
                <w:highlight w:val="none"/>
                <w:lang w:val="en-US" w:eastAsia="zh-CN"/>
              </w:rPr>
              <w:t>；根据《挥发性有机物治理实用手册》生态环境部大气环境司著，第三部分VOCs末端治理技术选择与运行维护要求：喷淋塔空塔气速为0.5~2m/s）</w:t>
            </w:r>
          </w:p>
          <w:p w14:paraId="54FF9CD1">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bCs/>
                <w:color w:val="auto"/>
                <w:sz w:val="24"/>
                <w:highlight w:val="none"/>
                <w:lang w:val="en-US" w:eastAsia="zh-CN"/>
              </w:rPr>
            </w:pPr>
            <w:r>
              <w:rPr>
                <w:rFonts w:hint="eastAsia" w:cs="Times New Roman"/>
                <w:b w:val="0"/>
                <w:bCs w:val="0"/>
                <w:color w:val="auto"/>
                <w:sz w:val="24"/>
                <w:highlight w:val="none"/>
                <w:lang w:val="en-US" w:eastAsia="zh-CN"/>
              </w:rPr>
              <w:t>1/2/4号楼生产车间一级碱喷淋塔、一级水喷淋塔空塔风速=7500÷（π*2</w:t>
            </w:r>
            <w:r>
              <w:rPr>
                <w:rFonts w:hint="eastAsia" w:cs="Times New Roman"/>
                <w:b w:val="0"/>
                <w:bCs w:val="0"/>
                <w:color w:val="auto"/>
                <w:sz w:val="24"/>
                <w:highlight w:val="none"/>
                <w:vertAlign w:val="superscript"/>
                <w:lang w:val="en-US" w:eastAsia="zh-CN"/>
              </w:rPr>
              <w:t>2</w:t>
            </w:r>
            <w:r>
              <w:rPr>
                <w:rFonts w:hint="eastAsia" w:cs="Times New Roman"/>
                <w:b w:val="0"/>
                <w:bCs w:val="0"/>
                <w:color w:val="auto"/>
                <w:sz w:val="24"/>
                <w:highlight w:val="none"/>
                <w:vertAlign w:val="baseline"/>
                <w:lang w:val="en-US" w:eastAsia="zh-CN"/>
              </w:rPr>
              <w:t>/4</w:t>
            </w:r>
            <w:r>
              <w:rPr>
                <w:rFonts w:hint="eastAsia" w:cs="Times New Roman"/>
                <w:b w:val="0"/>
                <w:bCs w:val="0"/>
                <w:color w:val="auto"/>
                <w:sz w:val="24"/>
                <w:highlight w:val="none"/>
                <w:lang w:val="en-US" w:eastAsia="zh-CN"/>
              </w:rPr>
              <w:t>）÷3600=</w:t>
            </w:r>
            <w:r>
              <w:rPr>
                <w:rFonts w:hint="eastAsia" w:cs="Times New Roman"/>
                <w:b/>
                <w:bCs/>
                <w:color w:val="auto"/>
                <w:sz w:val="24"/>
                <w:highlight w:val="none"/>
                <w:lang w:val="en-US" w:eastAsia="zh-CN"/>
              </w:rPr>
              <w:t>0.663m/s（0.5＜0.663＜2m/s）</w:t>
            </w:r>
          </w:p>
          <w:p w14:paraId="36198F48">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b/>
                <w:bCs/>
                <w:color w:val="auto"/>
                <w:sz w:val="24"/>
                <w:highlight w:val="none"/>
                <w:lang w:val="en-US" w:eastAsia="zh-CN"/>
              </w:rPr>
            </w:pPr>
            <w:r>
              <w:rPr>
                <w:rFonts w:hint="default" w:cs="Times New Roman"/>
                <w:b w:val="0"/>
                <w:bCs w:val="0"/>
                <w:color w:val="auto"/>
                <w:sz w:val="24"/>
                <w:highlight w:val="none"/>
                <w:lang w:val="en-US" w:eastAsia="zh-CN"/>
              </w:rPr>
              <w:t>根据企业提供的MSDS技术资料及相关文献研究数据表明，本项目</w:t>
            </w:r>
            <w:r>
              <w:rPr>
                <w:rFonts w:hint="eastAsia" w:cs="Times New Roman"/>
                <w:b w:val="0"/>
                <w:bCs w:val="0"/>
                <w:color w:val="auto"/>
                <w:sz w:val="24"/>
                <w:highlight w:val="none"/>
                <w:lang w:val="en-US" w:eastAsia="zh-CN"/>
              </w:rPr>
              <w:t>新增的</w:t>
            </w:r>
            <w:r>
              <w:rPr>
                <w:rFonts w:hint="default" w:cs="Times New Roman"/>
                <w:b w:val="0"/>
                <w:bCs w:val="0"/>
                <w:color w:val="auto"/>
                <w:sz w:val="24"/>
                <w:highlight w:val="none"/>
                <w:lang w:val="en-US" w:eastAsia="zh-CN"/>
              </w:rPr>
              <w:t>硅油-脱模剂主要成分为聚二甲基硅氧烷和六甲基二硅氧烷两种有机化合物。该两种物质均具有稳定的化学特性，主要表现为水不溶性及中性化学性质，且未检测到酸性成分的存在。常规的碱液/水喷淋处理工艺对其分解效能较低，</w:t>
            </w:r>
            <w:r>
              <w:rPr>
                <w:rFonts w:hint="eastAsia" w:cs="Times New Roman"/>
                <w:b w:val="0"/>
                <w:bCs w:val="0"/>
                <w:color w:val="auto"/>
                <w:sz w:val="24"/>
                <w:highlight w:val="none"/>
                <w:lang w:val="en-US" w:eastAsia="zh-CN"/>
              </w:rPr>
              <w:t>因此</w:t>
            </w:r>
            <w:r>
              <w:rPr>
                <w:rFonts w:hint="default" w:cs="Times New Roman"/>
                <w:b w:val="0"/>
                <w:bCs w:val="0"/>
                <w:color w:val="auto"/>
                <w:sz w:val="24"/>
                <w:highlight w:val="none"/>
                <w:lang w:val="en-US" w:eastAsia="zh-CN"/>
              </w:rPr>
              <w:t>废气中的有机污染物主要通过后置的两级串联活性炭吸附装置实现高效净化处理。本项目的喷淋塔系统在运行过程中不会产生新增废液污染源。</w:t>
            </w:r>
          </w:p>
          <w:p w14:paraId="70D20F46">
            <w:pPr>
              <w:keepNext w:val="0"/>
              <w:keepLines w:val="0"/>
              <w:pageBreakBefore w:val="0"/>
              <w:widowControl w:val="0"/>
              <w:suppressLineNumbers w:val="0"/>
              <w:tabs>
                <w:tab w:val="left" w:pos="253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③二级活性炭吸附装置的工作原理：</w:t>
            </w:r>
          </w:p>
          <w:p w14:paraId="242928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宋体"/>
                <w:b/>
                <w:bCs/>
                <w:color w:val="auto"/>
                <w:sz w:val="24"/>
                <w:szCs w:val="24"/>
                <w:highlight w:val="none"/>
                <w:lang w:val="en-US" w:eastAsia="zh-CN"/>
              </w:rPr>
            </w:pPr>
            <w:r>
              <w:rPr>
                <w:rFonts w:hint="eastAsia" w:cs="宋体"/>
                <w:b w:val="0"/>
                <w:bCs/>
                <w:color w:val="auto"/>
                <w:sz w:val="24"/>
                <w:szCs w:val="24"/>
                <w:highlight w:val="none"/>
                <w:lang w:val="en-US" w:eastAsia="zh-CN"/>
              </w:rPr>
              <w:t>废气首先通过第一级活性炭吸附层，该层主要承担高浓度污染物的吸附负荷，去除大部分污染物。随后，废气进入串联的第二级活性炭吸附层，进行深度净化，吸附穿透第一级的残余污染物和低浓度组分，从而确保最终排放废气持续稳定达到环保标准。二级活性炭吸附装置的示意图见下</w:t>
            </w:r>
            <w:r>
              <w:rPr>
                <w:rFonts w:hint="eastAsia" w:cs="宋体"/>
                <w:b/>
                <w:bCs w:val="0"/>
                <w:color w:val="auto"/>
                <w:sz w:val="24"/>
                <w:szCs w:val="24"/>
                <w:highlight w:val="none"/>
                <w:lang w:val="en-US" w:eastAsia="zh-CN"/>
              </w:rPr>
              <w:t>图4-3</w:t>
            </w:r>
            <w:r>
              <w:rPr>
                <w:rFonts w:hint="eastAsia" w:cs="宋体"/>
                <w:b w:val="0"/>
                <w:bCs/>
                <w:color w:val="auto"/>
                <w:sz w:val="24"/>
                <w:szCs w:val="24"/>
                <w:highlight w:val="none"/>
                <w:lang w:val="en-US" w:eastAsia="zh-CN"/>
              </w:rPr>
              <w:t>。</w:t>
            </w:r>
          </w:p>
          <w:p w14:paraId="643C3E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宋体"/>
                <w:b/>
                <w:bCs/>
                <w:color w:val="auto"/>
                <w:sz w:val="24"/>
                <w:szCs w:val="24"/>
                <w:highlight w:val="none"/>
                <w:lang w:eastAsia="zh-CN"/>
              </w:rPr>
            </w:pPr>
            <w:r>
              <w:rPr>
                <w:rFonts w:hint="eastAsia" w:ascii="Times New Roman" w:hAnsi="Times New Roman" w:eastAsia="宋体" w:cs="宋体"/>
                <w:b/>
                <w:bCs/>
                <w:color w:val="auto"/>
                <w:sz w:val="24"/>
                <w:szCs w:val="24"/>
                <w:highlight w:val="none"/>
                <w:lang w:eastAsia="zh-CN"/>
              </w:rPr>
              <w:drawing>
                <wp:inline distT="0" distB="0" distL="114300" distR="114300">
                  <wp:extent cx="2924175" cy="2050415"/>
                  <wp:effectExtent l="0" t="0" r="9525" b="6985"/>
                  <wp:docPr id="9" name="图片 9" descr="17455432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45543236552"/>
                          <pic:cNvPicPr>
                            <a:picLocks noChangeAspect="1"/>
                          </pic:cNvPicPr>
                        </pic:nvPicPr>
                        <pic:blipFill>
                          <a:blip r:embed="rId27"/>
                          <a:stretch>
                            <a:fillRect/>
                          </a:stretch>
                        </pic:blipFill>
                        <pic:spPr>
                          <a:xfrm>
                            <a:off x="0" y="0"/>
                            <a:ext cx="2924175" cy="2050415"/>
                          </a:xfrm>
                          <a:prstGeom prst="rect">
                            <a:avLst/>
                          </a:prstGeom>
                        </pic:spPr>
                      </pic:pic>
                    </a:graphicData>
                  </a:graphic>
                </wp:inline>
              </w:drawing>
            </w:r>
          </w:p>
          <w:p w14:paraId="764F44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宋体"/>
                <w:b/>
                <w:bCs/>
                <w:color w:val="auto"/>
                <w:sz w:val="24"/>
                <w:szCs w:val="24"/>
                <w:highlight w:val="none"/>
                <w:lang w:eastAsia="zh-CN"/>
              </w:rPr>
            </w:pPr>
            <w:r>
              <w:rPr>
                <w:rFonts w:hint="eastAsia" w:ascii="Times New Roman" w:hAnsi="Times New Roman" w:eastAsia="宋体" w:cs="宋体"/>
                <w:b/>
                <w:bCs/>
                <w:color w:val="auto"/>
                <w:sz w:val="24"/>
                <w:szCs w:val="24"/>
                <w:highlight w:val="none"/>
                <w:lang w:eastAsia="zh-CN"/>
              </w:rPr>
              <w:t>图</w:t>
            </w:r>
            <w:r>
              <w:rPr>
                <w:rFonts w:hint="eastAsia" w:ascii="Times New Roman" w:hAnsi="Times New Roman" w:cs="宋体"/>
                <w:b/>
                <w:bCs/>
                <w:color w:val="auto"/>
                <w:sz w:val="24"/>
                <w:szCs w:val="24"/>
                <w:highlight w:val="none"/>
                <w:lang w:val="en-US" w:eastAsia="zh-CN"/>
              </w:rPr>
              <w:t>4--</w:t>
            </w:r>
            <w:r>
              <w:rPr>
                <w:rFonts w:hint="eastAsia" w:cs="宋体"/>
                <w:b/>
                <w:bCs/>
                <w:color w:val="auto"/>
                <w:sz w:val="24"/>
                <w:szCs w:val="24"/>
                <w:highlight w:val="none"/>
                <w:lang w:val="en-US" w:eastAsia="zh-CN"/>
              </w:rPr>
              <w:t>3</w:t>
            </w:r>
            <w:r>
              <w:rPr>
                <w:rFonts w:hint="eastAsia" w:ascii="Times New Roman" w:hAnsi="Times New Roman" w:eastAsia="宋体" w:cs="宋体"/>
                <w:b/>
                <w:bCs/>
                <w:color w:val="auto"/>
                <w:sz w:val="24"/>
                <w:szCs w:val="24"/>
                <w:highlight w:val="none"/>
                <w:lang w:val="en-US" w:eastAsia="zh-CN"/>
              </w:rPr>
              <w:t xml:space="preserve"> </w:t>
            </w:r>
            <w:r>
              <w:rPr>
                <w:rFonts w:hint="eastAsia" w:ascii="Times New Roman" w:hAnsi="Times New Roman" w:eastAsia="宋体" w:cs="宋体"/>
                <w:b/>
                <w:bCs/>
                <w:color w:val="auto"/>
                <w:sz w:val="24"/>
                <w:szCs w:val="24"/>
                <w:highlight w:val="none"/>
                <w:lang w:eastAsia="zh-CN"/>
              </w:rPr>
              <w:t>二级活性炭示意图</w:t>
            </w:r>
          </w:p>
          <w:p w14:paraId="4D5075EE">
            <w:pPr>
              <w:keepNext w:val="0"/>
              <w:keepLines w:val="0"/>
              <w:suppressLineNumbers w:val="0"/>
              <w:tabs>
                <w:tab w:val="left" w:pos="2535"/>
              </w:tabs>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为了保证吸附装置对污染物的处理效果，本项目采用两级活性炭吸附系统进行处理。</w:t>
            </w:r>
          </w:p>
          <w:p w14:paraId="5D43F9A4">
            <w:pPr>
              <w:pStyle w:val="4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-9  </w:t>
            </w:r>
            <w:r>
              <w:rPr>
                <w:rFonts w:hint="default" w:ascii="Times New Roman" w:hAnsi="Times New Roman" w:eastAsia="宋体" w:cs="Times New Roman"/>
                <w:b/>
                <w:color w:val="auto"/>
                <w:kern w:val="2"/>
                <w:sz w:val="24"/>
                <w:szCs w:val="24"/>
                <w:highlight w:val="none"/>
              </w:rPr>
              <w:t>本项目的二级活性炭吸附装置的技术性能及参数</w:t>
            </w:r>
          </w:p>
          <w:tbl>
            <w:tblPr>
              <w:tblStyle w:val="24"/>
              <w:tblW w:w="492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846"/>
              <w:gridCol w:w="1036"/>
              <w:gridCol w:w="2402"/>
              <w:gridCol w:w="2402"/>
            </w:tblGrid>
            <w:tr w14:paraId="3C18AE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11" w:type="pct"/>
                  <w:tcBorders>
                    <w:tl2br w:val="nil"/>
                    <w:tr2bl w:val="nil"/>
                  </w:tcBorders>
                  <w:noWrap w:val="0"/>
                  <w:vAlign w:val="center"/>
                </w:tcPr>
                <w:p w14:paraId="08DD5488">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宋体" w:eastAsia="宋体"/>
                      <w:b/>
                      <w:bCs/>
                      <w:color w:val="auto"/>
                      <w:sz w:val="21"/>
                      <w:szCs w:val="21"/>
                      <w:highlight w:val="none"/>
                    </w:rPr>
                    <w:t>序号</w:t>
                  </w:r>
                </w:p>
              </w:tc>
              <w:tc>
                <w:tcPr>
                  <w:tcW w:w="1101" w:type="pct"/>
                  <w:tcBorders>
                    <w:tl2br w:val="nil"/>
                    <w:tr2bl w:val="nil"/>
                  </w:tcBorders>
                  <w:noWrap w:val="0"/>
                  <w:vAlign w:val="center"/>
                </w:tcPr>
                <w:p w14:paraId="2C687B2A">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default" w:ascii="Times New Roman" w:hAnsi="宋体" w:eastAsia="宋体"/>
                      <w:b/>
                      <w:bCs/>
                      <w:color w:val="auto"/>
                      <w:sz w:val="21"/>
                      <w:szCs w:val="21"/>
                      <w:highlight w:val="none"/>
                    </w:rPr>
                    <w:t>项目</w:t>
                  </w:r>
                </w:p>
              </w:tc>
              <w:tc>
                <w:tcPr>
                  <w:tcW w:w="618" w:type="pct"/>
                  <w:tcBorders>
                    <w:tl2br w:val="nil"/>
                    <w:tr2bl w:val="nil"/>
                  </w:tcBorders>
                  <w:noWrap w:val="0"/>
                  <w:vAlign w:val="center"/>
                </w:tcPr>
                <w:p w14:paraId="4F54D93D">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宋体" w:eastAsia="宋体"/>
                      <w:b/>
                      <w:bCs/>
                      <w:color w:val="auto"/>
                      <w:sz w:val="21"/>
                      <w:szCs w:val="21"/>
                      <w:highlight w:val="none"/>
                      <w:lang w:val="en-US" w:eastAsia="zh-CN"/>
                    </w:rPr>
                  </w:pPr>
                  <w:r>
                    <w:rPr>
                      <w:rFonts w:hint="eastAsia" w:ascii="Times New Roman" w:hAnsi="宋体" w:eastAsia="宋体"/>
                      <w:b/>
                      <w:bCs/>
                      <w:color w:val="auto"/>
                      <w:sz w:val="21"/>
                      <w:szCs w:val="21"/>
                      <w:highlight w:val="none"/>
                      <w:lang w:val="en-US" w:eastAsia="zh-CN"/>
                    </w:rPr>
                    <w:t>单位</w:t>
                  </w:r>
                </w:p>
              </w:tc>
              <w:tc>
                <w:tcPr>
                  <w:tcW w:w="1433" w:type="pct"/>
                  <w:tcBorders>
                    <w:tl2br w:val="nil"/>
                    <w:tr2bl w:val="nil"/>
                  </w:tcBorders>
                  <w:noWrap w:val="0"/>
                  <w:vAlign w:val="center"/>
                </w:tcPr>
                <w:p w14:paraId="165642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bCs/>
                      <w:color w:val="auto"/>
                      <w:sz w:val="21"/>
                      <w:szCs w:val="21"/>
                      <w:highlight w:val="none"/>
                    </w:rPr>
                  </w:pPr>
                  <w:r>
                    <w:rPr>
                      <w:rFonts w:hint="eastAsia"/>
                      <w:b/>
                      <w:bCs/>
                      <w:color w:val="auto"/>
                      <w:szCs w:val="21"/>
                      <w:highlight w:val="none"/>
                      <w:lang w:val="en-US" w:eastAsia="zh-CN"/>
                    </w:rPr>
                    <w:t>3号楼</w:t>
                  </w:r>
                  <w:r>
                    <w:rPr>
                      <w:rFonts w:hint="eastAsia"/>
                      <w:b/>
                      <w:bCs/>
                      <w:color w:val="auto"/>
                      <w:szCs w:val="21"/>
                      <w:highlight w:val="none"/>
                    </w:rPr>
                    <w:t>生产车间活性炭装置</w:t>
                  </w:r>
                  <w:r>
                    <w:rPr>
                      <w:rFonts w:hint="default" w:hAnsi="宋体"/>
                      <w:b/>
                      <w:bCs/>
                      <w:color w:val="auto"/>
                      <w:szCs w:val="21"/>
                      <w:highlight w:val="none"/>
                    </w:rPr>
                    <w:t>技术参数</w:t>
                  </w:r>
                </w:p>
              </w:tc>
              <w:tc>
                <w:tcPr>
                  <w:tcW w:w="1433" w:type="pct"/>
                  <w:tcBorders>
                    <w:tl2br w:val="nil"/>
                    <w:tr2bl w:val="nil"/>
                  </w:tcBorders>
                  <w:noWrap w:val="0"/>
                  <w:vAlign w:val="center"/>
                </w:tcPr>
                <w:p w14:paraId="604712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b/>
                      <w:bCs/>
                      <w:color w:val="auto"/>
                      <w:sz w:val="21"/>
                      <w:szCs w:val="21"/>
                      <w:highlight w:val="none"/>
                    </w:rPr>
                  </w:pPr>
                  <w:r>
                    <w:rPr>
                      <w:rFonts w:hint="eastAsia"/>
                      <w:b/>
                      <w:bCs/>
                      <w:color w:val="auto"/>
                      <w:szCs w:val="21"/>
                      <w:highlight w:val="none"/>
                      <w:lang w:val="en-US" w:eastAsia="zh-CN"/>
                    </w:rPr>
                    <w:t>1号楼、2号楼、4号楼生产车间活性炭装置技术参数</w:t>
                  </w:r>
                </w:p>
              </w:tc>
            </w:tr>
            <w:tr w14:paraId="1BD15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537BDD8B">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w:t>
                  </w:r>
                </w:p>
              </w:tc>
              <w:tc>
                <w:tcPr>
                  <w:tcW w:w="1101" w:type="pct"/>
                  <w:tcBorders>
                    <w:tl2br w:val="nil"/>
                    <w:tr2bl w:val="nil"/>
                  </w:tcBorders>
                  <w:noWrap w:val="0"/>
                  <w:vAlign w:val="center"/>
                </w:tcPr>
                <w:p w14:paraId="32E96744">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宋体" w:eastAsia="宋体"/>
                      <w:b w:val="0"/>
                      <w:bCs w:val="0"/>
                      <w:color w:val="auto"/>
                      <w:sz w:val="21"/>
                      <w:szCs w:val="21"/>
                      <w:highlight w:val="none"/>
                      <w:lang w:val="en-US" w:eastAsia="zh-CN"/>
                    </w:rPr>
                  </w:pPr>
                  <w:r>
                    <w:rPr>
                      <w:rFonts w:hint="eastAsia" w:ascii="Times New Roman" w:hAnsi="宋体" w:eastAsia="宋体"/>
                      <w:color w:val="auto"/>
                      <w:sz w:val="21"/>
                      <w:szCs w:val="21"/>
                      <w:highlight w:val="none"/>
                      <w:lang w:val="en-US" w:eastAsia="zh-CN"/>
                    </w:rPr>
                    <w:t>处理</w:t>
                  </w:r>
                  <w:r>
                    <w:rPr>
                      <w:rFonts w:hint="default" w:ascii="Times New Roman" w:hAnsi="宋体" w:eastAsia="宋体"/>
                      <w:color w:val="auto"/>
                      <w:sz w:val="21"/>
                      <w:szCs w:val="21"/>
                      <w:highlight w:val="none"/>
                    </w:rPr>
                    <w:t>风量</w:t>
                  </w:r>
                </w:p>
              </w:tc>
              <w:tc>
                <w:tcPr>
                  <w:tcW w:w="618" w:type="pct"/>
                  <w:tcBorders>
                    <w:tl2br w:val="nil"/>
                    <w:tr2bl w:val="nil"/>
                  </w:tcBorders>
                  <w:noWrap w:val="0"/>
                  <w:vAlign w:val="center"/>
                </w:tcPr>
                <w:p w14:paraId="54D9D8B3">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宋体" w:eastAsia="宋体"/>
                      <w:b w:val="0"/>
                      <w:bCs w:val="0"/>
                      <w:color w:val="auto"/>
                      <w:sz w:val="21"/>
                      <w:szCs w:val="21"/>
                      <w:highlight w:val="none"/>
                      <w:lang w:val="en-US" w:eastAsia="zh-CN"/>
                    </w:rPr>
                  </w:pPr>
                  <w:r>
                    <w:rPr>
                      <w:rFonts w:hint="default" w:ascii="Times New Roman" w:hAnsi="Times New Roman" w:eastAsia="宋体"/>
                      <w:color w:val="auto"/>
                      <w:sz w:val="21"/>
                      <w:szCs w:val="21"/>
                      <w:highlight w:val="none"/>
                    </w:rPr>
                    <w:t>m</w:t>
                  </w:r>
                  <w:r>
                    <w:rPr>
                      <w:rFonts w:hint="default" w:ascii="Times New Roman" w:hAnsi="Times New Roman" w:eastAsia="宋体"/>
                      <w:color w:val="auto"/>
                      <w:sz w:val="21"/>
                      <w:szCs w:val="21"/>
                      <w:highlight w:val="none"/>
                      <w:vertAlign w:val="superscript"/>
                    </w:rPr>
                    <w:t>3</w:t>
                  </w:r>
                  <w:r>
                    <w:rPr>
                      <w:rFonts w:hint="default" w:ascii="Times New Roman" w:hAnsi="Times New Roman" w:eastAsia="宋体"/>
                      <w:color w:val="auto"/>
                      <w:sz w:val="21"/>
                      <w:szCs w:val="21"/>
                      <w:highlight w:val="none"/>
                    </w:rPr>
                    <w:t>/h</w:t>
                  </w:r>
                </w:p>
              </w:tc>
              <w:tc>
                <w:tcPr>
                  <w:tcW w:w="1433" w:type="pct"/>
                  <w:tcBorders>
                    <w:tl2br w:val="nil"/>
                    <w:tr2bl w:val="nil"/>
                  </w:tcBorders>
                  <w:noWrap w:val="0"/>
                  <w:vAlign w:val="center"/>
                </w:tcPr>
                <w:p w14:paraId="08C669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val="0"/>
                      <w:bCs w:val="0"/>
                      <w:color w:val="auto"/>
                      <w:sz w:val="21"/>
                      <w:szCs w:val="21"/>
                      <w:highlight w:val="none"/>
                      <w:lang w:val="en-US" w:eastAsia="zh-CN"/>
                    </w:rPr>
                  </w:pPr>
                  <w:r>
                    <w:rPr>
                      <w:rFonts w:hint="eastAsia"/>
                      <w:color w:val="auto"/>
                      <w:szCs w:val="21"/>
                      <w:highlight w:val="none"/>
                      <w:lang w:val="en-US" w:eastAsia="zh-CN"/>
                    </w:rPr>
                    <w:t>17500</w:t>
                  </w:r>
                </w:p>
              </w:tc>
              <w:tc>
                <w:tcPr>
                  <w:tcW w:w="1433" w:type="pct"/>
                  <w:tcBorders>
                    <w:tl2br w:val="nil"/>
                    <w:tr2bl w:val="nil"/>
                  </w:tcBorders>
                  <w:noWrap w:val="0"/>
                  <w:vAlign w:val="center"/>
                </w:tcPr>
                <w:p w14:paraId="4D7CF3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s="Times New Roman"/>
                      <w:i w:val="0"/>
                      <w:iCs w:val="0"/>
                      <w:color w:val="auto"/>
                      <w:kern w:val="0"/>
                      <w:sz w:val="21"/>
                      <w:szCs w:val="21"/>
                      <w:highlight w:val="none"/>
                      <w:u w:val="none"/>
                      <w:lang w:val="en-US" w:eastAsia="zh-CN" w:bidi="ar"/>
                    </w:rPr>
                  </w:pPr>
                  <w:r>
                    <w:rPr>
                      <w:rFonts w:hint="eastAsia"/>
                      <w:color w:val="auto"/>
                      <w:szCs w:val="21"/>
                      <w:highlight w:val="none"/>
                      <w:lang w:val="en-US" w:eastAsia="zh-CN"/>
                    </w:rPr>
                    <w:t>7500</w:t>
                  </w:r>
                </w:p>
              </w:tc>
            </w:tr>
            <w:tr w14:paraId="57C5AF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2F445F86">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2</w:t>
                  </w:r>
                </w:p>
              </w:tc>
              <w:tc>
                <w:tcPr>
                  <w:tcW w:w="1101" w:type="pct"/>
                  <w:tcBorders>
                    <w:tl2br w:val="nil"/>
                    <w:tr2bl w:val="nil"/>
                  </w:tcBorders>
                  <w:noWrap w:val="0"/>
                  <w:vAlign w:val="center"/>
                </w:tcPr>
                <w:p w14:paraId="4041730E">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填充种类</w:t>
                  </w:r>
                </w:p>
              </w:tc>
              <w:tc>
                <w:tcPr>
                  <w:tcW w:w="618" w:type="pct"/>
                  <w:tcBorders>
                    <w:tl2br w:val="nil"/>
                    <w:tr2bl w:val="nil"/>
                  </w:tcBorders>
                  <w:noWrap w:val="0"/>
                  <w:vAlign w:val="center"/>
                </w:tcPr>
                <w:p w14:paraId="0B608D34">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433" w:type="pct"/>
                  <w:tcBorders>
                    <w:tl2br w:val="nil"/>
                    <w:tr2bl w:val="nil"/>
                  </w:tcBorders>
                  <w:noWrap w:val="0"/>
                  <w:vAlign w:val="center"/>
                </w:tcPr>
                <w:p w14:paraId="7544F594">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蜂窝状活性炭+颗粒状活性炭</w:t>
                  </w:r>
                </w:p>
              </w:tc>
              <w:tc>
                <w:tcPr>
                  <w:tcW w:w="1433" w:type="pct"/>
                  <w:tcBorders>
                    <w:tl2br w:val="nil"/>
                    <w:tr2bl w:val="nil"/>
                  </w:tcBorders>
                  <w:noWrap w:val="0"/>
                  <w:vAlign w:val="center"/>
                </w:tcPr>
                <w:p w14:paraId="59484004">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颗粒状活性炭</w:t>
                  </w:r>
                </w:p>
              </w:tc>
            </w:tr>
            <w:tr w14:paraId="57361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127547DB">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3</w:t>
                  </w:r>
                </w:p>
              </w:tc>
              <w:tc>
                <w:tcPr>
                  <w:tcW w:w="1101" w:type="pct"/>
                  <w:tcBorders>
                    <w:tl2br w:val="nil"/>
                    <w:tr2bl w:val="nil"/>
                  </w:tcBorders>
                  <w:noWrap w:val="0"/>
                  <w:vAlign w:val="center"/>
                </w:tcPr>
                <w:p w14:paraId="72E1BA34">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宋体" w:eastAsia="宋体"/>
                      <w:color w:val="auto"/>
                      <w:sz w:val="21"/>
                      <w:szCs w:val="21"/>
                      <w:highlight w:val="none"/>
                      <w:lang w:val="en-US" w:eastAsia="zh-CN"/>
                    </w:rPr>
                  </w:pPr>
                  <w:r>
                    <w:rPr>
                      <w:rFonts w:hint="eastAsia" w:ascii="Times New Roman" w:hAnsi="宋体" w:eastAsia="宋体"/>
                      <w:color w:val="auto"/>
                      <w:sz w:val="21"/>
                      <w:szCs w:val="21"/>
                      <w:highlight w:val="none"/>
                      <w:lang w:val="en-US" w:eastAsia="zh-CN"/>
                    </w:rPr>
                    <w:t>迎风面积</w:t>
                  </w:r>
                </w:p>
              </w:tc>
              <w:tc>
                <w:tcPr>
                  <w:tcW w:w="618" w:type="pct"/>
                  <w:tcBorders>
                    <w:tl2br w:val="nil"/>
                    <w:tr2bl w:val="nil"/>
                  </w:tcBorders>
                  <w:noWrap w:val="0"/>
                  <w:vAlign w:val="center"/>
                </w:tcPr>
                <w:p w14:paraId="4FC9A9F1">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olor w:val="auto"/>
                      <w:sz w:val="21"/>
                      <w:szCs w:val="21"/>
                      <w:highlight w:val="none"/>
                    </w:rPr>
                  </w:pPr>
                  <w:r>
                    <w:rPr>
                      <w:rFonts w:hint="eastAsia" w:ascii="Times New Roman" w:hAnsi="Times New Roman" w:cs="Times New Roman"/>
                      <w:b w:val="0"/>
                      <w:bCs/>
                      <w:color w:val="auto"/>
                      <w:sz w:val="21"/>
                      <w:szCs w:val="21"/>
                      <w:highlight w:val="none"/>
                      <w:lang w:val="en-US" w:eastAsia="zh-CN"/>
                    </w:rPr>
                    <w:t>m</w:t>
                  </w:r>
                  <w:r>
                    <w:rPr>
                      <w:rFonts w:hint="eastAsia" w:ascii="Times New Roman" w:hAnsi="Times New Roman" w:cs="Times New Roman"/>
                      <w:b w:val="0"/>
                      <w:bCs/>
                      <w:color w:val="auto"/>
                      <w:sz w:val="21"/>
                      <w:szCs w:val="21"/>
                      <w:highlight w:val="none"/>
                      <w:vertAlign w:val="superscript"/>
                      <w:lang w:val="en-US" w:eastAsia="zh-CN"/>
                    </w:rPr>
                    <w:t>2</w:t>
                  </w:r>
                </w:p>
              </w:tc>
              <w:tc>
                <w:tcPr>
                  <w:tcW w:w="1433" w:type="pct"/>
                  <w:tcBorders>
                    <w:tl2br w:val="nil"/>
                    <w:tr2bl w:val="nil"/>
                  </w:tcBorders>
                  <w:noWrap w:val="0"/>
                  <w:vAlign w:val="center"/>
                </w:tcPr>
                <w:p w14:paraId="1AB6C17D">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蜂窝状活性炭1.6</w:t>
                  </w:r>
                </w:p>
                <w:p w14:paraId="1AEB43B8">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color w:val="auto"/>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颗粒状活性炭4</w:t>
                  </w:r>
                </w:p>
              </w:tc>
              <w:tc>
                <w:tcPr>
                  <w:tcW w:w="1433" w:type="pct"/>
                  <w:tcBorders>
                    <w:tl2br w:val="nil"/>
                    <w:tr2bl w:val="nil"/>
                  </w:tcBorders>
                  <w:noWrap w:val="0"/>
                  <w:vAlign w:val="center"/>
                </w:tcPr>
                <w:p w14:paraId="26DC0C3B">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color w:val="auto"/>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颗粒状活性炭1.8</w:t>
                  </w:r>
                </w:p>
              </w:tc>
            </w:tr>
            <w:tr w14:paraId="06E4C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0E1D6A8E">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4</w:t>
                  </w:r>
                </w:p>
              </w:tc>
              <w:tc>
                <w:tcPr>
                  <w:tcW w:w="1101" w:type="pct"/>
                  <w:tcBorders>
                    <w:tl2br w:val="nil"/>
                    <w:tr2bl w:val="nil"/>
                  </w:tcBorders>
                  <w:noWrap w:val="0"/>
                  <w:vAlign w:val="center"/>
                </w:tcPr>
                <w:p w14:paraId="72F282C5">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宋体" w:eastAsia="宋体"/>
                      <w:color w:val="auto"/>
                      <w:sz w:val="21"/>
                      <w:szCs w:val="21"/>
                      <w:highlight w:val="none"/>
                      <w:lang w:val="en-US" w:eastAsia="zh-CN"/>
                    </w:rPr>
                  </w:pPr>
                  <w:r>
                    <w:rPr>
                      <w:rFonts w:hint="eastAsia" w:ascii="Times New Roman" w:hAnsi="宋体" w:eastAsia="宋体"/>
                      <w:color w:val="auto"/>
                      <w:sz w:val="21"/>
                      <w:szCs w:val="21"/>
                      <w:highlight w:val="none"/>
                      <w:lang w:val="en-US" w:eastAsia="zh-CN"/>
                    </w:rPr>
                    <w:t>过滤风速</w:t>
                  </w:r>
                </w:p>
              </w:tc>
              <w:tc>
                <w:tcPr>
                  <w:tcW w:w="618" w:type="pct"/>
                  <w:tcBorders>
                    <w:tl2br w:val="nil"/>
                    <w:tr2bl w:val="nil"/>
                  </w:tcBorders>
                  <w:noWrap w:val="0"/>
                  <w:vAlign w:val="center"/>
                </w:tcPr>
                <w:p w14:paraId="77225BEC">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 w:val="21"/>
                      <w:szCs w:val="21"/>
                      <w:highlight w:val="none"/>
                    </w:rPr>
                  </w:pPr>
                  <w:r>
                    <w:rPr>
                      <w:rFonts w:hint="eastAsia" w:ascii="Times New Roman" w:hAnsi="Times New Roman" w:eastAsia="宋体"/>
                      <w:b w:val="0"/>
                      <w:bCs w:val="0"/>
                      <w:color w:val="auto"/>
                      <w:sz w:val="21"/>
                      <w:szCs w:val="21"/>
                      <w:highlight w:val="none"/>
                      <w:lang w:val="en-US" w:eastAsia="zh-CN"/>
                    </w:rPr>
                    <w:t>m/s</w:t>
                  </w:r>
                </w:p>
              </w:tc>
              <w:tc>
                <w:tcPr>
                  <w:tcW w:w="1433" w:type="pct"/>
                  <w:tcBorders>
                    <w:tl2br w:val="nil"/>
                    <w:tr2bl w:val="nil"/>
                  </w:tcBorders>
                  <w:noWrap w:val="0"/>
                  <w:vAlign w:val="center"/>
                </w:tcPr>
                <w:p w14:paraId="1F64C24D">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蜂窝状活性炭1.085</w:t>
                  </w:r>
                </w:p>
                <w:p w14:paraId="24FA514D">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颗粒状活性炭0.434</w:t>
                  </w:r>
                </w:p>
              </w:tc>
              <w:tc>
                <w:tcPr>
                  <w:tcW w:w="1433" w:type="pct"/>
                  <w:tcBorders>
                    <w:tl2br w:val="nil"/>
                    <w:tr2bl w:val="nil"/>
                  </w:tcBorders>
                  <w:noWrap w:val="0"/>
                  <w:vAlign w:val="center"/>
                </w:tcPr>
                <w:p w14:paraId="1FA5A6C1">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仿宋_GB2312"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颗粒状活性炭</w:t>
                  </w:r>
                  <w:r>
                    <w:rPr>
                      <w:rFonts w:hint="eastAsia" w:ascii="Times New Roman" w:hAnsi="Times New Roman" w:eastAsia="宋体"/>
                      <w:color w:val="auto"/>
                      <w:sz w:val="21"/>
                      <w:szCs w:val="21"/>
                      <w:highlight w:val="none"/>
                      <w:lang w:val="en-US" w:eastAsia="zh-CN"/>
                    </w:rPr>
                    <w:t>0.4134</w:t>
                  </w:r>
                </w:p>
              </w:tc>
            </w:tr>
            <w:tr w14:paraId="231DF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5BB213F4">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b w:val="0"/>
                      <w:bCs w:val="0"/>
                      <w:color w:val="auto"/>
                      <w:sz w:val="21"/>
                      <w:szCs w:val="21"/>
                      <w:highlight w:val="none"/>
                      <w:lang w:val="en-US" w:eastAsia="zh-CN"/>
                    </w:rPr>
                    <w:t>5</w:t>
                  </w:r>
                </w:p>
              </w:tc>
              <w:tc>
                <w:tcPr>
                  <w:tcW w:w="1101" w:type="pct"/>
                  <w:tcBorders>
                    <w:tl2br w:val="nil"/>
                    <w:tr2bl w:val="nil"/>
                  </w:tcBorders>
                  <w:shd w:val="clear" w:color="auto" w:fill="auto"/>
                  <w:noWrap w:val="0"/>
                  <w:vAlign w:val="center"/>
                </w:tcPr>
                <w:p w14:paraId="2B553892">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炭层厚度</w:t>
                  </w:r>
                </w:p>
              </w:tc>
              <w:tc>
                <w:tcPr>
                  <w:tcW w:w="618" w:type="pct"/>
                  <w:tcBorders>
                    <w:tl2br w:val="nil"/>
                    <w:tr2bl w:val="nil"/>
                  </w:tcBorders>
                  <w:shd w:val="clear" w:color="auto" w:fill="auto"/>
                  <w:noWrap w:val="0"/>
                  <w:vAlign w:val="center"/>
                </w:tcPr>
                <w:p w14:paraId="203F7D92">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仿宋_GB2312"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m</w:t>
                  </w:r>
                </w:p>
              </w:tc>
              <w:tc>
                <w:tcPr>
                  <w:tcW w:w="1433" w:type="pct"/>
                  <w:tcBorders>
                    <w:tl2br w:val="nil"/>
                    <w:tr2bl w:val="nil"/>
                  </w:tcBorders>
                  <w:shd w:val="clear" w:color="auto" w:fill="auto"/>
                  <w:noWrap w:val="0"/>
                  <w:vAlign w:val="center"/>
                </w:tcPr>
                <w:p w14:paraId="229FC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0.4</w:t>
                  </w:r>
                </w:p>
              </w:tc>
              <w:tc>
                <w:tcPr>
                  <w:tcW w:w="1433" w:type="pct"/>
                  <w:tcBorders>
                    <w:tl2br w:val="nil"/>
                    <w:tr2bl w:val="nil"/>
                  </w:tcBorders>
                  <w:shd w:val="clear" w:color="auto" w:fill="auto"/>
                  <w:noWrap w:val="0"/>
                  <w:vAlign w:val="center"/>
                </w:tcPr>
                <w:p w14:paraId="0740B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r>
            <w:tr w14:paraId="4B03B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1" w:type="pct"/>
                  <w:tcBorders>
                    <w:tl2br w:val="nil"/>
                    <w:tr2bl w:val="nil"/>
                  </w:tcBorders>
                  <w:noWrap w:val="0"/>
                  <w:vAlign w:val="center"/>
                </w:tcPr>
                <w:p w14:paraId="434AD934">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1101" w:type="pct"/>
                  <w:tcBorders>
                    <w:tl2br w:val="nil"/>
                    <w:tr2bl w:val="nil"/>
                  </w:tcBorders>
                  <w:shd w:val="clear" w:color="auto" w:fill="auto"/>
                  <w:noWrap w:val="0"/>
                  <w:vAlign w:val="center"/>
                </w:tcPr>
                <w:p w14:paraId="1035504E">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宋体" w:eastAsia="宋体" w:cs="Times New Roman"/>
                      <w:b w:val="0"/>
                      <w:bCs w:val="0"/>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碘值</w:t>
                  </w:r>
                </w:p>
              </w:tc>
              <w:tc>
                <w:tcPr>
                  <w:tcW w:w="618" w:type="pct"/>
                  <w:tcBorders>
                    <w:tl2br w:val="nil"/>
                    <w:tr2bl w:val="nil"/>
                  </w:tcBorders>
                  <w:shd w:val="clear" w:color="auto" w:fill="auto"/>
                  <w:noWrap w:val="0"/>
                  <w:vAlign w:val="center"/>
                </w:tcPr>
                <w:p w14:paraId="79AEC932">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宋体"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mg/g</w:t>
                  </w:r>
                </w:p>
              </w:tc>
              <w:tc>
                <w:tcPr>
                  <w:tcW w:w="1433" w:type="pct"/>
                  <w:tcBorders>
                    <w:tl2br w:val="nil"/>
                    <w:tr2bl w:val="nil"/>
                  </w:tcBorders>
                  <w:shd w:val="clear" w:color="auto" w:fill="auto"/>
                  <w:noWrap w:val="0"/>
                  <w:vAlign w:val="center"/>
                </w:tcPr>
                <w:p w14:paraId="216A28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蜂窝状活性炭650；</w:t>
                  </w:r>
                </w:p>
                <w:p w14:paraId="069D77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颗粒状活性炭800</w:t>
                  </w:r>
                </w:p>
              </w:tc>
              <w:tc>
                <w:tcPr>
                  <w:tcW w:w="1433" w:type="pct"/>
                  <w:tcBorders>
                    <w:tl2br w:val="nil"/>
                    <w:tr2bl w:val="nil"/>
                  </w:tcBorders>
                  <w:shd w:val="clear" w:color="auto" w:fill="auto"/>
                  <w:noWrap w:val="0"/>
                  <w:vAlign w:val="center"/>
                </w:tcPr>
                <w:p w14:paraId="2DEDCC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b w:val="0"/>
                      <w:bCs w:val="0"/>
                      <w:color w:val="auto"/>
                      <w:sz w:val="21"/>
                      <w:szCs w:val="21"/>
                      <w:highlight w:val="none"/>
                      <w:lang w:val="en-US" w:eastAsia="zh-CN"/>
                    </w:rPr>
                  </w:pPr>
                  <w:r>
                    <w:rPr>
                      <w:rFonts w:hint="eastAsia" w:cs="Times New Roman"/>
                      <w:color w:val="auto"/>
                      <w:sz w:val="21"/>
                      <w:szCs w:val="21"/>
                      <w:highlight w:val="none"/>
                      <w:lang w:val="en-US" w:eastAsia="zh-CN"/>
                    </w:rPr>
                    <w:t>800</w:t>
                  </w:r>
                </w:p>
              </w:tc>
            </w:tr>
            <w:tr w14:paraId="44ED7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11" w:type="pct"/>
                  <w:tcBorders>
                    <w:tl2br w:val="nil"/>
                    <w:tr2bl w:val="nil"/>
                  </w:tcBorders>
                  <w:noWrap w:val="0"/>
                  <w:vAlign w:val="center"/>
                </w:tcPr>
                <w:p w14:paraId="58CDCDAB">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7</w:t>
                  </w:r>
                </w:p>
              </w:tc>
              <w:tc>
                <w:tcPr>
                  <w:tcW w:w="1101" w:type="pct"/>
                  <w:tcBorders>
                    <w:tl2br w:val="nil"/>
                    <w:tr2bl w:val="nil"/>
                  </w:tcBorders>
                  <w:shd w:val="clear" w:color="auto" w:fill="auto"/>
                  <w:noWrap w:val="0"/>
                  <w:vAlign w:val="center"/>
                </w:tcPr>
                <w:p w14:paraId="14B59592">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柱状颗粒活性炭填充量</w:t>
                  </w:r>
                </w:p>
              </w:tc>
              <w:tc>
                <w:tcPr>
                  <w:tcW w:w="618" w:type="pct"/>
                  <w:tcBorders>
                    <w:tl2br w:val="nil"/>
                    <w:tr2bl w:val="nil"/>
                  </w:tcBorders>
                  <w:shd w:val="clear" w:color="auto" w:fill="auto"/>
                  <w:noWrap w:val="0"/>
                  <w:vAlign w:val="center"/>
                </w:tcPr>
                <w:p w14:paraId="1718029D">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ascii="Times New Roman" w:hAnsi="宋体" w:eastAsia="宋体"/>
                      <w:color w:val="auto"/>
                      <w:sz w:val="21"/>
                      <w:szCs w:val="21"/>
                      <w:highlight w:val="none"/>
                      <w:lang w:val="en-US" w:eastAsia="zh-CN"/>
                    </w:rPr>
                    <w:t>t</w:t>
                  </w:r>
                </w:p>
              </w:tc>
              <w:tc>
                <w:tcPr>
                  <w:tcW w:w="1433" w:type="pct"/>
                  <w:tcBorders>
                    <w:tl2br w:val="nil"/>
                    <w:tr2bl w:val="nil"/>
                  </w:tcBorders>
                  <w:shd w:val="clear" w:color="auto" w:fill="auto"/>
                  <w:noWrap w:val="0"/>
                  <w:vAlign w:val="center"/>
                </w:tcPr>
                <w:p w14:paraId="1FE569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4.22</w:t>
                  </w:r>
                </w:p>
              </w:tc>
              <w:tc>
                <w:tcPr>
                  <w:tcW w:w="1433" w:type="pct"/>
                  <w:tcBorders>
                    <w:tl2br w:val="nil"/>
                    <w:tr2bl w:val="nil"/>
                  </w:tcBorders>
                  <w:shd w:val="clear" w:color="auto" w:fill="auto"/>
                  <w:noWrap w:val="0"/>
                  <w:vAlign w:val="center"/>
                </w:tcPr>
                <w:p w14:paraId="028264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bl>
          <w:p w14:paraId="6867C006">
            <w:pPr>
              <w:pStyle w:val="3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eastAsia" w:ascii="Times New Roman" w:hAnsi="Times New Roman" w:eastAsia="宋体" w:cs="宋体"/>
                <w:color w:val="auto"/>
                <w:sz w:val="24"/>
                <w:szCs w:val="24"/>
                <w:highlight w:val="none"/>
                <w:vertAlign w:val="superscript"/>
                <w:lang w:val="en-US" w:eastAsia="zh-CN"/>
              </w:rPr>
            </w:pPr>
            <w:r>
              <w:rPr>
                <w:rFonts w:hint="default" w:ascii="Times New Roman" w:hAnsi="Times New Roman" w:eastAsia="宋体" w:cs="宋体"/>
                <w:color w:val="auto"/>
                <w:spacing w:val="-1"/>
                <w:position w:val="1"/>
                <w:sz w:val="24"/>
                <w:szCs w:val="24"/>
                <w:highlight w:val="none"/>
              </w:rPr>
              <w:t>①</w:t>
            </w:r>
            <w:r>
              <w:rPr>
                <w:rFonts w:hint="eastAsia" w:ascii="Times New Roman" w:hAnsi="Times New Roman"/>
                <w:color w:val="auto"/>
                <w:sz w:val="24"/>
                <w:highlight w:val="none"/>
                <w:lang w:val="en-US" w:eastAsia="zh-CN"/>
              </w:rPr>
              <w:t>根据建设单位提供资料，</w:t>
            </w:r>
            <w:r>
              <w:rPr>
                <w:rFonts w:hint="eastAsia" w:ascii="Times New Roman" w:hAnsi="Times New Roman" w:cs="宋体"/>
                <w:color w:val="auto"/>
                <w:spacing w:val="-1"/>
                <w:position w:val="1"/>
                <w:sz w:val="24"/>
                <w:szCs w:val="24"/>
                <w:highlight w:val="none"/>
                <w:lang w:val="en-US" w:eastAsia="zh-CN"/>
              </w:rPr>
              <w:t>3号楼配套的蜂窝状活性炭</w:t>
            </w:r>
            <w:r>
              <w:rPr>
                <w:rFonts w:hint="default" w:ascii="Times New Roman" w:hAnsi="Times New Roman" w:eastAsia="宋体" w:cs="宋体"/>
                <w:color w:val="auto"/>
                <w:spacing w:val="-1"/>
                <w:position w:val="1"/>
                <w:sz w:val="24"/>
                <w:szCs w:val="24"/>
                <w:highlight w:val="none"/>
              </w:rPr>
              <w:t>单层过滤面积</w:t>
            </w:r>
            <w:r>
              <w:rPr>
                <w:rFonts w:hint="default" w:ascii="Times New Roman" w:hAnsi="Times New Roman" w:eastAsia="宋体"/>
                <w:color w:val="auto"/>
                <w:spacing w:val="-1"/>
                <w:position w:val="1"/>
                <w:sz w:val="24"/>
                <w:szCs w:val="24"/>
                <w:highlight w:val="none"/>
              </w:rPr>
              <w:t>=</w:t>
            </w:r>
            <w:r>
              <w:rPr>
                <w:rFonts w:hint="default" w:ascii="Times New Roman" w:hAnsi="Times New Roman" w:eastAsia="宋体" w:cs="宋体"/>
                <w:color w:val="auto"/>
                <w:spacing w:val="-1"/>
                <w:position w:val="1"/>
                <w:sz w:val="24"/>
                <w:szCs w:val="24"/>
                <w:highlight w:val="none"/>
              </w:rPr>
              <w:t>炭层长度×炭层宽度</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8×0.2</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1.6</w:t>
            </w:r>
            <w:r>
              <w:rPr>
                <w:rFonts w:hint="default" w:ascii="Times New Roman" w:hAnsi="Times New Roman" w:eastAsia="宋体"/>
                <w:color w:val="auto"/>
                <w:spacing w:val="-1"/>
                <w:position w:val="1"/>
                <w:sz w:val="24"/>
                <w:szCs w:val="24"/>
                <w:highlight w:val="none"/>
              </w:rPr>
              <w:t>m</w:t>
            </w:r>
            <w:r>
              <w:rPr>
                <w:rFonts w:hint="default" w:ascii="Times New Roman" w:hAnsi="Times New Roman" w:eastAsia="宋体"/>
                <w:color w:val="auto"/>
                <w:spacing w:val="-1"/>
                <w:position w:val="9"/>
                <w:sz w:val="21"/>
                <w:szCs w:val="21"/>
                <w:highlight w:val="none"/>
              </w:rPr>
              <w:t>2</w:t>
            </w:r>
            <w:r>
              <w:rPr>
                <w:rFonts w:hint="default" w:ascii="Times New Roman" w:hAnsi="Times New Roman" w:eastAsia="宋体" w:cs="宋体"/>
                <w:color w:val="auto"/>
                <w:spacing w:val="-1"/>
                <w:position w:val="1"/>
                <w:sz w:val="24"/>
                <w:szCs w:val="24"/>
                <w:highlight w:val="none"/>
              </w:rPr>
              <w:t>；</w:t>
            </w:r>
            <w:r>
              <w:rPr>
                <w:rFonts w:hint="eastAsia" w:ascii="Times New Roman" w:hAnsi="Times New Roman" w:cs="宋体"/>
                <w:color w:val="auto"/>
                <w:spacing w:val="-1"/>
                <w:position w:val="1"/>
                <w:sz w:val="24"/>
                <w:szCs w:val="24"/>
                <w:highlight w:val="none"/>
                <w:lang w:val="en-US" w:eastAsia="zh-CN"/>
              </w:rPr>
              <w:t>3号楼配套的颗粒状活性炭单层过滤面积=</w:t>
            </w:r>
            <w:r>
              <w:rPr>
                <w:rFonts w:hint="default" w:ascii="Times New Roman" w:hAnsi="Times New Roman" w:eastAsia="宋体" w:cs="宋体"/>
                <w:color w:val="auto"/>
                <w:spacing w:val="-1"/>
                <w:position w:val="1"/>
                <w:sz w:val="24"/>
                <w:szCs w:val="24"/>
                <w:highlight w:val="none"/>
              </w:rPr>
              <w:t>炭层长度×炭层宽度</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2×2</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4</w:t>
            </w:r>
            <w:r>
              <w:rPr>
                <w:rFonts w:hint="default" w:ascii="Times New Roman" w:hAnsi="Times New Roman" w:eastAsia="宋体"/>
                <w:color w:val="auto"/>
                <w:spacing w:val="-1"/>
                <w:position w:val="1"/>
                <w:sz w:val="24"/>
                <w:szCs w:val="24"/>
                <w:highlight w:val="none"/>
              </w:rPr>
              <w:t>m</w:t>
            </w:r>
            <w:r>
              <w:rPr>
                <w:rFonts w:hint="default" w:ascii="Times New Roman" w:hAnsi="Times New Roman" w:eastAsia="宋体"/>
                <w:color w:val="auto"/>
                <w:spacing w:val="-1"/>
                <w:position w:val="9"/>
                <w:sz w:val="21"/>
                <w:szCs w:val="21"/>
                <w:highlight w:val="none"/>
              </w:rPr>
              <w:t>2</w:t>
            </w:r>
            <w:r>
              <w:rPr>
                <w:rFonts w:hint="default" w:ascii="Times New Roman" w:hAnsi="Times New Roman" w:eastAsia="宋体" w:cs="宋体"/>
                <w:color w:val="auto"/>
                <w:spacing w:val="-1"/>
                <w:position w:val="1"/>
                <w:sz w:val="24"/>
                <w:szCs w:val="24"/>
                <w:highlight w:val="none"/>
              </w:rPr>
              <w:t>；</w:t>
            </w:r>
            <w:r>
              <w:rPr>
                <w:rFonts w:hint="eastAsia" w:ascii="Times New Roman" w:hAnsi="Times New Roman" w:cs="宋体"/>
                <w:color w:val="auto"/>
                <w:spacing w:val="-1"/>
                <w:position w:val="1"/>
                <w:sz w:val="24"/>
                <w:szCs w:val="24"/>
                <w:highlight w:val="none"/>
                <w:lang w:val="en-US" w:eastAsia="zh-CN"/>
              </w:rPr>
              <w:t>1/2/4号楼配套的颗粒状活性炭单层过滤面积=</w:t>
            </w:r>
            <w:r>
              <w:rPr>
                <w:rFonts w:hint="default" w:ascii="Times New Roman" w:hAnsi="Times New Roman" w:eastAsia="宋体" w:cs="宋体"/>
                <w:color w:val="auto"/>
                <w:spacing w:val="-1"/>
                <w:position w:val="1"/>
                <w:sz w:val="24"/>
                <w:szCs w:val="24"/>
                <w:highlight w:val="none"/>
              </w:rPr>
              <w:t>炭层长度×炭层宽度</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1.5×1.2</w:t>
            </w:r>
            <w:r>
              <w:rPr>
                <w:rFonts w:hint="default" w:ascii="Times New Roman" w:hAnsi="Times New Roman" w:eastAsia="宋体"/>
                <w:color w:val="auto"/>
                <w:spacing w:val="-1"/>
                <w:position w:val="1"/>
                <w:sz w:val="24"/>
                <w:szCs w:val="24"/>
                <w:highlight w:val="none"/>
              </w:rPr>
              <w:t>=</w:t>
            </w:r>
            <w:r>
              <w:rPr>
                <w:rFonts w:hint="eastAsia" w:ascii="Times New Roman" w:hAnsi="Times New Roman"/>
                <w:color w:val="auto"/>
                <w:spacing w:val="-1"/>
                <w:position w:val="1"/>
                <w:sz w:val="24"/>
                <w:szCs w:val="24"/>
                <w:highlight w:val="none"/>
                <w:lang w:val="en-US" w:eastAsia="zh-CN"/>
              </w:rPr>
              <w:t>1.8</w:t>
            </w:r>
            <w:r>
              <w:rPr>
                <w:rFonts w:hint="default" w:ascii="Times New Roman" w:hAnsi="Times New Roman" w:eastAsia="宋体"/>
                <w:color w:val="auto"/>
                <w:spacing w:val="-1"/>
                <w:position w:val="1"/>
                <w:sz w:val="24"/>
                <w:szCs w:val="24"/>
                <w:highlight w:val="none"/>
              </w:rPr>
              <w:t>m</w:t>
            </w:r>
            <w:r>
              <w:rPr>
                <w:rFonts w:hint="default" w:ascii="Times New Roman" w:hAnsi="Times New Roman" w:eastAsia="宋体"/>
                <w:color w:val="auto"/>
                <w:spacing w:val="-1"/>
                <w:position w:val="9"/>
                <w:sz w:val="21"/>
                <w:szCs w:val="21"/>
                <w:highlight w:val="none"/>
              </w:rPr>
              <w:t>2</w:t>
            </w:r>
            <w:r>
              <w:rPr>
                <w:rFonts w:hint="default" w:ascii="Times New Roman" w:hAnsi="Times New Roman" w:eastAsia="宋体" w:cs="宋体"/>
                <w:color w:val="auto"/>
                <w:spacing w:val="-1"/>
                <w:position w:val="1"/>
                <w:sz w:val="24"/>
                <w:szCs w:val="24"/>
                <w:highlight w:val="none"/>
              </w:rPr>
              <w:t>；</w:t>
            </w:r>
          </w:p>
          <w:p w14:paraId="74488A52">
            <w:pPr>
              <w:pStyle w:val="3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76" w:firstLineChars="200"/>
              <w:textAlignment w:val="auto"/>
              <w:rPr>
                <w:rFonts w:hint="eastAsia" w:ascii="Times New Roman" w:hAnsi="Times New Roman"/>
                <w:color w:val="auto"/>
                <w:spacing w:val="-30"/>
                <w:sz w:val="24"/>
                <w:szCs w:val="24"/>
                <w:highlight w:val="none"/>
                <w:lang w:eastAsia="zh-CN"/>
              </w:rPr>
            </w:pPr>
            <w:r>
              <w:rPr>
                <w:rFonts w:hint="default" w:ascii="Times New Roman" w:hAnsi="Times New Roman" w:eastAsia="宋体" w:cs="宋体"/>
                <w:color w:val="auto"/>
                <w:spacing w:val="-1"/>
                <w:sz w:val="24"/>
                <w:szCs w:val="24"/>
                <w:highlight w:val="none"/>
              </w:rPr>
              <w:t>②</w:t>
            </w:r>
            <w:r>
              <w:rPr>
                <w:rFonts w:hint="eastAsia" w:ascii="Times New Roman" w:hAnsi="Times New Roman" w:cs="宋体"/>
                <w:color w:val="auto"/>
                <w:spacing w:val="-1"/>
                <w:sz w:val="24"/>
                <w:szCs w:val="24"/>
                <w:highlight w:val="none"/>
                <w:lang w:val="en-US" w:eastAsia="zh-CN"/>
              </w:rPr>
              <w:t>3号楼配套的蜂窝状活性炭</w:t>
            </w:r>
            <w:r>
              <w:rPr>
                <w:rFonts w:hint="default" w:ascii="Times New Roman" w:hAnsi="Times New Roman" w:eastAsia="宋体" w:cs="宋体"/>
                <w:color w:val="auto"/>
                <w:spacing w:val="-1"/>
                <w:sz w:val="24"/>
                <w:szCs w:val="24"/>
                <w:highlight w:val="none"/>
              </w:rPr>
              <w:t>单层过滤风速</w:t>
            </w:r>
            <w:r>
              <w:rPr>
                <w:rFonts w:hint="default" w:ascii="Times New Roman" w:hAnsi="Times New Roman" w:eastAsia="宋体"/>
                <w:color w:val="auto"/>
                <w:spacing w:val="-1"/>
                <w:sz w:val="24"/>
                <w:szCs w:val="24"/>
                <w:highlight w:val="none"/>
              </w:rPr>
              <w:t>=</w:t>
            </w:r>
            <w:r>
              <w:rPr>
                <w:rFonts w:hint="default" w:ascii="Times New Roman" w:hAnsi="Times New Roman" w:eastAsia="宋体" w:cs="宋体"/>
                <w:color w:val="auto"/>
                <w:spacing w:val="-1"/>
                <w:sz w:val="24"/>
                <w:szCs w:val="24"/>
                <w:highlight w:val="none"/>
              </w:rPr>
              <w:t>废气量÷</w:t>
            </w:r>
            <w:r>
              <w:rPr>
                <w:rFonts w:hint="default" w:ascii="Times New Roman" w:hAnsi="Times New Roman" w:eastAsia="宋体"/>
                <w:color w:val="auto"/>
                <w:spacing w:val="-1"/>
                <w:sz w:val="24"/>
                <w:szCs w:val="24"/>
                <w:highlight w:val="none"/>
              </w:rPr>
              <w:t>3600</w:t>
            </w:r>
            <w:r>
              <w:rPr>
                <w:rFonts w:hint="default" w:ascii="Times New Roman" w:hAnsi="Times New Roman" w:eastAsia="宋体" w:cs="宋体"/>
                <w:color w:val="auto"/>
                <w:spacing w:val="-1"/>
                <w:sz w:val="24"/>
                <w:szCs w:val="24"/>
                <w:highlight w:val="none"/>
              </w:rPr>
              <w:t>÷单层过</w:t>
            </w:r>
            <w:r>
              <w:rPr>
                <w:rFonts w:hint="default" w:ascii="Times New Roman" w:hAnsi="Times New Roman" w:eastAsia="宋体" w:cs="宋体"/>
                <w:color w:val="auto"/>
                <w:spacing w:val="-2"/>
                <w:sz w:val="24"/>
                <w:szCs w:val="24"/>
                <w:highlight w:val="none"/>
              </w:rPr>
              <w:t>滤面积（并联的装置还需乘单级装置中活性炭的装填层数）</w:t>
            </w:r>
            <w:r>
              <w:rPr>
                <w:rFonts w:hint="default" w:ascii="Times New Roman" w:hAnsi="Times New Roman" w:eastAsia="宋体" w:cs="宋体"/>
                <w:color w:val="auto"/>
                <w:spacing w:val="-91"/>
                <w:sz w:val="24"/>
                <w:szCs w:val="24"/>
                <w:highlight w:val="none"/>
              </w:rPr>
              <w:t xml:space="preserve"> </w:t>
            </w:r>
            <w:r>
              <w:rPr>
                <w:rFonts w:hint="default" w:ascii="Times New Roman" w:hAnsi="Times New Roman" w:eastAsia="宋体" w:cs="宋体"/>
                <w:color w:val="auto"/>
                <w:spacing w:val="-2"/>
                <w:sz w:val="24"/>
                <w:szCs w:val="24"/>
                <w:highlight w:val="none"/>
              </w:rPr>
              <w:t>÷孔隙率</w:t>
            </w:r>
            <w:r>
              <w:rPr>
                <w:rFonts w:hint="eastAsia" w:ascii="Times New Roman" w:hAnsi="Times New Roman" w:cs="宋体"/>
                <w:color w:val="auto"/>
                <w:spacing w:val="-2"/>
                <w:sz w:val="24"/>
                <w:szCs w:val="24"/>
                <w:highlight w:val="none"/>
                <w:lang w:eastAsia="zh-CN"/>
              </w:rPr>
              <w:t>（</w:t>
            </w:r>
            <w:r>
              <w:rPr>
                <w:rFonts w:hint="eastAsia" w:ascii="Times New Roman" w:hAnsi="Times New Roman" w:cs="宋体"/>
                <w:color w:val="auto"/>
                <w:spacing w:val="-2"/>
                <w:sz w:val="24"/>
                <w:szCs w:val="24"/>
                <w:highlight w:val="none"/>
                <w:lang w:val="en-US" w:eastAsia="zh-CN"/>
              </w:rPr>
              <w:t>本项目取一般值70%</w:t>
            </w:r>
            <w:r>
              <w:rPr>
                <w:rFonts w:hint="eastAsia" w:ascii="Times New Roman" w:hAnsi="Times New Roman" w:cs="宋体"/>
                <w:color w:val="auto"/>
                <w:spacing w:val="-2"/>
                <w:sz w:val="24"/>
                <w:szCs w:val="24"/>
                <w:highlight w:val="none"/>
                <w:lang w:eastAsia="zh-CN"/>
              </w:rPr>
              <w:t>）</w:t>
            </w:r>
            <w:r>
              <w:rPr>
                <w:rFonts w:hint="default" w:ascii="Times New Roman" w:hAnsi="Times New Roman" w:eastAsia="宋体"/>
                <w:color w:val="auto"/>
                <w:spacing w:val="-2"/>
                <w:sz w:val="24"/>
                <w:szCs w:val="24"/>
                <w:highlight w:val="none"/>
              </w:rPr>
              <w:t>=</w:t>
            </w:r>
            <w:r>
              <w:rPr>
                <w:rFonts w:hint="eastAsia" w:ascii="Times New Roman" w:hAnsi="Times New Roman" w:eastAsia="宋体"/>
                <w:color w:val="auto"/>
                <w:spacing w:val="-2"/>
                <w:sz w:val="24"/>
                <w:szCs w:val="24"/>
                <w:highlight w:val="none"/>
                <w:lang w:val="en-US" w:eastAsia="zh-CN"/>
              </w:rPr>
              <w:t>17500</w:t>
            </w:r>
            <w:r>
              <w:rPr>
                <w:rFonts w:hint="default" w:ascii="Times New Roman" w:hAnsi="Times New Roman" w:eastAsia="宋体" w:cs="宋体"/>
                <w:color w:val="auto"/>
                <w:spacing w:val="-2"/>
                <w:sz w:val="24"/>
                <w:szCs w:val="24"/>
                <w:highlight w:val="none"/>
              </w:rPr>
              <w:t>÷</w:t>
            </w:r>
            <w:r>
              <w:rPr>
                <w:rFonts w:hint="default" w:ascii="Times New Roman" w:hAnsi="Times New Roman" w:eastAsia="宋体"/>
                <w:color w:val="auto"/>
                <w:spacing w:val="-2"/>
                <w:sz w:val="24"/>
                <w:szCs w:val="24"/>
                <w:highlight w:val="none"/>
              </w:rPr>
              <w:t>360</w:t>
            </w:r>
            <w:r>
              <w:rPr>
                <w:rFonts w:hint="default" w:ascii="Times New Roman" w:hAnsi="Times New Roman" w:eastAsia="宋体"/>
                <w:color w:val="auto"/>
                <w:spacing w:val="-3"/>
                <w:sz w:val="24"/>
                <w:szCs w:val="24"/>
                <w:highlight w:val="none"/>
              </w:rPr>
              <w:t>0</w:t>
            </w:r>
            <w:r>
              <w:rPr>
                <w:rFonts w:hint="default" w:ascii="Times New Roman" w:hAnsi="Times New Roman" w:eastAsia="宋体" w:cs="宋体"/>
                <w:color w:val="auto"/>
                <w:spacing w:val="-3"/>
                <w:sz w:val="24"/>
                <w:szCs w:val="24"/>
                <w:highlight w:val="none"/>
              </w:rPr>
              <w:t>÷（</w:t>
            </w:r>
            <w:r>
              <w:rPr>
                <w:rFonts w:hint="eastAsia" w:ascii="Times New Roman" w:hAnsi="Times New Roman" w:cs="宋体"/>
                <w:color w:val="auto"/>
                <w:spacing w:val="-3"/>
                <w:sz w:val="24"/>
                <w:szCs w:val="24"/>
                <w:highlight w:val="none"/>
                <w:lang w:val="en-US" w:eastAsia="zh-CN"/>
              </w:rPr>
              <w:t>1.6</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olor w:val="auto"/>
                <w:spacing w:val="-3"/>
                <w:sz w:val="24"/>
                <w:szCs w:val="24"/>
                <w:highlight w:val="none"/>
              </w:rPr>
              <w:t>4</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s="宋体"/>
                <w:color w:val="auto"/>
                <w:spacing w:val="-89"/>
                <w:sz w:val="24"/>
                <w:szCs w:val="24"/>
                <w:highlight w:val="none"/>
              </w:rPr>
              <w:t xml:space="preserve"> </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olor w:val="auto"/>
                <w:spacing w:val="-3"/>
                <w:sz w:val="24"/>
                <w:szCs w:val="24"/>
                <w:highlight w:val="none"/>
              </w:rPr>
              <w:t>7</w:t>
            </w:r>
            <w:r>
              <w:rPr>
                <w:rFonts w:hint="eastAsia" w:ascii="Times New Roman" w:hAnsi="Times New Roman"/>
                <w:color w:val="auto"/>
                <w:spacing w:val="-3"/>
                <w:sz w:val="24"/>
                <w:szCs w:val="24"/>
                <w:highlight w:val="none"/>
                <w:lang w:val="en-US" w:eastAsia="zh-CN"/>
              </w:rPr>
              <w:t>0</w:t>
            </w:r>
            <w:r>
              <w:rPr>
                <w:rFonts w:hint="default" w:ascii="Times New Roman" w:hAnsi="Times New Roman" w:eastAsia="宋体"/>
                <w:color w:val="auto"/>
                <w:spacing w:val="-3"/>
                <w:sz w:val="24"/>
                <w:szCs w:val="24"/>
                <w:highlight w:val="none"/>
              </w:rPr>
              <w:t>%=</w:t>
            </w:r>
            <w:r>
              <w:rPr>
                <w:rFonts w:hint="eastAsia" w:ascii="Times New Roman" w:hAnsi="Times New Roman"/>
                <w:b/>
                <w:bCs/>
                <w:color w:val="auto"/>
                <w:spacing w:val="-3"/>
                <w:sz w:val="24"/>
                <w:szCs w:val="24"/>
                <w:highlight w:val="none"/>
                <w:lang w:val="en-US" w:eastAsia="zh-CN"/>
              </w:rPr>
              <w:t>1.085</w:t>
            </w:r>
            <w:r>
              <w:rPr>
                <w:rFonts w:hint="default" w:ascii="Times New Roman" w:hAnsi="Times New Roman" w:eastAsia="宋体"/>
                <w:b/>
                <w:bCs/>
                <w:color w:val="auto"/>
                <w:spacing w:val="-3"/>
                <w:sz w:val="24"/>
                <w:szCs w:val="24"/>
                <w:highlight w:val="none"/>
              </w:rPr>
              <w:t>m/s</w:t>
            </w:r>
            <w:r>
              <w:rPr>
                <w:rFonts w:hint="default" w:ascii="Times New Roman" w:hAnsi="Times New Roman" w:eastAsia="宋体"/>
                <w:b/>
                <w:bCs/>
                <w:color w:val="auto"/>
                <w:spacing w:val="-30"/>
                <w:sz w:val="24"/>
                <w:szCs w:val="24"/>
                <w:highlight w:val="none"/>
              </w:rPr>
              <w:t xml:space="preserve"> </w:t>
            </w:r>
            <w:r>
              <w:rPr>
                <w:rFonts w:hint="eastAsia" w:ascii="Times New Roman" w:hAnsi="Times New Roman"/>
                <w:b/>
                <w:bCs/>
                <w:color w:val="auto"/>
                <w:spacing w:val="-30"/>
                <w:sz w:val="24"/>
                <w:szCs w:val="24"/>
                <w:highlight w:val="none"/>
                <w:lang w:eastAsia="zh-CN"/>
              </w:rPr>
              <w:t>（</w:t>
            </w:r>
            <w:r>
              <w:rPr>
                <w:rFonts w:hint="eastAsia" w:ascii="Times New Roman" w:hAnsi="Times New Roman"/>
                <w:b/>
                <w:bCs/>
                <w:color w:val="auto"/>
                <w:spacing w:val="0"/>
                <w:sz w:val="24"/>
                <w:szCs w:val="24"/>
                <w:highlight w:val="none"/>
                <w:lang w:val="en-US" w:eastAsia="zh-CN"/>
              </w:rPr>
              <w:t>＜1.2m/s</w:t>
            </w:r>
            <w:r>
              <w:rPr>
                <w:rFonts w:hint="eastAsia" w:ascii="Times New Roman" w:hAnsi="Times New Roman"/>
                <w:b/>
                <w:bCs/>
                <w:color w:val="auto"/>
                <w:spacing w:val="0"/>
                <w:sz w:val="24"/>
                <w:szCs w:val="24"/>
                <w:highlight w:val="none"/>
                <w:lang w:eastAsia="zh-CN"/>
              </w:rPr>
              <w:t>）</w:t>
            </w:r>
            <w:r>
              <w:rPr>
                <w:rFonts w:hint="eastAsia" w:ascii="Times New Roman" w:hAnsi="Times New Roman"/>
                <w:color w:val="auto"/>
                <w:spacing w:val="-30"/>
                <w:sz w:val="24"/>
                <w:szCs w:val="24"/>
                <w:highlight w:val="none"/>
                <w:lang w:eastAsia="zh-CN"/>
              </w:rPr>
              <w:t>；（</w:t>
            </w:r>
            <w:r>
              <w:rPr>
                <w:rFonts w:hint="eastAsia" w:ascii="Times New Roman" w:hAnsi="Times New Roman" w:cs="宋体"/>
                <w:color w:val="auto"/>
                <w:spacing w:val="-3"/>
                <w:sz w:val="24"/>
                <w:szCs w:val="24"/>
                <w:highlight w:val="none"/>
                <w:lang w:val="en-US" w:eastAsia="zh-CN"/>
              </w:rPr>
              <w:t>根据《省生态环境厅关于深入开展涉VOCs治理重点工作核查的通知》苏环办[2022]218号：</w:t>
            </w:r>
            <w:r>
              <w:rPr>
                <w:rFonts w:hint="default" w:ascii="Times New Roman" w:hAnsi="Times New Roman" w:eastAsia="宋体" w:cs="宋体"/>
                <w:color w:val="auto"/>
                <w:spacing w:val="-3"/>
                <w:sz w:val="24"/>
                <w:szCs w:val="24"/>
                <w:highlight w:val="none"/>
              </w:rPr>
              <w:t>采用颗粒</w:t>
            </w:r>
            <w:r>
              <w:rPr>
                <w:rFonts w:hint="eastAsia" w:ascii="Times New Roman" w:hAnsi="Times New Roman" w:cs="宋体"/>
                <w:color w:val="auto"/>
                <w:spacing w:val="-3"/>
                <w:sz w:val="24"/>
                <w:szCs w:val="24"/>
                <w:highlight w:val="none"/>
                <w:lang w:val="en-US" w:eastAsia="zh-CN"/>
              </w:rPr>
              <w:t>活性炭</w:t>
            </w:r>
            <w:r>
              <w:rPr>
                <w:rFonts w:hint="default" w:ascii="Times New Roman" w:hAnsi="Times New Roman" w:eastAsia="宋体" w:cs="宋体"/>
                <w:color w:val="auto"/>
                <w:spacing w:val="-3"/>
                <w:sz w:val="24"/>
                <w:szCs w:val="24"/>
                <w:highlight w:val="none"/>
              </w:rPr>
              <w:t>时，</w:t>
            </w:r>
            <w:r>
              <w:rPr>
                <w:rFonts w:hint="default" w:ascii="Times New Roman" w:hAnsi="Times New Roman" w:eastAsia="宋体" w:cs="宋体"/>
                <w:color w:val="auto"/>
                <w:spacing w:val="-6"/>
                <w:sz w:val="24"/>
                <w:szCs w:val="24"/>
                <w:highlight w:val="none"/>
              </w:rPr>
              <w:t>气体流速宜低于</w:t>
            </w:r>
            <w:r>
              <w:rPr>
                <w:rFonts w:hint="default" w:ascii="Times New Roman" w:hAnsi="Times New Roman" w:eastAsia="宋体" w:cs="宋体"/>
                <w:color w:val="auto"/>
                <w:spacing w:val="-49"/>
                <w:sz w:val="24"/>
                <w:szCs w:val="24"/>
                <w:highlight w:val="none"/>
              </w:rPr>
              <w:t xml:space="preserve"> </w:t>
            </w:r>
            <w:r>
              <w:rPr>
                <w:rFonts w:hint="default" w:ascii="Times New Roman" w:hAnsi="Times New Roman" w:eastAsia="宋体"/>
                <w:color w:val="auto"/>
                <w:spacing w:val="-6"/>
                <w:sz w:val="24"/>
                <w:szCs w:val="24"/>
                <w:highlight w:val="none"/>
              </w:rPr>
              <w:t>0.60m/</w:t>
            </w:r>
            <w:r>
              <w:rPr>
                <w:rFonts w:hint="default" w:ascii="Times New Roman" w:hAnsi="Times New Roman" w:eastAsia="宋体"/>
                <w:color w:val="auto"/>
                <w:spacing w:val="-2"/>
                <w:sz w:val="24"/>
                <w:szCs w:val="24"/>
                <w:highlight w:val="none"/>
              </w:rPr>
              <w:t>s</w:t>
            </w:r>
            <w:r>
              <w:rPr>
                <w:rFonts w:hint="eastAsia" w:ascii="Times New Roman" w:hAnsi="Times New Roman"/>
                <w:color w:val="auto"/>
                <w:spacing w:val="-2"/>
                <w:sz w:val="24"/>
                <w:szCs w:val="24"/>
                <w:highlight w:val="none"/>
                <w:lang w:eastAsia="zh-CN"/>
              </w:rPr>
              <w:t>；</w:t>
            </w:r>
            <w:r>
              <w:rPr>
                <w:rFonts w:hint="eastAsia" w:ascii="Times New Roman" w:hAnsi="Times New Roman"/>
                <w:color w:val="auto"/>
                <w:spacing w:val="-2"/>
                <w:sz w:val="24"/>
                <w:szCs w:val="24"/>
                <w:highlight w:val="none"/>
                <w:lang w:val="en-US" w:eastAsia="zh-CN"/>
              </w:rPr>
              <w:t>采用蜂窝状活性炭时，</w:t>
            </w:r>
            <w:r>
              <w:rPr>
                <w:rFonts w:hint="default" w:ascii="Times New Roman" w:hAnsi="Times New Roman" w:eastAsia="宋体" w:cs="宋体"/>
                <w:color w:val="auto"/>
                <w:spacing w:val="-6"/>
                <w:sz w:val="24"/>
                <w:szCs w:val="24"/>
                <w:highlight w:val="none"/>
              </w:rPr>
              <w:t>气体流速宜低于</w:t>
            </w:r>
            <w:r>
              <w:rPr>
                <w:rFonts w:hint="eastAsia" w:ascii="Times New Roman" w:hAnsi="Times New Roman" w:cs="宋体"/>
                <w:color w:val="auto"/>
                <w:spacing w:val="0"/>
                <w:sz w:val="24"/>
                <w:szCs w:val="24"/>
                <w:highlight w:val="none"/>
                <w:lang w:val="en-US" w:eastAsia="zh-CN"/>
              </w:rPr>
              <w:t>1.20</w:t>
            </w:r>
            <w:r>
              <w:rPr>
                <w:rFonts w:hint="default" w:ascii="Times New Roman" w:hAnsi="Times New Roman" w:eastAsia="宋体"/>
                <w:color w:val="auto"/>
                <w:spacing w:val="0"/>
                <w:sz w:val="24"/>
                <w:szCs w:val="24"/>
                <w:highlight w:val="none"/>
              </w:rPr>
              <w:t>m/s</w:t>
            </w:r>
            <w:r>
              <w:rPr>
                <w:rFonts w:hint="eastAsia" w:ascii="Times New Roman" w:hAnsi="Times New Roman"/>
                <w:color w:val="auto"/>
                <w:spacing w:val="-30"/>
                <w:sz w:val="24"/>
                <w:szCs w:val="24"/>
                <w:highlight w:val="none"/>
                <w:lang w:eastAsia="zh-CN"/>
              </w:rPr>
              <w:t>）</w:t>
            </w:r>
          </w:p>
          <w:p w14:paraId="7889D457">
            <w:pPr>
              <w:pStyle w:val="3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color w:val="auto"/>
                <w:spacing w:val="0"/>
                <w:sz w:val="24"/>
                <w:szCs w:val="24"/>
                <w:highlight w:val="none"/>
                <w:lang w:eastAsia="zh-CN"/>
              </w:rPr>
            </w:pPr>
            <w:r>
              <w:rPr>
                <w:rFonts w:hint="eastAsia" w:ascii="Times New Roman" w:hAnsi="Times New Roman"/>
                <w:color w:val="auto"/>
                <w:spacing w:val="0"/>
                <w:sz w:val="24"/>
                <w:szCs w:val="24"/>
                <w:highlight w:val="none"/>
                <w:lang w:val="en-US" w:eastAsia="zh-CN"/>
              </w:rPr>
              <w:t>3号楼配套的颗粒</w:t>
            </w:r>
            <w:r>
              <w:rPr>
                <w:rFonts w:hint="eastAsia" w:ascii="Times New Roman" w:hAnsi="Times New Roman" w:cs="宋体"/>
                <w:color w:val="auto"/>
                <w:spacing w:val="0"/>
                <w:sz w:val="24"/>
                <w:szCs w:val="24"/>
                <w:highlight w:val="none"/>
                <w:lang w:val="en-US" w:eastAsia="zh-CN"/>
              </w:rPr>
              <w:t>状活性炭</w:t>
            </w:r>
            <w:r>
              <w:rPr>
                <w:rFonts w:hint="default" w:ascii="Times New Roman" w:hAnsi="Times New Roman" w:eastAsia="宋体" w:cs="宋体"/>
                <w:color w:val="auto"/>
                <w:spacing w:val="0"/>
                <w:sz w:val="24"/>
                <w:szCs w:val="24"/>
                <w:highlight w:val="none"/>
              </w:rPr>
              <w:t>单层过滤风速</w:t>
            </w:r>
            <w:r>
              <w:rPr>
                <w:rFonts w:hint="default" w:ascii="Times New Roman" w:hAnsi="Times New Roman" w:eastAsia="宋体"/>
                <w:color w:val="auto"/>
                <w:spacing w:val="0"/>
                <w:sz w:val="24"/>
                <w:szCs w:val="24"/>
                <w:highlight w:val="none"/>
              </w:rPr>
              <w:t>=</w:t>
            </w:r>
            <w:r>
              <w:rPr>
                <w:rFonts w:hint="default" w:ascii="Times New Roman" w:hAnsi="Times New Roman" w:eastAsia="宋体" w:cs="宋体"/>
                <w:color w:val="auto"/>
                <w:spacing w:val="0"/>
                <w:sz w:val="24"/>
                <w:szCs w:val="24"/>
                <w:highlight w:val="none"/>
              </w:rPr>
              <w:t>废气量÷</w:t>
            </w:r>
            <w:r>
              <w:rPr>
                <w:rFonts w:hint="default" w:ascii="Times New Roman" w:hAnsi="Times New Roman" w:eastAsia="宋体"/>
                <w:color w:val="auto"/>
                <w:spacing w:val="0"/>
                <w:sz w:val="24"/>
                <w:szCs w:val="24"/>
                <w:highlight w:val="none"/>
              </w:rPr>
              <w:t>3600</w:t>
            </w:r>
            <w:r>
              <w:rPr>
                <w:rFonts w:hint="default" w:ascii="Times New Roman" w:hAnsi="Times New Roman" w:eastAsia="宋体" w:cs="宋体"/>
                <w:color w:val="auto"/>
                <w:spacing w:val="0"/>
                <w:sz w:val="24"/>
                <w:szCs w:val="24"/>
                <w:highlight w:val="none"/>
              </w:rPr>
              <w:t>÷单层过滤面积（并联的装置还需乘单级装置中活性炭的装填层数） ÷孔隙率</w:t>
            </w:r>
            <w:r>
              <w:rPr>
                <w:rFonts w:hint="eastAsia" w:ascii="Times New Roman" w:hAnsi="Times New Roman" w:cs="宋体"/>
                <w:color w:val="auto"/>
                <w:spacing w:val="0"/>
                <w:sz w:val="24"/>
                <w:szCs w:val="24"/>
                <w:highlight w:val="none"/>
                <w:lang w:eastAsia="zh-CN"/>
              </w:rPr>
              <w:t>（</w:t>
            </w:r>
            <w:r>
              <w:rPr>
                <w:rFonts w:hint="eastAsia" w:ascii="Times New Roman" w:hAnsi="Times New Roman" w:cs="宋体"/>
                <w:color w:val="auto"/>
                <w:spacing w:val="0"/>
                <w:sz w:val="24"/>
                <w:szCs w:val="24"/>
                <w:highlight w:val="none"/>
                <w:lang w:val="en-US" w:eastAsia="zh-CN"/>
              </w:rPr>
              <w:t>本项目取一般值70%</w:t>
            </w:r>
            <w:r>
              <w:rPr>
                <w:rFonts w:hint="eastAsia" w:ascii="Times New Roman" w:hAnsi="Times New Roman" w:cs="宋体"/>
                <w:color w:val="auto"/>
                <w:spacing w:val="0"/>
                <w:sz w:val="24"/>
                <w:szCs w:val="24"/>
                <w:highlight w:val="none"/>
                <w:lang w:eastAsia="zh-CN"/>
              </w:rPr>
              <w:t>）</w:t>
            </w:r>
            <w:r>
              <w:rPr>
                <w:rFonts w:hint="default" w:ascii="Times New Roman" w:hAnsi="Times New Roman" w:eastAsia="宋体"/>
                <w:color w:val="auto"/>
                <w:spacing w:val="0"/>
                <w:sz w:val="24"/>
                <w:szCs w:val="24"/>
                <w:highlight w:val="none"/>
              </w:rPr>
              <w:t>=</w:t>
            </w:r>
            <w:r>
              <w:rPr>
                <w:rFonts w:hint="eastAsia" w:ascii="Times New Roman" w:hAnsi="Times New Roman" w:eastAsia="宋体"/>
                <w:color w:val="auto"/>
                <w:spacing w:val="0"/>
                <w:sz w:val="24"/>
                <w:szCs w:val="24"/>
                <w:highlight w:val="none"/>
                <w:lang w:val="en-US" w:eastAsia="zh-CN"/>
              </w:rPr>
              <w:t>17500</w:t>
            </w:r>
            <w:r>
              <w:rPr>
                <w:rFonts w:hint="default" w:ascii="Times New Roman" w:hAnsi="Times New Roman" w:eastAsia="宋体" w:cs="宋体"/>
                <w:color w:val="auto"/>
                <w:spacing w:val="0"/>
                <w:sz w:val="24"/>
                <w:szCs w:val="24"/>
                <w:highlight w:val="none"/>
              </w:rPr>
              <w:t>÷</w:t>
            </w:r>
            <w:r>
              <w:rPr>
                <w:rFonts w:hint="default" w:ascii="Times New Roman" w:hAnsi="Times New Roman" w:eastAsia="宋体"/>
                <w:color w:val="auto"/>
                <w:spacing w:val="0"/>
                <w:sz w:val="24"/>
                <w:szCs w:val="24"/>
                <w:highlight w:val="none"/>
              </w:rPr>
              <w:t>3600</w:t>
            </w:r>
            <w:r>
              <w:rPr>
                <w:rFonts w:hint="default" w:ascii="Times New Roman" w:hAnsi="Times New Roman" w:eastAsia="宋体" w:cs="宋体"/>
                <w:color w:val="auto"/>
                <w:spacing w:val="0"/>
                <w:sz w:val="24"/>
                <w:szCs w:val="24"/>
                <w:highlight w:val="none"/>
              </w:rPr>
              <w:t>÷（</w:t>
            </w:r>
            <w:r>
              <w:rPr>
                <w:rFonts w:hint="eastAsia" w:ascii="Times New Roman" w:hAnsi="Times New Roman"/>
                <w:color w:val="auto"/>
                <w:spacing w:val="0"/>
                <w:sz w:val="24"/>
                <w:szCs w:val="24"/>
                <w:highlight w:val="none"/>
                <w:lang w:val="en-US" w:eastAsia="zh-CN"/>
              </w:rPr>
              <w:t>4</w:t>
            </w:r>
            <w:r>
              <w:rPr>
                <w:rFonts w:hint="default" w:ascii="Times New Roman" w:hAnsi="Times New Roman" w:eastAsia="宋体" w:cs="宋体"/>
                <w:color w:val="auto"/>
                <w:spacing w:val="0"/>
                <w:sz w:val="24"/>
                <w:szCs w:val="24"/>
                <w:highlight w:val="none"/>
              </w:rPr>
              <w:t>×</w:t>
            </w:r>
            <w:r>
              <w:rPr>
                <w:rFonts w:hint="default" w:ascii="Times New Roman" w:hAnsi="Times New Roman" w:eastAsia="宋体"/>
                <w:color w:val="auto"/>
                <w:spacing w:val="0"/>
                <w:sz w:val="24"/>
                <w:szCs w:val="24"/>
                <w:highlight w:val="none"/>
              </w:rPr>
              <w:t>4</w:t>
            </w:r>
            <w:r>
              <w:rPr>
                <w:rFonts w:hint="default" w:ascii="Times New Roman" w:hAnsi="Times New Roman" w:eastAsia="宋体" w:cs="宋体"/>
                <w:color w:val="auto"/>
                <w:spacing w:val="0"/>
                <w:sz w:val="24"/>
                <w:szCs w:val="24"/>
                <w:highlight w:val="none"/>
              </w:rPr>
              <w:t>） ÷</w:t>
            </w:r>
            <w:r>
              <w:rPr>
                <w:rFonts w:hint="default" w:ascii="Times New Roman" w:hAnsi="Times New Roman" w:eastAsia="宋体"/>
                <w:color w:val="auto"/>
                <w:spacing w:val="0"/>
                <w:sz w:val="24"/>
                <w:szCs w:val="24"/>
                <w:highlight w:val="none"/>
              </w:rPr>
              <w:t>7</w:t>
            </w:r>
            <w:r>
              <w:rPr>
                <w:rFonts w:hint="eastAsia" w:ascii="Times New Roman" w:hAnsi="Times New Roman"/>
                <w:color w:val="auto"/>
                <w:spacing w:val="0"/>
                <w:sz w:val="24"/>
                <w:szCs w:val="24"/>
                <w:highlight w:val="none"/>
                <w:lang w:val="en-US" w:eastAsia="zh-CN"/>
              </w:rPr>
              <w:t>0</w:t>
            </w:r>
            <w:r>
              <w:rPr>
                <w:rFonts w:hint="default" w:ascii="Times New Roman" w:hAnsi="Times New Roman" w:eastAsia="宋体"/>
                <w:color w:val="auto"/>
                <w:spacing w:val="0"/>
                <w:sz w:val="24"/>
                <w:szCs w:val="24"/>
                <w:highlight w:val="none"/>
              </w:rPr>
              <w:t>%=</w:t>
            </w:r>
            <w:r>
              <w:rPr>
                <w:rFonts w:hint="eastAsia" w:ascii="Times New Roman" w:hAnsi="Times New Roman"/>
                <w:b/>
                <w:bCs/>
                <w:color w:val="auto"/>
                <w:spacing w:val="0"/>
                <w:sz w:val="24"/>
                <w:szCs w:val="24"/>
                <w:highlight w:val="none"/>
                <w:lang w:val="en-US" w:eastAsia="zh-CN"/>
              </w:rPr>
              <w:t>0.434</w:t>
            </w:r>
            <w:r>
              <w:rPr>
                <w:rFonts w:hint="default" w:ascii="Times New Roman" w:hAnsi="Times New Roman" w:eastAsia="宋体"/>
                <w:b/>
                <w:bCs/>
                <w:color w:val="auto"/>
                <w:spacing w:val="0"/>
                <w:sz w:val="24"/>
                <w:szCs w:val="24"/>
                <w:highlight w:val="none"/>
              </w:rPr>
              <w:t xml:space="preserve">m/s </w:t>
            </w:r>
            <w:r>
              <w:rPr>
                <w:rFonts w:hint="eastAsia" w:ascii="Times New Roman" w:hAnsi="Times New Roman"/>
                <w:b/>
                <w:bCs/>
                <w:color w:val="auto"/>
                <w:spacing w:val="-30"/>
                <w:sz w:val="24"/>
                <w:szCs w:val="24"/>
                <w:highlight w:val="none"/>
                <w:lang w:eastAsia="zh-CN"/>
              </w:rPr>
              <w:t>（</w:t>
            </w:r>
            <w:r>
              <w:rPr>
                <w:rFonts w:hint="eastAsia" w:ascii="Times New Roman" w:hAnsi="Times New Roman"/>
                <w:b/>
                <w:bCs/>
                <w:color w:val="auto"/>
                <w:spacing w:val="0"/>
                <w:sz w:val="24"/>
                <w:szCs w:val="24"/>
                <w:highlight w:val="none"/>
                <w:lang w:val="en-US" w:eastAsia="zh-CN"/>
              </w:rPr>
              <w:t>＜0.6m/s</w:t>
            </w:r>
            <w:r>
              <w:rPr>
                <w:rFonts w:hint="eastAsia" w:ascii="Times New Roman" w:hAnsi="Times New Roman"/>
                <w:b/>
                <w:bCs/>
                <w:color w:val="auto"/>
                <w:spacing w:val="0"/>
                <w:sz w:val="24"/>
                <w:szCs w:val="24"/>
                <w:highlight w:val="none"/>
                <w:lang w:eastAsia="zh-CN"/>
              </w:rPr>
              <w:t>）</w:t>
            </w:r>
            <w:r>
              <w:rPr>
                <w:rFonts w:hint="eastAsia" w:ascii="Times New Roman" w:hAnsi="Times New Roman"/>
                <w:color w:val="auto"/>
                <w:spacing w:val="0"/>
                <w:sz w:val="24"/>
                <w:szCs w:val="24"/>
                <w:highlight w:val="none"/>
                <w:lang w:eastAsia="zh-CN"/>
              </w:rPr>
              <w:t>；</w:t>
            </w:r>
          </w:p>
          <w:p w14:paraId="6D29B4CE">
            <w:pPr>
              <w:pStyle w:val="3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color w:val="auto"/>
                <w:kern w:val="0"/>
                <w:sz w:val="24"/>
                <w:highlight w:val="none"/>
                <w:lang w:val="en-US" w:eastAsia="zh-CN"/>
              </w:rPr>
            </w:pPr>
            <w:r>
              <w:rPr>
                <w:rFonts w:hint="eastAsia" w:ascii="Times New Roman" w:hAnsi="Times New Roman"/>
                <w:color w:val="auto"/>
                <w:spacing w:val="0"/>
                <w:sz w:val="24"/>
                <w:szCs w:val="24"/>
                <w:highlight w:val="none"/>
                <w:lang w:val="en-US" w:eastAsia="zh-CN"/>
              </w:rPr>
              <w:t>1/2/4号楼配套的颗粒状活性炭</w:t>
            </w:r>
            <w:r>
              <w:rPr>
                <w:rFonts w:hint="default" w:ascii="Times New Roman" w:hAnsi="Times New Roman" w:eastAsia="宋体" w:cs="宋体"/>
                <w:color w:val="auto"/>
                <w:spacing w:val="-1"/>
                <w:sz w:val="24"/>
                <w:szCs w:val="24"/>
                <w:highlight w:val="none"/>
              </w:rPr>
              <w:t>单层过滤风速</w:t>
            </w:r>
            <w:r>
              <w:rPr>
                <w:rFonts w:hint="default" w:ascii="Times New Roman" w:hAnsi="Times New Roman" w:eastAsia="宋体"/>
                <w:color w:val="auto"/>
                <w:spacing w:val="-1"/>
                <w:sz w:val="24"/>
                <w:szCs w:val="24"/>
                <w:highlight w:val="none"/>
              </w:rPr>
              <w:t>=</w:t>
            </w:r>
            <w:r>
              <w:rPr>
                <w:rFonts w:hint="default" w:ascii="Times New Roman" w:hAnsi="Times New Roman" w:eastAsia="宋体" w:cs="宋体"/>
                <w:color w:val="auto"/>
                <w:spacing w:val="-1"/>
                <w:sz w:val="24"/>
                <w:szCs w:val="24"/>
                <w:highlight w:val="none"/>
              </w:rPr>
              <w:t>废气量÷</w:t>
            </w:r>
            <w:r>
              <w:rPr>
                <w:rFonts w:hint="default" w:ascii="Times New Roman" w:hAnsi="Times New Roman" w:eastAsia="宋体"/>
                <w:color w:val="auto"/>
                <w:spacing w:val="-1"/>
                <w:sz w:val="24"/>
                <w:szCs w:val="24"/>
                <w:highlight w:val="none"/>
              </w:rPr>
              <w:t>3600</w:t>
            </w:r>
            <w:r>
              <w:rPr>
                <w:rFonts w:hint="default" w:ascii="Times New Roman" w:hAnsi="Times New Roman" w:eastAsia="宋体" w:cs="宋体"/>
                <w:color w:val="auto"/>
                <w:spacing w:val="-1"/>
                <w:sz w:val="24"/>
                <w:szCs w:val="24"/>
                <w:highlight w:val="none"/>
              </w:rPr>
              <w:t>÷单层过</w:t>
            </w:r>
            <w:r>
              <w:rPr>
                <w:rFonts w:hint="default" w:ascii="Times New Roman" w:hAnsi="Times New Roman" w:eastAsia="宋体" w:cs="宋体"/>
                <w:color w:val="auto"/>
                <w:spacing w:val="-2"/>
                <w:sz w:val="24"/>
                <w:szCs w:val="24"/>
                <w:highlight w:val="none"/>
              </w:rPr>
              <w:t>滤面积（并联的装置还需乘单级装置中活性炭的装填层数）</w:t>
            </w:r>
            <w:r>
              <w:rPr>
                <w:rFonts w:hint="default" w:ascii="Times New Roman" w:hAnsi="Times New Roman" w:eastAsia="宋体" w:cs="宋体"/>
                <w:color w:val="auto"/>
                <w:spacing w:val="-91"/>
                <w:sz w:val="24"/>
                <w:szCs w:val="24"/>
                <w:highlight w:val="none"/>
              </w:rPr>
              <w:t xml:space="preserve"> </w:t>
            </w:r>
            <w:r>
              <w:rPr>
                <w:rFonts w:hint="default" w:ascii="Times New Roman" w:hAnsi="Times New Roman" w:eastAsia="宋体" w:cs="宋体"/>
                <w:color w:val="auto"/>
                <w:spacing w:val="-2"/>
                <w:sz w:val="24"/>
                <w:szCs w:val="24"/>
                <w:highlight w:val="none"/>
              </w:rPr>
              <w:t>÷孔隙率</w:t>
            </w:r>
            <w:r>
              <w:rPr>
                <w:rFonts w:hint="eastAsia" w:ascii="Times New Roman" w:hAnsi="Times New Roman" w:cs="宋体"/>
                <w:color w:val="auto"/>
                <w:spacing w:val="-2"/>
                <w:sz w:val="24"/>
                <w:szCs w:val="24"/>
                <w:highlight w:val="none"/>
                <w:lang w:eastAsia="zh-CN"/>
              </w:rPr>
              <w:t>（</w:t>
            </w:r>
            <w:r>
              <w:rPr>
                <w:rFonts w:hint="eastAsia" w:ascii="Times New Roman" w:hAnsi="Times New Roman" w:cs="宋体"/>
                <w:color w:val="auto"/>
                <w:spacing w:val="-2"/>
                <w:sz w:val="24"/>
                <w:szCs w:val="24"/>
                <w:highlight w:val="none"/>
                <w:lang w:val="en-US" w:eastAsia="zh-CN"/>
              </w:rPr>
              <w:t>本项目取一般值70%</w:t>
            </w:r>
            <w:r>
              <w:rPr>
                <w:rFonts w:hint="eastAsia" w:ascii="Times New Roman" w:hAnsi="Times New Roman" w:cs="宋体"/>
                <w:color w:val="auto"/>
                <w:spacing w:val="-2"/>
                <w:sz w:val="24"/>
                <w:szCs w:val="24"/>
                <w:highlight w:val="none"/>
                <w:lang w:eastAsia="zh-CN"/>
              </w:rPr>
              <w:t>）</w:t>
            </w:r>
            <w:r>
              <w:rPr>
                <w:rFonts w:hint="default" w:ascii="Times New Roman" w:hAnsi="Times New Roman" w:eastAsia="宋体"/>
                <w:color w:val="auto"/>
                <w:spacing w:val="-2"/>
                <w:sz w:val="24"/>
                <w:szCs w:val="24"/>
                <w:highlight w:val="none"/>
              </w:rPr>
              <w:t>=</w:t>
            </w:r>
            <w:r>
              <w:rPr>
                <w:rFonts w:hint="eastAsia" w:ascii="Times New Roman" w:hAnsi="Times New Roman"/>
                <w:color w:val="auto"/>
                <w:spacing w:val="-2"/>
                <w:sz w:val="24"/>
                <w:szCs w:val="24"/>
                <w:highlight w:val="none"/>
                <w:lang w:val="en-US" w:eastAsia="zh-CN"/>
              </w:rPr>
              <w:t>7500</w:t>
            </w:r>
            <w:r>
              <w:rPr>
                <w:rFonts w:hint="default" w:ascii="Times New Roman" w:hAnsi="Times New Roman" w:eastAsia="宋体" w:cs="宋体"/>
                <w:color w:val="auto"/>
                <w:spacing w:val="-2"/>
                <w:sz w:val="24"/>
                <w:szCs w:val="24"/>
                <w:highlight w:val="none"/>
              </w:rPr>
              <w:t>÷</w:t>
            </w:r>
            <w:r>
              <w:rPr>
                <w:rFonts w:hint="default" w:ascii="Times New Roman" w:hAnsi="Times New Roman" w:eastAsia="宋体"/>
                <w:color w:val="auto"/>
                <w:spacing w:val="-2"/>
                <w:sz w:val="24"/>
                <w:szCs w:val="24"/>
                <w:highlight w:val="none"/>
              </w:rPr>
              <w:t>360</w:t>
            </w:r>
            <w:r>
              <w:rPr>
                <w:rFonts w:hint="default" w:ascii="Times New Roman" w:hAnsi="Times New Roman" w:eastAsia="宋体"/>
                <w:color w:val="auto"/>
                <w:spacing w:val="-3"/>
                <w:sz w:val="24"/>
                <w:szCs w:val="24"/>
                <w:highlight w:val="none"/>
              </w:rPr>
              <w:t>0</w:t>
            </w:r>
            <w:r>
              <w:rPr>
                <w:rFonts w:hint="default" w:ascii="Times New Roman" w:hAnsi="Times New Roman" w:eastAsia="宋体" w:cs="宋体"/>
                <w:color w:val="auto"/>
                <w:spacing w:val="-3"/>
                <w:sz w:val="24"/>
                <w:szCs w:val="24"/>
                <w:highlight w:val="none"/>
              </w:rPr>
              <w:t>÷（</w:t>
            </w:r>
            <w:r>
              <w:rPr>
                <w:rFonts w:hint="eastAsia" w:ascii="Times New Roman" w:hAnsi="Times New Roman" w:cs="宋体"/>
                <w:color w:val="auto"/>
                <w:spacing w:val="-3"/>
                <w:sz w:val="24"/>
                <w:szCs w:val="24"/>
                <w:highlight w:val="none"/>
                <w:lang w:val="en-US" w:eastAsia="zh-CN"/>
              </w:rPr>
              <w:t>1.8</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olor w:val="auto"/>
                <w:spacing w:val="-3"/>
                <w:sz w:val="24"/>
                <w:szCs w:val="24"/>
                <w:highlight w:val="none"/>
              </w:rPr>
              <w:t>4</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s="宋体"/>
                <w:color w:val="auto"/>
                <w:spacing w:val="-89"/>
                <w:sz w:val="24"/>
                <w:szCs w:val="24"/>
                <w:highlight w:val="none"/>
              </w:rPr>
              <w:t xml:space="preserve"> </w:t>
            </w:r>
            <w:r>
              <w:rPr>
                <w:rFonts w:hint="default" w:ascii="Times New Roman" w:hAnsi="Times New Roman" w:eastAsia="宋体" w:cs="宋体"/>
                <w:color w:val="auto"/>
                <w:spacing w:val="-3"/>
                <w:sz w:val="24"/>
                <w:szCs w:val="24"/>
                <w:highlight w:val="none"/>
              </w:rPr>
              <w:t>÷</w:t>
            </w:r>
            <w:r>
              <w:rPr>
                <w:rFonts w:hint="default" w:ascii="Times New Roman" w:hAnsi="Times New Roman" w:eastAsia="宋体"/>
                <w:color w:val="auto"/>
                <w:spacing w:val="-3"/>
                <w:sz w:val="24"/>
                <w:szCs w:val="24"/>
                <w:highlight w:val="none"/>
              </w:rPr>
              <w:t>7</w:t>
            </w:r>
            <w:r>
              <w:rPr>
                <w:rFonts w:hint="eastAsia" w:ascii="Times New Roman" w:hAnsi="Times New Roman"/>
                <w:color w:val="auto"/>
                <w:spacing w:val="-3"/>
                <w:sz w:val="24"/>
                <w:szCs w:val="24"/>
                <w:highlight w:val="none"/>
                <w:lang w:val="en-US" w:eastAsia="zh-CN"/>
              </w:rPr>
              <w:t>0</w:t>
            </w:r>
            <w:r>
              <w:rPr>
                <w:rFonts w:hint="default" w:ascii="Times New Roman" w:hAnsi="Times New Roman" w:eastAsia="宋体"/>
                <w:color w:val="auto"/>
                <w:spacing w:val="-3"/>
                <w:sz w:val="24"/>
                <w:szCs w:val="24"/>
                <w:highlight w:val="none"/>
              </w:rPr>
              <w:t>%=</w:t>
            </w:r>
            <w:r>
              <w:rPr>
                <w:rFonts w:hint="eastAsia" w:ascii="Times New Roman" w:hAnsi="Times New Roman"/>
                <w:color w:val="auto"/>
                <w:spacing w:val="-3"/>
                <w:sz w:val="24"/>
                <w:szCs w:val="24"/>
                <w:highlight w:val="none"/>
                <w:lang w:val="en-US" w:eastAsia="zh-CN"/>
              </w:rPr>
              <w:t>0.4134</w:t>
            </w:r>
            <w:r>
              <w:rPr>
                <w:rFonts w:hint="default" w:ascii="Times New Roman" w:hAnsi="Times New Roman" w:eastAsia="宋体"/>
                <w:b/>
                <w:bCs/>
                <w:color w:val="auto"/>
                <w:spacing w:val="-3"/>
                <w:sz w:val="24"/>
                <w:szCs w:val="24"/>
                <w:highlight w:val="none"/>
              </w:rPr>
              <w:t>m/s</w:t>
            </w:r>
            <w:r>
              <w:rPr>
                <w:rFonts w:hint="default" w:ascii="Times New Roman" w:hAnsi="Times New Roman" w:eastAsia="宋体"/>
                <w:b/>
                <w:bCs/>
                <w:color w:val="auto"/>
                <w:spacing w:val="-30"/>
                <w:sz w:val="24"/>
                <w:szCs w:val="24"/>
                <w:highlight w:val="none"/>
              </w:rPr>
              <w:t xml:space="preserve"> </w:t>
            </w:r>
            <w:r>
              <w:rPr>
                <w:rFonts w:hint="eastAsia" w:ascii="Times New Roman" w:hAnsi="Times New Roman"/>
                <w:b/>
                <w:bCs/>
                <w:color w:val="auto"/>
                <w:spacing w:val="-30"/>
                <w:sz w:val="24"/>
                <w:szCs w:val="24"/>
                <w:highlight w:val="none"/>
                <w:lang w:eastAsia="zh-CN"/>
              </w:rPr>
              <w:t>（</w:t>
            </w:r>
            <w:r>
              <w:rPr>
                <w:rFonts w:hint="eastAsia" w:ascii="Times New Roman" w:hAnsi="Times New Roman"/>
                <w:b/>
                <w:bCs/>
                <w:color w:val="auto"/>
                <w:spacing w:val="0"/>
                <w:sz w:val="24"/>
                <w:szCs w:val="24"/>
                <w:highlight w:val="none"/>
                <w:lang w:val="en-US" w:eastAsia="zh-CN"/>
              </w:rPr>
              <w:t>＜0.6m/s</w:t>
            </w:r>
            <w:r>
              <w:rPr>
                <w:rFonts w:hint="eastAsia" w:ascii="Times New Roman" w:hAnsi="Times New Roman"/>
                <w:b/>
                <w:bCs/>
                <w:color w:val="auto"/>
                <w:spacing w:val="0"/>
                <w:sz w:val="24"/>
                <w:szCs w:val="24"/>
                <w:highlight w:val="none"/>
                <w:lang w:eastAsia="zh-CN"/>
              </w:rPr>
              <w:t>）</w:t>
            </w:r>
            <w:r>
              <w:rPr>
                <w:rFonts w:hint="eastAsia"/>
                <w:color w:val="auto"/>
                <w:kern w:val="0"/>
                <w:sz w:val="24"/>
                <w:highlight w:val="none"/>
                <w:lang w:val="en-US" w:eastAsia="zh-CN"/>
              </w:rPr>
              <w:t>本项目建成后，采用的</w:t>
            </w:r>
            <w:r>
              <w:rPr>
                <w:rFonts w:hint="eastAsia"/>
                <w:color w:val="auto"/>
                <w:kern w:val="0"/>
                <w:sz w:val="24"/>
                <w:highlight w:val="none"/>
                <w:lang w:eastAsia="zh-CN"/>
              </w:rPr>
              <w:t>活性炭吸附装置各参数</w:t>
            </w:r>
            <w:r>
              <w:rPr>
                <w:rFonts w:hint="eastAsia"/>
                <w:color w:val="auto"/>
                <w:kern w:val="0"/>
                <w:sz w:val="24"/>
                <w:highlight w:val="none"/>
                <w:lang w:val="en-US" w:eastAsia="zh-CN"/>
              </w:rPr>
              <w:t>应符合《吸附法工业有机废气治理工程技术规范》中规定。</w:t>
            </w:r>
          </w:p>
          <w:p w14:paraId="1899734E">
            <w:pPr>
              <w:pStyle w:val="3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color w:val="auto"/>
                <w:kern w:val="0"/>
                <w:sz w:val="24"/>
                <w:highlight w:val="none"/>
              </w:rPr>
              <w:t>根据《无锡科睿坦电子科技有限公司物联网RFID电子标签天线生产项目</w:t>
            </w:r>
            <w:r>
              <w:rPr>
                <w:rFonts w:hint="eastAsia"/>
                <w:color w:val="auto"/>
                <w:kern w:val="0"/>
                <w:sz w:val="24"/>
                <w:highlight w:val="none"/>
              </w:rPr>
              <w:t>（</w:t>
            </w:r>
            <w:r>
              <w:rPr>
                <w:rFonts w:hint="default"/>
                <w:color w:val="auto"/>
                <w:kern w:val="0"/>
                <w:sz w:val="24"/>
                <w:highlight w:val="none"/>
              </w:rPr>
              <w:t>年产12亿张物联网RFID电子标签天线搬迁扩建项目</w:t>
            </w:r>
            <w:r>
              <w:rPr>
                <w:rFonts w:hint="eastAsia"/>
                <w:color w:val="auto"/>
                <w:kern w:val="0"/>
                <w:sz w:val="24"/>
                <w:highlight w:val="none"/>
              </w:rPr>
              <w:t>）</w:t>
            </w:r>
            <w:r>
              <w:rPr>
                <w:rFonts w:hint="default"/>
                <w:color w:val="auto"/>
                <w:kern w:val="0"/>
                <w:sz w:val="24"/>
                <w:highlight w:val="none"/>
              </w:rPr>
              <w:t>竣工环境保护验收监测报告》的监测数据</w:t>
            </w:r>
            <w:r>
              <w:rPr>
                <w:rFonts w:hint="eastAsia"/>
                <w:color w:val="auto"/>
                <w:kern w:val="0"/>
                <w:sz w:val="24"/>
                <w:highlight w:val="none"/>
              </w:rPr>
              <w:t>，二级活性炭对有机废气的处理效率在</w:t>
            </w:r>
            <w:r>
              <w:rPr>
                <w:rFonts w:hint="eastAsia" w:ascii="Times New Roman" w:hAnsi="Times New Roman"/>
                <w:color w:val="auto"/>
                <w:kern w:val="0"/>
                <w:sz w:val="24"/>
                <w:highlight w:val="none"/>
              </w:rPr>
              <w:t>91%~91.3%，因此本项目二级活性炭去除效率以90%计可行。综合可知，本项目产生的有机废气经二级活性炭吸附可达到90%。</w:t>
            </w:r>
            <w:r>
              <w:rPr>
                <w:rFonts w:hint="default" w:ascii="Times New Roman" w:hAnsi="Times New Roman" w:eastAsia="宋体" w:cs="Times New Roman"/>
                <w:color w:val="auto"/>
                <w:sz w:val="24"/>
                <w:highlight w:val="none"/>
              </w:rPr>
              <w:t>采用活性炭吸附去除有机废气，其工艺较为成熟，废气</w:t>
            </w:r>
            <w:r>
              <w:rPr>
                <w:rFonts w:hint="default" w:ascii="Times New Roman" w:hAnsi="Times New Roman" w:eastAsia="宋体" w:cs="Times New Roman"/>
                <w:color w:val="auto"/>
                <w:sz w:val="24"/>
                <w:highlight w:val="none"/>
                <w:lang w:val="en-US" w:eastAsia="zh-CN"/>
              </w:rPr>
              <w:t>管道</w:t>
            </w:r>
            <w:r>
              <w:rPr>
                <w:rFonts w:hint="default" w:ascii="Times New Roman" w:hAnsi="Times New Roman" w:eastAsia="宋体" w:cs="Times New Roman"/>
                <w:color w:val="auto"/>
                <w:sz w:val="24"/>
                <w:highlight w:val="none"/>
              </w:rPr>
              <w:t>收集、输送、过程控制参数和活性炭装运、处理</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且该处理工艺为</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排污许可证申请与核发技术规范 铁路、船舶、航空航天和其他运输设备制造业》（HJ1124-2020）</w:t>
            </w:r>
            <w:r>
              <w:rPr>
                <w:rFonts w:hint="eastAsia" w:ascii="Times New Roman" w:hAnsi="Times New Roman" w:cs="Times New Roman"/>
                <w:color w:val="auto"/>
                <w:sz w:val="24"/>
                <w:highlight w:val="none"/>
                <w:lang w:eastAsia="zh-CN"/>
              </w:rPr>
              <w:t>表</w:t>
            </w:r>
            <w:r>
              <w:rPr>
                <w:rFonts w:hint="eastAsia" w:ascii="Times New Roman" w:hAnsi="Times New Roman" w:cs="Times New Roman"/>
                <w:color w:val="auto"/>
                <w:sz w:val="24"/>
                <w:highlight w:val="none"/>
                <w:lang w:val="en-US" w:eastAsia="zh-CN"/>
              </w:rPr>
              <w:t>8</w:t>
            </w:r>
            <w:r>
              <w:rPr>
                <w:rFonts w:hint="eastAsia" w:ascii="Times New Roman" w:hAnsi="Times New Roman" w:cs="Times New Roman"/>
                <w:color w:val="auto"/>
                <w:sz w:val="24"/>
                <w:highlight w:val="none"/>
                <w:lang w:eastAsia="zh-CN"/>
              </w:rPr>
              <w:t>中的可行技术</w:t>
            </w:r>
            <w:r>
              <w:rPr>
                <w:rFonts w:hint="default" w:ascii="Times New Roman" w:hAnsi="Times New Roman" w:eastAsia="宋体" w:cs="Times New Roman"/>
                <w:color w:val="auto"/>
                <w:sz w:val="24"/>
                <w:highlight w:val="none"/>
              </w:rPr>
              <w:t>。</w:t>
            </w:r>
          </w:p>
          <w:p w14:paraId="04C63F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活性炭吸附</w:t>
            </w:r>
            <w:r>
              <w:rPr>
                <w:rFonts w:hint="eastAsia" w:ascii="Times New Roman" w:hAnsi="Times New Roman" w:eastAsia="宋体" w:cs="Times New Roman"/>
                <w:b/>
                <w:bCs/>
                <w:color w:val="auto"/>
                <w:sz w:val="24"/>
                <w:highlight w:val="none"/>
              </w:rPr>
              <w:t>装置</w:t>
            </w:r>
            <w:r>
              <w:rPr>
                <w:rFonts w:hint="default" w:ascii="Times New Roman" w:hAnsi="Times New Roman" w:eastAsia="宋体" w:cs="Times New Roman"/>
                <w:b/>
                <w:bCs/>
                <w:color w:val="auto"/>
                <w:sz w:val="24"/>
                <w:highlight w:val="none"/>
              </w:rPr>
              <w:t>环境管理要求：</w:t>
            </w:r>
          </w:p>
          <w:p w14:paraId="5668A5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olor w:val="auto"/>
                <w:highlight w:val="none"/>
                <w:vertAlign w:val="baseline"/>
              </w:rPr>
            </w:pPr>
            <w:r>
              <w:rPr>
                <w:rFonts w:hint="default" w:ascii="Times New Roman" w:hAnsi="Times New Roman" w:eastAsia="宋体" w:cs="Times New Roman"/>
                <w:color w:val="auto"/>
                <w:sz w:val="24"/>
                <w:highlight w:val="none"/>
              </w:rPr>
              <w:t>当活性炭吸附一定量的废气后，吸附容量下降，吸附效率降低，当吸附效率降低到接近尾气浓度排放标准时，需要及时更换活性炭。建设单位应根据要求</w:t>
            </w:r>
            <w:r>
              <w:rPr>
                <w:rFonts w:hint="eastAsia" w:cs="Times New Roman"/>
                <w:color w:val="auto"/>
                <w:sz w:val="24"/>
                <w:highlight w:val="none"/>
                <w:lang w:eastAsia="zh-CN"/>
              </w:rPr>
              <w:t>及时更换</w:t>
            </w:r>
            <w:r>
              <w:rPr>
                <w:rFonts w:hint="default" w:ascii="Times New Roman" w:hAnsi="Times New Roman" w:eastAsia="宋体" w:cs="Times New Roman"/>
                <w:color w:val="auto"/>
                <w:sz w:val="24"/>
                <w:highlight w:val="none"/>
              </w:rPr>
              <w:t>活性炭。活性炭吸附塔进出口风管上设置压差计，以测定气流压力（压降），从而确定是否需要更换活性炭</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24"/>
                <w:highlight w:val="none"/>
                <w:lang w:eastAsia="zh-CN"/>
              </w:rPr>
              <w:t>综上所述，</w:t>
            </w:r>
            <w:r>
              <w:rPr>
                <w:rFonts w:hint="default" w:ascii="Times New Roman" w:hAnsi="Times New Roman" w:eastAsia="宋体" w:cs="Times New Roman"/>
                <w:color w:val="auto"/>
                <w:sz w:val="24"/>
                <w:highlight w:val="none"/>
              </w:rPr>
              <w:t>本项目采用的废气防治措施均为</w:t>
            </w:r>
            <w:r>
              <w:rPr>
                <w:rFonts w:hint="default" w:ascii="Times New Roman" w:hAnsi="Times New Roman" w:eastAsia="宋体" w:cs="Times New Roman"/>
                <w:color w:val="auto"/>
                <w:sz w:val="24"/>
                <w:highlight w:val="none"/>
                <w:lang w:val="en-US" w:eastAsia="zh-CN"/>
              </w:rPr>
              <w:t>可行</w:t>
            </w:r>
            <w:r>
              <w:rPr>
                <w:rFonts w:hint="default" w:ascii="Times New Roman" w:hAnsi="Times New Roman" w:eastAsia="宋体" w:cs="Times New Roman"/>
                <w:color w:val="auto"/>
                <w:sz w:val="24"/>
                <w:highlight w:val="none"/>
              </w:rPr>
              <w:t>。</w:t>
            </w:r>
          </w:p>
        </w:tc>
      </w:tr>
    </w:tbl>
    <w:p w14:paraId="1D0D7DC2">
      <w:pPr>
        <w:pStyle w:val="12"/>
        <w:numPr>
          <w:ilvl w:val="0"/>
          <w:numId w:val="0"/>
        </w:numPr>
        <w:tabs>
          <w:tab w:val="clear" w:pos="2040"/>
        </w:tabs>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14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13598"/>
      </w:tblGrid>
      <w:tr w14:paraId="3D0C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2" w:hRule="atLeast"/>
        </w:trPr>
        <w:tc>
          <w:tcPr>
            <w:tcW w:w="421" w:type="dxa"/>
          </w:tcPr>
          <w:p w14:paraId="15EA0DFC">
            <w:pPr>
              <w:pStyle w:val="12"/>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highlight w:val="none"/>
                <w:vertAlign w:val="baseline"/>
              </w:rPr>
            </w:pPr>
          </w:p>
        </w:tc>
        <w:tc>
          <w:tcPr>
            <w:tcW w:w="13598" w:type="dxa"/>
          </w:tcPr>
          <w:p w14:paraId="1401D434">
            <w:pPr>
              <w:keepNext w:val="0"/>
              <w:keepLines w:val="0"/>
              <w:widowControl w:val="0"/>
              <w:suppressLineNumbers w:val="0"/>
              <w:spacing w:before="0" w:beforeAutospacing="0" w:after="120" w:afterAutospacing="0"/>
              <w:ind w:left="0" w:leftChars="0" w:right="0" w:firstLine="482" w:firstLineChars="200"/>
              <w:jc w:val="both"/>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（5）排放口基本情况及达标分析</w:t>
            </w:r>
          </w:p>
          <w:p w14:paraId="195FBF94">
            <w:pPr>
              <w:keepNext w:val="0"/>
              <w:keepLines w:val="0"/>
              <w:widowControl w:val="0"/>
              <w:suppressLineNumbers w:val="0"/>
              <w:spacing w:before="0" w:beforeAutospacing="0" w:after="120" w:afterAutospacing="0"/>
              <w:ind w:left="0" w:leftChars="0" w:right="0" w:firstLine="480" w:firstLineChars="200"/>
              <w:jc w:val="both"/>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本项目建成后，全厂废气排气口基本情况如下表。</w:t>
            </w:r>
          </w:p>
          <w:p w14:paraId="1D1BB282">
            <w:pPr>
              <w:pStyle w:val="5"/>
              <w:keepNext w:val="0"/>
              <w:keepLines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10</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cs="Times New Roman"/>
                <w:b/>
                <w:bCs/>
                <w:color w:val="auto"/>
                <w:kern w:val="2"/>
                <w:sz w:val="24"/>
                <w:szCs w:val="24"/>
                <w:highlight w:val="none"/>
                <w:lang w:val="en-US" w:eastAsia="zh-CN" w:bidi="ar-SA"/>
              </w:rPr>
              <w:t>本项目</w:t>
            </w:r>
            <w:r>
              <w:rPr>
                <w:rFonts w:hint="eastAsia" w:ascii="Times New Roman" w:hAnsi="Times New Roman" w:eastAsia="宋体" w:cs="Times New Roman"/>
                <w:b/>
                <w:bCs/>
                <w:color w:val="auto"/>
                <w:sz w:val="24"/>
                <w:highlight w:val="none"/>
              </w:rPr>
              <w:t>废气排放口基本情况表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autofit"/>
              <w:tblCellMar>
                <w:top w:w="0" w:type="dxa"/>
                <w:left w:w="28" w:type="dxa"/>
                <w:bottom w:w="0" w:type="dxa"/>
                <w:right w:w="28" w:type="dxa"/>
              </w:tblCellMar>
            </w:tblPr>
            <w:tblGrid>
              <w:gridCol w:w="977"/>
              <w:gridCol w:w="1488"/>
              <w:gridCol w:w="1657"/>
              <w:gridCol w:w="1068"/>
              <w:gridCol w:w="924"/>
              <w:gridCol w:w="814"/>
              <w:gridCol w:w="696"/>
              <w:gridCol w:w="1146"/>
              <w:gridCol w:w="1057"/>
              <w:gridCol w:w="808"/>
              <w:gridCol w:w="926"/>
              <w:gridCol w:w="899"/>
              <w:gridCol w:w="905"/>
              <w:gridCol w:w="9"/>
            </w:tblGrid>
            <w:tr w14:paraId="087C60D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tblHeader/>
                <w:jc w:val="center"/>
              </w:trPr>
              <w:tc>
                <w:tcPr>
                  <w:tcW w:w="365" w:type="pct"/>
                  <w:vMerge w:val="restart"/>
                  <w:noWrap w:val="0"/>
                  <w:vAlign w:val="center"/>
                </w:tcPr>
                <w:p w14:paraId="2E2AF92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名称及编号</w:t>
                  </w:r>
                </w:p>
              </w:tc>
              <w:tc>
                <w:tcPr>
                  <w:tcW w:w="1175" w:type="pct"/>
                  <w:gridSpan w:val="2"/>
                  <w:noWrap w:val="0"/>
                  <w:vAlign w:val="center"/>
                </w:tcPr>
                <w:p w14:paraId="55E289B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地理坐标</w:t>
                  </w:r>
                </w:p>
              </w:tc>
              <w:tc>
                <w:tcPr>
                  <w:tcW w:w="399" w:type="pct"/>
                  <w:vMerge w:val="restart"/>
                  <w:noWrap w:val="0"/>
                  <w:vAlign w:val="center"/>
                </w:tcPr>
                <w:p w14:paraId="3762105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排气筒高度/m</w:t>
                  </w:r>
                </w:p>
              </w:tc>
              <w:tc>
                <w:tcPr>
                  <w:tcW w:w="345" w:type="pct"/>
                  <w:vMerge w:val="restart"/>
                  <w:noWrap w:val="0"/>
                  <w:vAlign w:val="center"/>
                </w:tcPr>
                <w:p w14:paraId="6ADC780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排气筒内径/m</w:t>
                  </w:r>
                </w:p>
              </w:tc>
              <w:tc>
                <w:tcPr>
                  <w:tcW w:w="304" w:type="pct"/>
                  <w:vMerge w:val="restart"/>
                  <w:noWrap w:val="0"/>
                  <w:vAlign w:val="center"/>
                </w:tcPr>
                <w:p w14:paraId="545A58E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烟气温度/℃</w:t>
                  </w:r>
                </w:p>
              </w:tc>
              <w:tc>
                <w:tcPr>
                  <w:tcW w:w="260" w:type="pct"/>
                  <w:vMerge w:val="restart"/>
                  <w:noWrap w:val="0"/>
                  <w:vAlign w:val="center"/>
                </w:tcPr>
                <w:p w14:paraId="517A144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年排放小时数/h</w:t>
                  </w:r>
                </w:p>
              </w:tc>
              <w:tc>
                <w:tcPr>
                  <w:tcW w:w="428" w:type="pct"/>
                  <w:vMerge w:val="restart"/>
                  <w:noWrap w:val="0"/>
                  <w:vAlign w:val="center"/>
                </w:tcPr>
                <w:p w14:paraId="4DE981F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排放口类型</w:t>
                  </w:r>
                </w:p>
              </w:tc>
              <w:tc>
                <w:tcPr>
                  <w:tcW w:w="1043" w:type="pct"/>
                  <w:gridSpan w:val="3"/>
                  <w:noWrap w:val="0"/>
                  <w:vAlign w:val="center"/>
                </w:tcPr>
                <w:p w14:paraId="39BB177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污染物排放情况</w:t>
                  </w:r>
                </w:p>
              </w:tc>
              <w:tc>
                <w:tcPr>
                  <w:tcW w:w="677" w:type="pct"/>
                  <w:gridSpan w:val="3"/>
                  <w:noWrap w:val="0"/>
                  <w:vAlign w:val="center"/>
                </w:tcPr>
                <w:p w14:paraId="0912F59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污染物排放标准</w:t>
                  </w:r>
                </w:p>
              </w:tc>
            </w:tr>
            <w:tr w14:paraId="47EB3F5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 w:type="pct"/>
                <w:trHeight w:val="340" w:hRule="atLeast"/>
                <w:tblHeader/>
                <w:jc w:val="center"/>
              </w:trPr>
              <w:tc>
                <w:tcPr>
                  <w:tcW w:w="365" w:type="pct"/>
                  <w:vMerge w:val="continue"/>
                  <w:noWrap w:val="0"/>
                  <w:vAlign w:val="center"/>
                </w:tcPr>
                <w:p w14:paraId="04EEEF2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p>
              </w:tc>
              <w:tc>
                <w:tcPr>
                  <w:tcW w:w="556" w:type="pct"/>
                  <w:noWrap w:val="0"/>
                  <w:vAlign w:val="center"/>
                </w:tcPr>
                <w:p w14:paraId="4E94170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经度</w:t>
                  </w:r>
                </w:p>
              </w:tc>
              <w:tc>
                <w:tcPr>
                  <w:tcW w:w="618" w:type="pct"/>
                  <w:noWrap w:val="0"/>
                  <w:vAlign w:val="center"/>
                </w:tcPr>
                <w:p w14:paraId="05024EA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纬度</w:t>
                  </w:r>
                </w:p>
              </w:tc>
              <w:tc>
                <w:tcPr>
                  <w:tcW w:w="399" w:type="pct"/>
                  <w:vMerge w:val="continue"/>
                  <w:noWrap w:val="0"/>
                  <w:vAlign w:val="center"/>
                </w:tcPr>
                <w:p w14:paraId="6EB828D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p>
              </w:tc>
              <w:tc>
                <w:tcPr>
                  <w:tcW w:w="345" w:type="pct"/>
                  <w:vMerge w:val="continue"/>
                  <w:noWrap w:val="0"/>
                  <w:vAlign w:val="center"/>
                </w:tcPr>
                <w:p w14:paraId="0B98D4F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p>
              </w:tc>
              <w:tc>
                <w:tcPr>
                  <w:tcW w:w="304" w:type="pct"/>
                  <w:vMerge w:val="continue"/>
                  <w:noWrap w:val="0"/>
                  <w:vAlign w:val="center"/>
                </w:tcPr>
                <w:p w14:paraId="216F3E1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p>
              </w:tc>
              <w:tc>
                <w:tcPr>
                  <w:tcW w:w="260" w:type="pct"/>
                  <w:vMerge w:val="continue"/>
                  <w:noWrap w:val="0"/>
                  <w:vAlign w:val="center"/>
                </w:tcPr>
                <w:p w14:paraId="227BEEA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p>
              </w:tc>
              <w:tc>
                <w:tcPr>
                  <w:tcW w:w="428" w:type="pct"/>
                  <w:vMerge w:val="continue"/>
                  <w:noWrap w:val="0"/>
                  <w:vAlign w:val="center"/>
                </w:tcPr>
                <w:p w14:paraId="1667A02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p>
              </w:tc>
              <w:tc>
                <w:tcPr>
                  <w:tcW w:w="395" w:type="pct"/>
                  <w:noWrap w:val="0"/>
                  <w:vAlign w:val="center"/>
                </w:tcPr>
                <w:p w14:paraId="44C0CFF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污染物名称</w:t>
                  </w:r>
                </w:p>
              </w:tc>
              <w:tc>
                <w:tcPr>
                  <w:tcW w:w="302" w:type="pct"/>
                  <w:noWrap w:val="0"/>
                  <w:vAlign w:val="center"/>
                </w:tcPr>
                <w:p w14:paraId="25A368A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排放浓度</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eastAsia" w:ascii="Times New Roman" w:hAnsi="Times New Roman" w:eastAsia="宋体" w:cs="Times New Roman"/>
                      <w:b/>
                      <w:bCs/>
                      <w:color w:val="auto"/>
                      <w:sz w:val="18"/>
                      <w:szCs w:val="18"/>
                      <w:highlight w:val="none"/>
                      <w:lang w:val="en-US" w:eastAsia="zh-CN"/>
                    </w:rPr>
                    <w:t>)</w:t>
                  </w:r>
                </w:p>
              </w:tc>
              <w:tc>
                <w:tcPr>
                  <w:tcW w:w="345" w:type="pct"/>
                  <w:noWrap w:val="0"/>
                  <w:vAlign w:val="center"/>
                </w:tcPr>
                <w:p w14:paraId="12F3BC5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排放速率</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eastAsia" w:ascii="Times New Roman" w:hAnsi="Times New Roman" w:eastAsia="宋体" w:cs="Times New Roman"/>
                      <w:b/>
                      <w:bCs/>
                      <w:color w:val="auto"/>
                      <w:sz w:val="18"/>
                      <w:szCs w:val="18"/>
                      <w:highlight w:val="none"/>
                      <w:lang w:val="en-US" w:eastAsia="zh-CN"/>
                    </w:rPr>
                    <w:t>)</w:t>
                  </w:r>
                </w:p>
              </w:tc>
              <w:tc>
                <w:tcPr>
                  <w:tcW w:w="336" w:type="pct"/>
                  <w:noWrap w:val="0"/>
                  <w:vAlign w:val="center"/>
                </w:tcPr>
                <w:p w14:paraId="2F18891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浓度</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mg/m</w:t>
                  </w:r>
                  <w:r>
                    <w:rPr>
                      <w:rFonts w:hint="default" w:ascii="Times New Roman" w:hAnsi="Times New Roman" w:eastAsia="宋体" w:cs="Times New Roman"/>
                      <w:b/>
                      <w:bCs/>
                      <w:color w:val="auto"/>
                      <w:sz w:val="18"/>
                      <w:szCs w:val="18"/>
                      <w:highlight w:val="none"/>
                      <w:vertAlign w:val="superscript"/>
                    </w:rPr>
                    <w:t>3</w:t>
                  </w:r>
                  <w:r>
                    <w:rPr>
                      <w:rFonts w:hint="eastAsia" w:ascii="Times New Roman" w:hAnsi="Times New Roman" w:eastAsia="宋体" w:cs="Times New Roman"/>
                      <w:b/>
                      <w:bCs/>
                      <w:color w:val="auto"/>
                      <w:sz w:val="18"/>
                      <w:szCs w:val="18"/>
                      <w:highlight w:val="none"/>
                      <w:lang w:val="en-US" w:eastAsia="zh-CN"/>
                    </w:rPr>
                    <w:t>)</w:t>
                  </w:r>
                </w:p>
              </w:tc>
              <w:tc>
                <w:tcPr>
                  <w:tcW w:w="338" w:type="pct"/>
                  <w:noWrap w:val="0"/>
                  <w:vAlign w:val="center"/>
                </w:tcPr>
                <w:p w14:paraId="7264C38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rPr>
                    <w:t>速率</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eastAsia="宋体" w:cs="Times New Roman"/>
                      <w:b/>
                      <w:bCs/>
                      <w:color w:val="auto"/>
                      <w:sz w:val="18"/>
                      <w:szCs w:val="18"/>
                      <w:highlight w:val="none"/>
                    </w:rPr>
                    <w:t>kg/h</w:t>
                  </w:r>
                  <w:r>
                    <w:rPr>
                      <w:rFonts w:hint="eastAsia" w:ascii="Times New Roman" w:hAnsi="Times New Roman" w:eastAsia="宋体" w:cs="Times New Roman"/>
                      <w:b/>
                      <w:bCs/>
                      <w:color w:val="auto"/>
                      <w:sz w:val="18"/>
                      <w:szCs w:val="18"/>
                      <w:highlight w:val="none"/>
                      <w:lang w:val="en-US" w:eastAsia="zh-CN"/>
                    </w:rPr>
                    <w:t>)</w:t>
                  </w:r>
                </w:p>
              </w:tc>
            </w:tr>
            <w:tr w14:paraId="70E64CC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tblHeader/>
                <w:jc w:val="center"/>
              </w:trPr>
              <w:tc>
                <w:tcPr>
                  <w:tcW w:w="365" w:type="pct"/>
                  <w:vMerge w:val="restart"/>
                  <w:noWrap w:val="0"/>
                  <w:vAlign w:val="center"/>
                </w:tcPr>
                <w:p w14:paraId="6A89662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w:t>
                  </w:r>
                  <w:r>
                    <w:rPr>
                      <w:rFonts w:hint="eastAsia" w:cs="Times New Roman"/>
                      <w:b w:val="0"/>
                      <w:bCs w:val="0"/>
                      <w:color w:val="auto"/>
                      <w:sz w:val="18"/>
                      <w:szCs w:val="18"/>
                      <w:highlight w:val="none"/>
                      <w:lang w:val="en-US" w:eastAsia="zh-CN"/>
                    </w:rPr>
                    <w:t>0</w:t>
                  </w:r>
                  <w:r>
                    <w:rPr>
                      <w:rFonts w:hint="eastAsia" w:ascii="Times New Roman" w:hAnsi="Times New Roman" w:eastAsia="宋体" w:cs="Times New Roman"/>
                      <w:b w:val="0"/>
                      <w:bCs w:val="0"/>
                      <w:color w:val="auto"/>
                      <w:sz w:val="18"/>
                      <w:szCs w:val="18"/>
                      <w:highlight w:val="none"/>
                      <w:lang w:val="en-US" w:eastAsia="zh-CN"/>
                    </w:rPr>
                    <w:t>7</w:t>
                  </w:r>
                </w:p>
              </w:tc>
              <w:tc>
                <w:tcPr>
                  <w:tcW w:w="556" w:type="pct"/>
                  <w:vMerge w:val="restart"/>
                  <w:noWrap w:val="0"/>
                  <w:vAlign w:val="center"/>
                </w:tcPr>
                <w:p w14:paraId="74863D4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120°21'31.2617"</w:t>
                  </w:r>
                </w:p>
              </w:tc>
              <w:tc>
                <w:tcPr>
                  <w:tcW w:w="618" w:type="pct"/>
                  <w:vMerge w:val="restart"/>
                  <w:noWrap w:val="0"/>
                  <w:vAlign w:val="center"/>
                </w:tcPr>
                <w:p w14:paraId="4AA4566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31°30'15.1930"</w:t>
                  </w:r>
                </w:p>
              </w:tc>
              <w:tc>
                <w:tcPr>
                  <w:tcW w:w="399" w:type="pct"/>
                  <w:vMerge w:val="restart"/>
                  <w:noWrap w:val="0"/>
                  <w:vAlign w:val="center"/>
                </w:tcPr>
                <w:p w14:paraId="16273DD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5" w:type="pct"/>
                  <w:vMerge w:val="restart"/>
                  <w:noWrap w:val="0"/>
                  <w:vAlign w:val="center"/>
                </w:tcPr>
                <w:p w14:paraId="017FD90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0.8</w:t>
                  </w:r>
                </w:p>
              </w:tc>
              <w:tc>
                <w:tcPr>
                  <w:tcW w:w="304" w:type="pct"/>
                  <w:vMerge w:val="restart"/>
                  <w:noWrap w:val="0"/>
                  <w:vAlign w:val="center"/>
                </w:tcPr>
                <w:p w14:paraId="7BB8C9B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60" w:type="pct"/>
                  <w:noWrap w:val="0"/>
                  <w:vAlign w:val="center"/>
                </w:tcPr>
                <w:p w14:paraId="7A1F733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4000</w:t>
                  </w:r>
                </w:p>
              </w:tc>
              <w:tc>
                <w:tcPr>
                  <w:tcW w:w="428" w:type="pct"/>
                  <w:vMerge w:val="restart"/>
                  <w:noWrap w:val="0"/>
                  <w:vAlign w:val="center"/>
                </w:tcPr>
                <w:p w14:paraId="0819D1B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5" w:type="pct"/>
                  <w:noWrap w:val="0"/>
                  <w:vAlign w:val="center"/>
                </w:tcPr>
                <w:p w14:paraId="63138AC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非甲烷总烃</w:t>
                  </w:r>
                </w:p>
              </w:tc>
              <w:tc>
                <w:tcPr>
                  <w:tcW w:w="808" w:type="dxa"/>
                  <w:noWrap w:val="0"/>
                  <w:vAlign w:val="center"/>
                </w:tcPr>
                <w:p w14:paraId="74D0996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pacing w:val="-4"/>
                      <w:kern w:val="2"/>
                      <w:sz w:val="18"/>
                      <w:szCs w:val="18"/>
                      <w:highlight w:val="none"/>
                      <w:lang w:val="en-US" w:eastAsia="zh-CN" w:bidi="ar-SA"/>
                    </w:rPr>
                  </w:pPr>
                  <w:r>
                    <w:rPr>
                      <w:rFonts w:hint="eastAsia" w:cs="Times New Roman"/>
                      <w:b w:val="0"/>
                      <w:bCs w:val="0"/>
                      <w:color w:val="auto"/>
                      <w:spacing w:val="-4"/>
                      <w:sz w:val="18"/>
                      <w:szCs w:val="18"/>
                      <w:highlight w:val="none"/>
                      <w:lang w:val="en-US" w:eastAsia="zh-CN"/>
                    </w:rPr>
                    <w:t>3.7810</w:t>
                  </w:r>
                </w:p>
              </w:tc>
              <w:tc>
                <w:tcPr>
                  <w:tcW w:w="926" w:type="dxa"/>
                  <w:noWrap w:val="0"/>
                  <w:vAlign w:val="center"/>
                </w:tcPr>
                <w:p w14:paraId="41B8E2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pacing w:val="-4"/>
                      <w:kern w:val="2"/>
                      <w:sz w:val="18"/>
                      <w:szCs w:val="18"/>
                      <w:highlight w:val="none"/>
                      <w:lang w:val="en-US" w:eastAsia="zh-CN" w:bidi="ar-SA"/>
                    </w:rPr>
                  </w:pPr>
                  <w:r>
                    <w:rPr>
                      <w:rFonts w:hint="eastAsia" w:cs="Times New Roman"/>
                      <w:b w:val="0"/>
                      <w:bCs w:val="0"/>
                      <w:color w:val="auto"/>
                      <w:spacing w:val="-4"/>
                      <w:sz w:val="18"/>
                      <w:szCs w:val="18"/>
                      <w:highlight w:val="none"/>
                      <w:lang w:val="en-US" w:eastAsia="zh-CN"/>
                    </w:rPr>
                    <w:t>0.0662</w:t>
                  </w:r>
                </w:p>
              </w:tc>
              <w:tc>
                <w:tcPr>
                  <w:tcW w:w="336" w:type="pct"/>
                  <w:noWrap w:val="0"/>
                  <w:vAlign w:val="center"/>
                </w:tcPr>
                <w:p w14:paraId="6953FE8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50</w:t>
                  </w:r>
                </w:p>
              </w:tc>
              <w:tc>
                <w:tcPr>
                  <w:tcW w:w="341" w:type="pct"/>
                  <w:gridSpan w:val="2"/>
                  <w:noWrap w:val="0"/>
                  <w:vAlign w:val="center"/>
                </w:tcPr>
                <w:p w14:paraId="5FA1F0F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w:t>
                  </w:r>
                </w:p>
              </w:tc>
            </w:tr>
            <w:tr w14:paraId="38288F8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tblHeader/>
                <w:jc w:val="center"/>
              </w:trPr>
              <w:tc>
                <w:tcPr>
                  <w:tcW w:w="365" w:type="pct"/>
                  <w:vMerge w:val="continue"/>
                  <w:noWrap w:val="0"/>
                  <w:vAlign w:val="center"/>
                </w:tcPr>
                <w:p w14:paraId="1B02E94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556" w:type="pct"/>
                  <w:vMerge w:val="continue"/>
                  <w:noWrap w:val="0"/>
                  <w:vAlign w:val="center"/>
                </w:tcPr>
                <w:p w14:paraId="2BCD505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618" w:type="pct"/>
                  <w:vMerge w:val="continue"/>
                  <w:noWrap w:val="0"/>
                  <w:vAlign w:val="center"/>
                </w:tcPr>
                <w:p w14:paraId="26CBDEC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99" w:type="pct"/>
                  <w:vMerge w:val="continue"/>
                  <w:noWrap w:val="0"/>
                  <w:vAlign w:val="center"/>
                </w:tcPr>
                <w:p w14:paraId="5964325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45" w:type="pct"/>
                  <w:vMerge w:val="continue"/>
                  <w:noWrap w:val="0"/>
                  <w:vAlign w:val="center"/>
                </w:tcPr>
                <w:p w14:paraId="6F4AAD2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p>
              </w:tc>
              <w:tc>
                <w:tcPr>
                  <w:tcW w:w="304" w:type="pct"/>
                  <w:vMerge w:val="continue"/>
                  <w:noWrap w:val="0"/>
                  <w:vAlign w:val="center"/>
                </w:tcPr>
                <w:p w14:paraId="08F0228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rPr>
                  </w:pPr>
                </w:p>
              </w:tc>
              <w:tc>
                <w:tcPr>
                  <w:tcW w:w="260" w:type="pct"/>
                  <w:noWrap w:val="0"/>
                  <w:vAlign w:val="center"/>
                </w:tcPr>
                <w:p w14:paraId="4464240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7200</w:t>
                  </w:r>
                </w:p>
              </w:tc>
              <w:tc>
                <w:tcPr>
                  <w:tcW w:w="428" w:type="pct"/>
                  <w:vMerge w:val="continue"/>
                  <w:noWrap w:val="0"/>
                  <w:vAlign w:val="center"/>
                </w:tcPr>
                <w:p w14:paraId="6D35000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p>
              </w:tc>
              <w:tc>
                <w:tcPr>
                  <w:tcW w:w="395" w:type="pct"/>
                  <w:noWrap w:val="0"/>
                  <w:vAlign w:val="center"/>
                </w:tcPr>
                <w:p w14:paraId="68F78B04">
                  <w:pPr>
                    <w:keepNext w:val="0"/>
                    <w:keepLines w:val="0"/>
                    <w:pageBreakBefore w:val="0"/>
                    <w:suppressLineNumbers w:val="0"/>
                    <w:tabs>
                      <w:tab w:val="left" w:pos="277"/>
                      <w:tab w:val="left" w:pos="600"/>
                      <w:tab w:val="left" w:pos="780"/>
                      <w:tab w:val="left" w:pos="2517"/>
                    </w:tabs>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氟化物</w:t>
                  </w:r>
                </w:p>
              </w:tc>
              <w:tc>
                <w:tcPr>
                  <w:tcW w:w="808" w:type="dxa"/>
                  <w:noWrap w:val="0"/>
                  <w:vAlign w:val="center"/>
                </w:tcPr>
                <w:p w14:paraId="173FA5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0.0056</w:t>
                  </w:r>
                </w:p>
              </w:tc>
              <w:tc>
                <w:tcPr>
                  <w:tcW w:w="926" w:type="dxa"/>
                  <w:noWrap w:val="0"/>
                  <w:vAlign w:val="center"/>
                </w:tcPr>
                <w:p w14:paraId="43E085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0.0001</w:t>
                  </w:r>
                </w:p>
              </w:tc>
              <w:tc>
                <w:tcPr>
                  <w:tcW w:w="336" w:type="pct"/>
                  <w:noWrap w:val="0"/>
                  <w:vAlign w:val="center"/>
                </w:tcPr>
                <w:p w14:paraId="4981651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3</w:t>
                  </w:r>
                </w:p>
              </w:tc>
              <w:tc>
                <w:tcPr>
                  <w:tcW w:w="341" w:type="pct"/>
                  <w:gridSpan w:val="2"/>
                  <w:noWrap w:val="0"/>
                  <w:vAlign w:val="center"/>
                </w:tcPr>
                <w:p w14:paraId="299F285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0.072</w:t>
                  </w:r>
                </w:p>
              </w:tc>
            </w:tr>
            <w:tr w14:paraId="744A896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tblHeader/>
                <w:jc w:val="center"/>
              </w:trPr>
              <w:tc>
                <w:tcPr>
                  <w:tcW w:w="365" w:type="pct"/>
                  <w:noWrap w:val="0"/>
                  <w:vAlign w:val="center"/>
                </w:tcPr>
                <w:p w14:paraId="7129F5C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FQ</w:t>
                  </w:r>
                  <w:r>
                    <w:rPr>
                      <w:rFonts w:hint="eastAsia" w:cs="Times New Roman"/>
                      <w:b w:val="0"/>
                      <w:bCs w:val="0"/>
                      <w:color w:val="auto"/>
                      <w:sz w:val="18"/>
                      <w:szCs w:val="18"/>
                      <w:highlight w:val="none"/>
                      <w:lang w:val="en-US" w:eastAsia="zh-CN"/>
                    </w:rPr>
                    <w:t>0</w:t>
                  </w:r>
                  <w:r>
                    <w:rPr>
                      <w:rFonts w:hint="eastAsia" w:ascii="Times New Roman" w:hAnsi="Times New Roman" w:eastAsia="宋体" w:cs="Times New Roman"/>
                      <w:b w:val="0"/>
                      <w:bCs w:val="0"/>
                      <w:color w:val="auto"/>
                      <w:sz w:val="18"/>
                      <w:szCs w:val="18"/>
                      <w:highlight w:val="none"/>
                      <w:lang w:val="en-US" w:eastAsia="zh-CN"/>
                    </w:rPr>
                    <w:t>8</w:t>
                  </w:r>
                </w:p>
              </w:tc>
              <w:tc>
                <w:tcPr>
                  <w:tcW w:w="556" w:type="pct"/>
                  <w:noWrap w:val="0"/>
                  <w:vAlign w:val="center"/>
                </w:tcPr>
                <w:p w14:paraId="4CA97BC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120°21'31.8949"</w:t>
                  </w:r>
                </w:p>
              </w:tc>
              <w:tc>
                <w:tcPr>
                  <w:tcW w:w="618" w:type="pct"/>
                  <w:noWrap w:val="0"/>
                  <w:vAlign w:val="center"/>
                </w:tcPr>
                <w:p w14:paraId="1AB4975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31°30'13.9507"</w:t>
                  </w:r>
                </w:p>
              </w:tc>
              <w:tc>
                <w:tcPr>
                  <w:tcW w:w="399" w:type="pct"/>
                  <w:noWrap w:val="0"/>
                  <w:vAlign w:val="center"/>
                </w:tcPr>
                <w:p w14:paraId="5B81EA5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5" w:type="pct"/>
                  <w:noWrap w:val="0"/>
                  <w:vAlign w:val="center"/>
                </w:tcPr>
                <w:p w14:paraId="09BDB05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0.5</w:t>
                  </w:r>
                </w:p>
              </w:tc>
              <w:tc>
                <w:tcPr>
                  <w:tcW w:w="304" w:type="pct"/>
                  <w:noWrap w:val="0"/>
                  <w:vAlign w:val="center"/>
                </w:tcPr>
                <w:p w14:paraId="49FE16D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60" w:type="pct"/>
                  <w:noWrap w:val="0"/>
                  <w:vAlign w:val="center"/>
                </w:tcPr>
                <w:p w14:paraId="7ED0C31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1500</w:t>
                  </w:r>
                </w:p>
              </w:tc>
              <w:tc>
                <w:tcPr>
                  <w:tcW w:w="428" w:type="pct"/>
                  <w:noWrap w:val="0"/>
                  <w:vAlign w:val="center"/>
                </w:tcPr>
                <w:p w14:paraId="6CE667C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5" w:type="pct"/>
                  <w:noWrap w:val="0"/>
                  <w:vAlign w:val="center"/>
                </w:tcPr>
                <w:p w14:paraId="3F9A82D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颗粒物</w:t>
                  </w:r>
                </w:p>
              </w:tc>
              <w:tc>
                <w:tcPr>
                  <w:tcW w:w="808" w:type="dxa"/>
                  <w:noWrap w:val="0"/>
                  <w:vAlign w:val="center"/>
                </w:tcPr>
                <w:p w14:paraId="733AB58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2.454</w:t>
                  </w:r>
                </w:p>
              </w:tc>
              <w:tc>
                <w:tcPr>
                  <w:tcW w:w="926" w:type="dxa"/>
                  <w:noWrap w:val="0"/>
                  <w:vAlign w:val="center"/>
                </w:tcPr>
                <w:p w14:paraId="56C7365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0.0393</w:t>
                  </w:r>
                </w:p>
              </w:tc>
              <w:tc>
                <w:tcPr>
                  <w:tcW w:w="336" w:type="pct"/>
                  <w:noWrap w:val="0"/>
                  <w:vAlign w:val="center"/>
                </w:tcPr>
                <w:p w14:paraId="4A59FA0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20</w:t>
                  </w:r>
                </w:p>
              </w:tc>
              <w:tc>
                <w:tcPr>
                  <w:tcW w:w="341" w:type="pct"/>
                  <w:gridSpan w:val="2"/>
                  <w:noWrap w:val="0"/>
                  <w:vAlign w:val="center"/>
                </w:tcPr>
                <w:p w14:paraId="5B01C56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1.0</w:t>
                  </w:r>
                </w:p>
              </w:tc>
            </w:tr>
            <w:tr w14:paraId="2518C4A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trHeight w:val="340" w:hRule="atLeast"/>
                <w:tblHeader/>
                <w:jc w:val="center"/>
              </w:trPr>
              <w:tc>
                <w:tcPr>
                  <w:tcW w:w="365" w:type="pct"/>
                  <w:noWrap w:val="0"/>
                  <w:vAlign w:val="center"/>
                </w:tcPr>
                <w:p w14:paraId="58FE6BA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w:t>
                  </w:r>
                  <w:r>
                    <w:rPr>
                      <w:rFonts w:hint="eastAsia" w:cs="Times New Roman"/>
                      <w:b w:val="0"/>
                      <w:bCs w:val="0"/>
                      <w:color w:val="auto"/>
                      <w:sz w:val="18"/>
                      <w:szCs w:val="18"/>
                      <w:highlight w:val="none"/>
                      <w:lang w:val="en-US" w:eastAsia="zh-CN"/>
                    </w:rPr>
                    <w:t>0</w:t>
                  </w:r>
                  <w:r>
                    <w:rPr>
                      <w:rFonts w:hint="eastAsia" w:ascii="Times New Roman" w:hAnsi="Times New Roman" w:eastAsia="宋体" w:cs="Times New Roman"/>
                      <w:b w:val="0"/>
                      <w:bCs w:val="0"/>
                      <w:color w:val="auto"/>
                      <w:sz w:val="18"/>
                      <w:szCs w:val="18"/>
                      <w:highlight w:val="none"/>
                      <w:lang w:val="en-US" w:eastAsia="zh-CN"/>
                    </w:rPr>
                    <w:t>9</w:t>
                  </w:r>
                </w:p>
              </w:tc>
              <w:tc>
                <w:tcPr>
                  <w:tcW w:w="556" w:type="pct"/>
                  <w:noWrap w:val="0"/>
                  <w:vAlign w:val="center"/>
                </w:tcPr>
                <w:p w14:paraId="5D3C6E0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120°21'35.5063"</w:t>
                  </w:r>
                </w:p>
              </w:tc>
              <w:tc>
                <w:tcPr>
                  <w:tcW w:w="618" w:type="pct"/>
                  <w:noWrap w:val="0"/>
                  <w:vAlign w:val="center"/>
                </w:tcPr>
                <w:p w14:paraId="15BCC24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31°30'16.9208"</w:t>
                  </w:r>
                </w:p>
              </w:tc>
              <w:tc>
                <w:tcPr>
                  <w:tcW w:w="399" w:type="pct"/>
                  <w:noWrap w:val="0"/>
                  <w:vAlign w:val="center"/>
                </w:tcPr>
                <w:p w14:paraId="619AB8D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5" w:type="pct"/>
                  <w:noWrap w:val="0"/>
                  <w:vAlign w:val="center"/>
                </w:tcPr>
                <w:p w14:paraId="46A89EE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4" w:type="pct"/>
                  <w:noWrap w:val="0"/>
                  <w:vAlign w:val="center"/>
                </w:tcPr>
                <w:p w14:paraId="1355A0F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60" w:type="pct"/>
                  <w:noWrap w:val="0"/>
                  <w:vAlign w:val="center"/>
                </w:tcPr>
                <w:p w14:paraId="021DC2E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1800</w:t>
                  </w:r>
                </w:p>
              </w:tc>
              <w:tc>
                <w:tcPr>
                  <w:tcW w:w="428" w:type="pct"/>
                  <w:noWrap w:val="0"/>
                  <w:vAlign w:val="center"/>
                </w:tcPr>
                <w:p w14:paraId="0EC321A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5" w:type="pct"/>
                  <w:noWrap w:val="0"/>
                  <w:vAlign w:val="center"/>
                </w:tcPr>
                <w:p w14:paraId="4D58CE8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808" w:type="dxa"/>
                  <w:noWrap w:val="0"/>
                  <w:vAlign w:val="center"/>
                </w:tcPr>
                <w:p w14:paraId="504B98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4.3852</w:t>
                  </w:r>
                </w:p>
              </w:tc>
              <w:tc>
                <w:tcPr>
                  <w:tcW w:w="926" w:type="dxa"/>
                  <w:noWrap w:val="0"/>
                  <w:vAlign w:val="center"/>
                </w:tcPr>
                <w:p w14:paraId="0B9B57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0.0329</w:t>
                  </w:r>
                </w:p>
              </w:tc>
              <w:tc>
                <w:tcPr>
                  <w:tcW w:w="336" w:type="pct"/>
                  <w:noWrap w:val="0"/>
                  <w:vAlign w:val="center"/>
                </w:tcPr>
                <w:p w14:paraId="6C267A3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41" w:type="pct"/>
                  <w:gridSpan w:val="2"/>
                  <w:noWrap w:val="0"/>
                  <w:vAlign w:val="center"/>
                </w:tcPr>
                <w:p w14:paraId="795993D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3</w:t>
                  </w:r>
                </w:p>
              </w:tc>
            </w:tr>
            <w:tr w14:paraId="1FF7810D">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 w:type="pct"/>
                <w:trHeight w:val="340" w:hRule="atLeast"/>
                <w:tblHeader/>
                <w:jc w:val="center"/>
              </w:trPr>
              <w:tc>
                <w:tcPr>
                  <w:tcW w:w="365" w:type="pct"/>
                  <w:noWrap w:val="0"/>
                  <w:vAlign w:val="center"/>
                </w:tcPr>
                <w:p w14:paraId="3901C8D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FQ10</w:t>
                  </w:r>
                </w:p>
              </w:tc>
              <w:tc>
                <w:tcPr>
                  <w:tcW w:w="556" w:type="pct"/>
                  <w:noWrap w:val="0"/>
                  <w:vAlign w:val="center"/>
                </w:tcPr>
                <w:p w14:paraId="3D5D135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120°21'33.3840"</w:t>
                  </w:r>
                </w:p>
              </w:tc>
              <w:tc>
                <w:tcPr>
                  <w:tcW w:w="618" w:type="pct"/>
                  <w:noWrap w:val="0"/>
                  <w:vAlign w:val="center"/>
                </w:tcPr>
                <w:p w14:paraId="65AAC50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31°30'16.0240"</w:t>
                  </w:r>
                </w:p>
              </w:tc>
              <w:tc>
                <w:tcPr>
                  <w:tcW w:w="399" w:type="pct"/>
                  <w:noWrap w:val="0"/>
                  <w:vAlign w:val="center"/>
                </w:tcPr>
                <w:p w14:paraId="056CA85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5" w:type="pct"/>
                  <w:noWrap w:val="0"/>
                  <w:vAlign w:val="center"/>
                </w:tcPr>
                <w:p w14:paraId="16356E2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4" w:type="pct"/>
                  <w:noWrap w:val="0"/>
                  <w:vAlign w:val="center"/>
                </w:tcPr>
                <w:p w14:paraId="4F49959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60" w:type="pct"/>
                  <w:noWrap w:val="0"/>
                  <w:vAlign w:val="center"/>
                </w:tcPr>
                <w:p w14:paraId="2055E77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1800</w:t>
                  </w:r>
                </w:p>
              </w:tc>
              <w:tc>
                <w:tcPr>
                  <w:tcW w:w="428" w:type="pct"/>
                  <w:noWrap w:val="0"/>
                  <w:vAlign w:val="center"/>
                </w:tcPr>
                <w:p w14:paraId="325C861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5" w:type="pct"/>
                  <w:noWrap w:val="0"/>
                  <w:vAlign w:val="center"/>
                </w:tcPr>
                <w:p w14:paraId="648D3C0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808" w:type="dxa"/>
                  <w:noWrap w:val="0"/>
                  <w:vAlign w:val="center"/>
                </w:tcPr>
                <w:p w14:paraId="301B77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4.3852</w:t>
                  </w:r>
                </w:p>
              </w:tc>
              <w:tc>
                <w:tcPr>
                  <w:tcW w:w="926" w:type="dxa"/>
                  <w:noWrap w:val="0"/>
                  <w:vAlign w:val="center"/>
                </w:tcPr>
                <w:p w14:paraId="03ED2B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0.0329</w:t>
                  </w:r>
                </w:p>
              </w:tc>
              <w:tc>
                <w:tcPr>
                  <w:tcW w:w="336" w:type="pct"/>
                  <w:noWrap w:val="0"/>
                  <w:vAlign w:val="center"/>
                </w:tcPr>
                <w:p w14:paraId="405360D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38" w:type="pct"/>
                  <w:noWrap w:val="0"/>
                  <w:vAlign w:val="center"/>
                </w:tcPr>
                <w:p w14:paraId="362C62C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3</w:t>
                  </w:r>
                </w:p>
              </w:tc>
            </w:tr>
            <w:tr w14:paraId="66E3B77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 w:type="pct"/>
                <w:trHeight w:val="340" w:hRule="atLeast"/>
                <w:tblHeader/>
                <w:jc w:val="center"/>
              </w:trPr>
              <w:tc>
                <w:tcPr>
                  <w:tcW w:w="365" w:type="pct"/>
                  <w:noWrap w:val="0"/>
                  <w:vAlign w:val="center"/>
                </w:tcPr>
                <w:p w14:paraId="79FE27F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FQ11</w:t>
                  </w:r>
                </w:p>
              </w:tc>
              <w:tc>
                <w:tcPr>
                  <w:tcW w:w="556" w:type="pct"/>
                  <w:noWrap w:val="0"/>
                  <w:vAlign w:val="center"/>
                </w:tcPr>
                <w:p w14:paraId="4DEB9CF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120°21'28.</w:t>
                  </w:r>
                  <w:r>
                    <w:rPr>
                      <w:rFonts w:hint="eastAsia" w:cs="Times New Roman"/>
                      <w:b w:val="0"/>
                      <w:bCs w:val="0"/>
                      <w:color w:val="auto"/>
                      <w:sz w:val="18"/>
                      <w:szCs w:val="18"/>
                      <w:highlight w:val="none"/>
                      <w:lang w:eastAsia="zh-CN"/>
                    </w:rPr>
                    <w:t>470.4</w:t>
                  </w:r>
                  <w:r>
                    <w:rPr>
                      <w:rFonts w:hint="default" w:ascii="Times New Roman" w:hAnsi="Times New Roman" w:eastAsia="宋体" w:cs="Times New Roman"/>
                      <w:b w:val="0"/>
                      <w:bCs w:val="0"/>
                      <w:color w:val="auto"/>
                      <w:sz w:val="18"/>
                      <w:szCs w:val="18"/>
                      <w:highlight w:val="none"/>
                    </w:rPr>
                    <w:t>2"</w:t>
                  </w:r>
                </w:p>
              </w:tc>
              <w:tc>
                <w:tcPr>
                  <w:tcW w:w="618" w:type="pct"/>
                  <w:noWrap w:val="0"/>
                  <w:vAlign w:val="center"/>
                </w:tcPr>
                <w:p w14:paraId="424BACA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31°30'14.3040"</w:t>
                  </w:r>
                </w:p>
              </w:tc>
              <w:tc>
                <w:tcPr>
                  <w:tcW w:w="399" w:type="pct"/>
                  <w:noWrap w:val="0"/>
                  <w:vAlign w:val="center"/>
                </w:tcPr>
                <w:p w14:paraId="17F81E6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5" w:type="pct"/>
                  <w:noWrap w:val="0"/>
                  <w:vAlign w:val="center"/>
                </w:tcPr>
                <w:p w14:paraId="2D8331B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4" w:type="pct"/>
                  <w:noWrap w:val="0"/>
                  <w:vAlign w:val="center"/>
                </w:tcPr>
                <w:p w14:paraId="6CD7685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60" w:type="pct"/>
                  <w:noWrap w:val="0"/>
                  <w:vAlign w:val="center"/>
                </w:tcPr>
                <w:p w14:paraId="358B5ED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1800</w:t>
                  </w:r>
                </w:p>
              </w:tc>
              <w:tc>
                <w:tcPr>
                  <w:tcW w:w="428" w:type="pct"/>
                  <w:noWrap w:val="0"/>
                  <w:vAlign w:val="center"/>
                </w:tcPr>
                <w:p w14:paraId="62142EB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5" w:type="pct"/>
                  <w:noWrap w:val="0"/>
                  <w:vAlign w:val="center"/>
                </w:tcPr>
                <w:p w14:paraId="2D28855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非甲烷总烃</w:t>
                  </w:r>
                </w:p>
              </w:tc>
              <w:tc>
                <w:tcPr>
                  <w:tcW w:w="808" w:type="dxa"/>
                  <w:noWrap w:val="0"/>
                  <w:vAlign w:val="center"/>
                </w:tcPr>
                <w:p w14:paraId="22AB74B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4.3852</w:t>
                  </w:r>
                </w:p>
              </w:tc>
              <w:tc>
                <w:tcPr>
                  <w:tcW w:w="926" w:type="dxa"/>
                  <w:noWrap w:val="0"/>
                  <w:vAlign w:val="center"/>
                </w:tcPr>
                <w:p w14:paraId="403B80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0.0329</w:t>
                  </w:r>
                </w:p>
              </w:tc>
              <w:tc>
                <w:tcPr>
                  <w:tcW w:w="336" w:type="pct"/>
                  <w:noWrap w:val="0"/>
                  <w:vAlign w:val="center"/>
                </w:tcPr>
                <w:p w14:paraId="4E69573D">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60</w:t>
                  </w:r>
                </w:p>
              </w:tc>
              <w:tc>
                <w:tcPr>
                  <w:tcW w:w="338" w:type="pct"/>
                  <w:noWrap w:val="0"/>
                  <w:vAlign w:val="center"/>
                </w:tcPr>
                <w:p w14:paraId="58FA1DD7">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cs="Times New Roman"/>
                      <w:b w:val="0"/>
                      <w:bCs w:val="0"/>
                      <w:color w:val="auto"/>
                      <w:sz w:val="18"/>
                      <w:szCs w:val="18"/>
                      <w:highlight w:val="none"/>
                      <w:lang w:val="en-US" w:eastAsia="zh-CN"/>
                    </w:rPr>
                    <w:t>3</w:t>
                  </w:r>
                </w:p>
              </w:tc>
            </w:tr>
            <w:tr w14:paraId="72C0CA68">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 w:type="pct"/>
                <w:trHeight w:val="340" w:hRule="atLeast"/>
                <w:tblHeader/>
                <w:jc w:val="center"/>
              </w:trPr>
              <w:tc>
                <w:tcPr>
                  <w:tcW w:w="365" w:type="pct"/>
                  <w:noWrap w:val="0"/>
                  <w:vAlign w:val="center"/>
                </w:tcPr>
                <w:p w14:paraId="77576FE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FQ12</w:t>
                  </w:r>
                </w:p>
              </w:tc>
              <w:tc>
                <w:tcPr>
                  <w:tcW w:w="556" w:type="pct"/>
                  <w:noWrap w:val="0"/>
                  <w:vAlign w:val="center"/>
                </w:tcPr>
                <w:p w14:paraId="37E1DE9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120°21'36.3569"</w:t>
                  </w:r>
                </w:p>
              </w:tc>
              <w:tc>
                <w:tcPr>
                  <w:tcW w:w="618" w:type="pct"/>
                  <w:noWrap w:val="0"/>
                  <w:vAlign w:val="center"/>
                </w:tcPr>
                <w:p w14:paraId="1A1D0B7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31°30'15.2260"</w:t>
                  </w:r>
                </w:p>
              </w:tc>
              <w:tc>
                <w:tcPr>
                  <w:tcW w:w="399" w:type="pct"/>
                  <w:noWrap w:val="0"/>
                  <w:vAlign w:val="center"/>
                </w:tcPr>
                <w:p w14:paraId="3EBF4985">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5" w:type="pct"/>
                  <w:noWrap w:val="0"/>
                  <w:vAlign w:val="center"/>
                </w:tcPr>
                <w:p w14:paraId="4812AB7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4" w:type="pct"/>
                  <w:noWrap w:val="0"/>
                  <w:vAlign w:val="center"/>
                </w:tcPr>
                <w:p w14:paraId="48EAA1B3">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60" w:type="pct"/>
                  <w:noWrap w:val="0"/>
                  <w:vAlign w:val="center"/>
                </w:tcPr>
                <w:p w14:paraId="7B0698C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1500</w:t>
                  </w:r>
                </w:p>
              </w:tc>
              <w:tc>
                <w:tcPr>
                  <w:tcW w:w="428" w:type="pct"/>
                  <w:noWrap w:val="0"/>
                  <w:vAlign w:val="center"/>
                </w:tcPr>
                <w:p w14:paraId="00678FD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5" w:type="pct"/>
                  <w:noWrap w:val="0"/>
                  <w:vAlign w:val="center"/>
                </w:tcPr>
                <w:p w14:paraId="76C23CF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颗粒物</w:t>
                  </w:r>
                </w:p>
              </w:tc>
              <w:tc>
                <w:tcPr>
                  <w:tcW w:w="808" w:type="dxa"/>
                  <w:noWrap w:val="0"/>
                  <w:vAlign w:val="center"/>
                </w:tcPr>
                <w:p w14:paraId="7F94E67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2.567</w:t>
                  </w:r>
                </w:p>
              </w:tc>
              <w:tc>
                <w:tcPr>
                  <w:tcW w:w="926" w:type="dxa"/>
                  <w:noWrap w:val="0"/>
                  <w:vAlign w:val="center"/>
                </w:tcPr>
                <w:p w14:paraId="57B889E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0.0411</w:t>
                  </w:r>
                </w:p>
              </w:tc>
              <w:tc>
                <w:tcPr>
                  <w:tcW w:w="336" w:type="pct"/>
                  <w:noWrap w:val="0"/>
                  <w:vAlign w:val="center"/>
                </w:tcPr>
                <w:p w14:paraId="5EF5FF9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20</w:t>
                  </w:r>
                </w:p>
              </w:tc>
              <w:tc>
                <w:tcPr>
                  <w:tcW w:w="338" w:type="pct"/>
                  <w:noWrap w:val="0"/>
                  <w:vAlign w:val="center"/>
                </w:tcPr>
                <w:p w14:paraId="5A01A54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1.0</w:t>
                  </w:r>
                </w:p>
              </w:tc>
            </w:tr>
            <w:tr w14:paraId="7273A2E2">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 w:type="pct"/>
                <w:trHeight w:val="340" w:hRule="atLeast"/>
                <w:tblHeader/>
                <w:jc w:val="center"/>
              </w:trPr>
              <w:tc>
                <w:tcPr>
                  <w:tcW w:w="365" w:type="pct"/>
                  <w:noWrap w:val="0"/>
                  <w:vAlign w:val="center"/>
                </w:tcPr>
                <w:p w14:paraId="1FF12B2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FQ13</w:t>
                  </w:r>
                </w:p>
              </w:tc>
              <w:tc>
                <w:tcPr>
                  <w:tcW w:w="556" w:type="pct"/>
                  <w:noWrap w:val="0"/>
                  <w:vAlign w:val="center"/>
                </w:tcPr>
                <w:p w14:paraId="05F0EFA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120°21'34.3700"</w:t>
                  </w:r>
                </w:p>
              </w:tc>
              <w:tc>
                <w:tcPr>
                  <w:tcW w:w="618" w:type="pct"/>
                  <w:noWrap w:val="0"/>
                  <w:vAlign w:val="center"/>
                </w:tcPr>
                <w:p w14:paraId="3921AE0A">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31°30'14.3829"</w:t>
                  </w:r>
                </w:p>
              </w:tc>
              <w:tc>
                <w:tcPr>
                  <w:tcW w:w="399" w:type="pct"/>
                  <w:noWrap w:val="0"/>
                  <w:vAlign w:val="center"/>
                </w:tcPr>
                <w:p w14:paraId="46C079F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5" w:type="pct"/>
                  <w:noWrap w:val="0"/>
                  <w:vAlign w:val="center"/>
                </w:tcPr>
                <w:p w14:paraId="113732A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4" w:type="pct"/>
                  <w:noWrap w:val="0"/>
                  <w:vAlign w:val="center"/>
                </w:tcPr>
                <w:p w14:paraId="0F88257C">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60" w:type="pct"/>
                  <w:noWrap w:val="0"/>
                  <w:vAlign w:val="center"/>
                </w:tcPr>
                <w:p w14:paraId="2E7025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1500</w:t>
                  </w:r>
                </w:p>
              </w:tc>
              <w:tc>
                <w:tcPr>
                  <w:tcW w:w="428" w:type="pct"/>
                  <w:noWrap w:val="0"/>
                  <w:vAlign w:val="center"/>
                </w:tcPr>
                <w:p w14:paraId="2F6F7A0B">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5" w:type="pct"/>
                  <w:noWrap w:val="0"/>
                  <w:vAlign w:val="center"/>
                </w:tcPr>
                <w:p w14:paraId="5F07547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颗粒物</w:t>
                  </w:r>
                </w:p>
              </w:tc>
              <w:tc>
                <w:tcPr>
                  <w:tcW w:w="808" w:type="dxa"/>
                  <w:noWrap w:val="0"/>
                  <w:vAlign w:val="center"/>
                </w:tcPr>
                <w:p w14:paraId="7984387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2.567</w:t>
                  </w:r>
                </w:p>
              </w:tc>
              <w:tc>
                <w:tcPr>
                  <w:tcW w:w="926" w:type="dxa"/>
                  <w:noWrap w:val="0"/>
                  <w:vAlign w:val="center"/>
                </w:tcPr>
                <w:p w14:paraId="3C980D0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0.0411</w:t>
                  </w:r>
                </w:p>
              </w:tc>
              <w:tc>
                <w:tcPr>
                  <w:tcW w:w="336" w:type="pct"/>
                  <w:noWrap w:val="0"/>
                  <w:vAlign w:val="center"/>
                </w:tcPr>
                <w:p w14:paraId="3363375F">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20</w:t>
                  </w:r>
                </w:p>
              </w:tc>
              <w:tc>
                <w:tcPr>
                  <w:tcW w:w="338" w:type="pct"/>
                  <w:noWrap w:val="0"/>
                  <w:vAlign w:val="center"/>
                </w:tcPr>
                <w:p w14:paraId="6136F2FE">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rPr>
                  </w:pPr>
                  <w:r>
                    <w:rPr>
                      <w:rFonts w:hint="eastAsia" w:ascii="Times New Roman" w:hAnsi="Times New Roman" w:eastAsia="宋体" w:cs="Times New Roman"/>
                      <w:b w:val="0"/>
                      <w:bCs w:val="0"/>
                      <w:color w:val="auto"/>
                      <w:sz w:val="18"/>
                      <w:szCs w:val="18"/>
                      <w:highlight w:val="none"/>
                      <w:lang w:val="en-US" w:eastAsia="zh-CN"/>
                    </w:rPr>
                    <w:t>1.0</w:t>
                  </w:r>
                </w:p>
              </w:tc>
            </w:tr>
            <w:tr w14:paraId="62189BB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28" w:type="dxa"/>
                  <w:bottom w:w="0" w:type="dxa"/>
                  <w:right w:w="28" w:type="dxa"/>
                </w:tblCellMar>
              </w:tblPrEx>
              <w:trPr>
                <w:gridAfter w:val="1"/>
                <w:wAfter w:w="2" w:type="pct"/>
                <w:trHeight w:val="340" w:hRule="atLeast"/>
                <w:tblHeader/>
                <w:jc w:val="center"/>
              </w:trPr>
              <w:tc>
                <w:tcPr>
                  <w:tcW w:w="365" w:type="pct"/>
                  <w:noWrap w:val="0"/>
                  <w:vAlign w:val="center"/>
                </w:tcPr>
                <w:p w14:paraId="785AAAE6">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FQ14</w:t>
                  </w:r>
                </w:p>
              </w:tc>
              <w:tc>
                <w:tcPr>
                  <w:tcW w:w="556" w:type="pct"/>
                  <w:noWrap w:val="0"/>
                  <w:vAlign w:val="center"/>
                </w:tcPr>
                <w:p w14:paraId="4FB75AD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120°21'29.8354"</w:t>
                  </w:r>
                </w:p>
              </w:tc>
              <w:tc>
                <w:tcPr>
                  <w:tcW w:w="618" w:type="pct"/>
                  <w:noWrap w:val="0"/>
                  <w:vAlign w:val="center"/>
                </w:tcPr>
                <w:p w14:paraId="14336AE2">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31°30'12.7081"</w:t>
                  </w:r>
                </w:p>
              </w:tc>
              <w:tc>
                <w:tcPr>
                  <w:tcW w:w="399" w:type="pct"/>
                  <w:noWrap w:val="0"/>
                  <w:vAlign w:val="center"/>
                </w:tcPr>
                <w:p w14:paraId="44E04D1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28</w:t>
                  </w:r>
                </w:p>
              </w:tc>
              <w:tc>
                <w:tcPr>
                  <w:tcW w:w="345" w:type="pct"/>
                  <w:noWrap w:val="0"/>
                  <w:vAlign w:val="center"/>
                </w:tcPr>
                <w:p w14:paraId="45D858E4">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val="en-US" w:eastAsia="zh-CN"/>
                    </w:rPr>
                    <w:t>0.5</w:t>
                  </w:r>
                </w:p>
              </w:tc>
              <w:tc>
                <w:tcPr>
                  <w:tcW w:w="304" w:type="pct"/>
                  <w:noWrap w:val="0"/>
                  <w:vAlign w:val="center"/>
                </w:tcPr>
                <w:p w14:paraId="065962D1">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25</w:t>
                  </w:r>
                </w:p>
              </w:tc>
              <w:tc>
                <w:tcPr>
                  <w:tcW w:w="260" w:type="pct"/>
                  <w:noWrap w:val="0"/>
                  <w:vAlign w:val="center"/>
                </w:tcPr>
                <w:p w14:paraId="6A0D452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1500</w:t>
                  </w:r>
                </w:p>
              </w:tc>
              <w:tc>
                <w:tcPr>
                  <w:tcW w:w="428" w:type="pct"/>
                  <w:noWrap w:val="0"/>
                  <w:vAlign w:val="center"/>
                </w:tcPr>
                <w:p w14:paraId="0D0F6449">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一般排放口</w:t>
                  </w:r>
                </w:p>
              </w:tc>
              <w:tc>
                <w:tcPr>
                  <w:tcW w:w="395" w:type="pct"/>
                  <w:tcBorders>
                    <w:bottom w:val="single" w:color="auto" w:sz="12" w:space="0"/>
                  </w:tcBorders>
                  <w:noWrap w:val="0"/>
                  <w:vAlign w:val="center"/>
                </w:tcPr>
                <w:p w14:paraId="09956208">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eastAsia="宋体" w:cs="Times New Roman"/>
                      <w:b w:val="0"/>
                      <w:bCs w:val="0"/>
                      <w:color w:val="auto"/>
                      <w:sz w:val="18"/>
                      <w:szCs w:val="18"/>
                      <w:highlight w:val="none"/>
                      <w:lang w:val="en-US" w:eastAsia="zh-CN"/>
                    </w:rPr>
                    <w:t>颗粒物</w:t>
                  </w:r>
                </w:p>
              </w:tc>
              <w:tc>
                <w:tcPr>
                  <w:tcW w:w="808" w:type="dxa"/>
                  <w:tcBorders>
                    <w:bottom w:val="single" w:color="auto" w:sz="12" w:space="0"/>
                  </w:tcBorders>
                  <w:noWrap w:val="0"/>
                  <w:vAlign w:val="center"/>
                </w:tcPr>
                <w:p w14:paraId="4B3D1BF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2.567</w:t>
                  </w:r>
                </w:p>
              </w:tc>
              <w:tc>
                <w:tcPr>
                  <w:tcW w:w="926" w:type="dxa"/>
                  <w:tcBorders>
                    <w:bottom w:val="single" w:color="auto" w:sz="12" w:space="0"/>
                  </w:tcBorders>
                  <w:noWrap w:val="0"/>
                  <w:vAlign w:val="center"/>
                </w:tcPr>
                <w:p w14:paraId="621657E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sz w:val="18"/>
                      <w:szCs w:val="18"/>
                      <w:highlight w:val="none"/>
                      <w:lang w:val="en-US" w:eastAsia="zh-CN"/>
                    </w:rPr>
                    <w:t>0.0411</w:t>
                  </w:r>
                </w:p>
              </w:tc>
              <w:tc>
                <w:tcPr>
                  <w:tcW w:w="336" w:type="pct"/>
                  <w:tcBorders>
                    <w:bottom w:val="single" w:color="auto" w:sz="12" w:space="0"/>
                  </w:tcBorders>
                  <w:noWrap w:val="0"/>
                  <w:vAlign w:val="center"/>
                </w:tcPr>
                <w:p w14:paraId="0B5914E0">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20</w:t>
                  </w:r>
                </w:p>
              </w:tc>
              <w:tc>
                <w:tcPr>
                  <w:tcW w:w="338" w:type="pct"/>
                  <w:tcBorders>
                    <w:bottom w:val="single" w:color="auto" w:sz="12" w:space="0"/>
                  </w:tcBorders>
                  <w:noWrap w:val="0"/>
                  <w:vAlign w:val="center"/>
                </w:tcPr>
                <w:p w14:paraId="6A5AC168">
                  <w:pPr>
                    <w:keepNext w:val="0"/>
                    <w:keepLines w:val="0"/>
                    <w:pageBreakBefore w:val="0"/>
                    <w:suppressLineNumbers w:val="0"/>
                    <w:kinsoku/>
                    <w:wordWrap/>
                    <w:overflowPunct/>
                    <w:topLinePunct w:val="0"/>
                    <w:autoSpaceDE/>
                    <w:autoSpaceDN/>
                    <w:bidi w:val="0"/>
                    <w:spacing w:before="0" w:beforeAutospacing="0" w:after="0" w:afterAutospacing="0"/>
                    <w:ind w:left="-42" w:leftChars="-20" w:right="-42" w:rightChars="-20"/>
                    <w:jc w:val="center"/>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1.0</w:t>
                  </w:r>
                </w:p>
              </w:tc>
            </w:tr>
          </w:tbl>
          <w:p w14:paraId="14D5481A">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ascii="Times New Roman" w:hAnsi="Times New Roman" w:eastAsia="宋体"/>
                <w:color w:val="auto"/>
                <w:highlight w:val="none"/>
                <w:vertAlign w:val="baseline"/>
              </w:rPr>
            </w:pPr>
            <w:r>
              <w:rPr>
                <w:rFonts w:hint="eastAsia" w:ascii="Times New Roman" w:hAnsi="Times New Roman" w:eastAsia="宋体" w:cs="Times New Roman"/>
                <w:color w:val="auto"/>
                <w:sz w:val="24"/>
                <w:highlight w:val="none"/>
              </w:rPr>
              <w:t>由上表可知，</w:t>
            </w:r>
            <w:r>
              <w:rPr>
                <w:rFonts w:hint="eastAsia" w:cs="Times New Roman"/>
                <w:color w:val="auto"/>
                <w:sz w:val="24"/>
                <w:highlight w:val="none"/>
                <w:lang w:val="en-US" w:eastAsia="zh-CN"/>
              </w:rPr>
              <w:t>本项目建成后FQ07排放的非甲烷总烃能够满足</w:t>
            </w:r>
            <w:r>
              <w:rPr>
                <w:rFonts w:hint="eastAsia" w:ascii="Times New Roman" w:hAnsi="Times New Roman" w:eastAsia="宋体" w:cs="宋体"/>
                <w:b w:val="0"/>
                <w:bCs w:val="0"/>
                <w:color w:val="auto"/>
                <w:sz w:val="24"/>
                <w:szCs w:val="24"/>
                <w:highlight w:val="none"/>
                <w:lang w:val="en-US" w:eastAsia="zh-CN"/>
              </w:rPr>
              <w:t>《工业涂装工序大气污染物排放标准》（DB32/4439-2022）表1中标准；</w:t>
            </w:r>
            <w:r>
              <w:rPr>
                <w:rFonts w:hint="eastAsia" w:cs="宋体"/>
                <w:b w:val="0"/>
                <w:bCs w:val="0"/>
                <w:color w:val="auto"/>
                <w:sz w:val="24"/>
                <w:szCs w:val="24"/>
                <w:highlight w:val="none"/>
                <w:lang w:val="en-US" w:eastAsia="zh-CN"/>
              </w:rPr>
              <w:t>FQ07排放的氟化物，FQ09、FQ10、FQ11排放的非甲烷总烃和FQ08、FQ12、FQ13、FQ14</w:t>
            </w:r>
            <w:r>
              <w:rPr>
                <w:rFonts w:hint="eastAsia" w:ascii="Times New Roman" w:hAnsi="Times New Roman" w:eastAsia="宋体" w:cs="宋体"/>
                <w:b w:val="0"/>
                <w:bCs w:val="0"/>
                <w:color w:val="auto"/>
                <w:sz w:val="24"/>
                <w:szCs w:val="24"/>
                <w:highlight w:val="none"/>
                <w:lang w:val="en-US" w:eastAsia="zh-CN"/>
              </w:rPr>
              <w:t>排放</w:t>
            </w:r>
            <w:r>
              <w:rPr>
                <w:rFonts w:hint="eastAsia" w:cs="宋体"/>
                <w:b w:val="0"/>
                <w:bCs w:val="0"/>
                <w:color w:val="auto"/>
                <w:sz w:val="24"/>
                <w:szCs w:val="24"/>
                <w:highlight w:val="none"/>
                <w:lang w:val="en-US" w:eastAsia="zh-CN"/>
              </w:rPr>
              <w:t>的颗粒物</w:t>
            </w:r>
            <w:r>
              <w:rPr>
                <w:rFonts w:hint="eastAsia" w:ascii="Times New Roman" w:hAnsi="Times New Roman" w:eastAsia="宋体" w:cs="宋体"/>
                <w:b w:val="0"/>
                <w:bCs w:val="0"/>
                <w:color w:val="auto"/>
                <w:sz w:val="24"/>
                <w:szCs w:val="24"/>
                <w:highlight w:val="none"/>
                <w:lang w:val="en-US" w:eastAsia="zh-CN"/>
              </w:rPr>
              <w:t>能</w:t>
            </w:r>
            <w:r>
              <w:rPr>
                <w:rFonts w:hint="eastAsia" w:cs="宋体"/>
                <w:b w:val="0"/>
                <w:bCs w:val="0"/>
                <w:color w:val="auto"/>
                <w:sz w:val="24"/>
                <w:szCs w:val="24"/>
                <w:highlight w:val="none"/>
                <w:lang w:val="en-US" w:eastAsia="zh-CN"/>
              </w:rPr>
              <w:t>够满足</w:t>
            </w:r>
            <w:r>
              <w:rPr>
                <w:rFonts w:hint="default" w:ascii="Times New Roman" w:hAnsi="Times New Roman" w:eastAsia="宋体" w:cs="宋体"/>
                <w:b w:val="0"/>
                <w:bCs w:val="0"/>
                <w:color w:val="auto"/>
                <w:sz w:val="24"/>
                <w:szCs w:val="24"/>
                <w:highlight w:val="none"/>
              </w:rPr>
              <w:t>江苏省地方标准《大气污染物综合排放标准</w:t>
            </w:r>
            <w:r>
              <w:rPr>
                <w:rFonts w:hint="eastAsia" w:ascii="Times New Roman" w:hAnsi="Times New Roman" w:eastAsia="宋体" w:cs="宋体"/>
                <w:b w:val="0"/>
                <w:bCs w:val="0"/>
                <w:color w:val="auto"/>
                <w:sz w:val="24"/>
                <w:szCs w:val="24"/>
                <w:highlight w:val="none"/>
                <w:lang w:eastAsia="zh-CN"/>
              </w:rPr>
              <w:t>》</w:t>
            </w:r>
            <w:r>
              <w:rPr>
                <w:rFonts w:hint="default" w:ascii="Times New Roman" w:hAnsi="Times New Roman" w:eastAsia="宋体" w:cs="宋体"/>
                <w:b w:val="0"/>
                <w:bCs w:val="0"/>
                <w:color w:val="auto"/>
                <w:sz w:val="24"/>
                <w:szCs w:val="24"/>
                <w:highlight w:val="none"/>
              </w:rPr>
              <w:t>（</w:t>
            </w:r>
            <w:r>
              <w:rPr>
                <w:rFonts w:hint="eastAsia" w:ascii="Times New Roman" w:hAnsi="Times New Roman" w:eastAsia="宋体" w:cs="TimesNewRomanPSMT"/>
                <w:b w:val="0"/>
                <w:bCs w:val="0"/>
                <w:color w:val="auto"/>
                <w:sz w:val="24"/>
                <w:szCs w:val="24"/>
                <w:highlight w:val="none"/>
                <w:lang w:eastAsia="zh-CN"/>
              </w:rPr>
              <w:t>DB32/4041-2021</w:t>
            </w:r>
            <w:r>
              <w:rPr>
                <w:rFonts w:hint="default" w:ascii="Times New Roman" w:hAnsi="Times New Roman" w:eastAsia="宋体" w:cs="宋体"/>
                <w:b w:val="0"/>
                <w:bCs w:val="0"/>
                <w:color w:val="auto"/>
                <w:sz w:val="24"/>
                <w:szCs w:val="24"/>
                <w:highlight w:val="none"/>
              </w:rPr>
              <w:t>）表</w:t>
            </w:r>
            <w:r>
              <w:rPr>
                <w:rFonts w:hint="default" w:ascii="Times New Roman" w:hAnsi="Times New Roman" w:eastAsia="宋体" w:cs="TimesNewRomanPSMT"/>
                <w:b w:val="0"/>
                <w:bCs w:val="0"/>
                <w:color w:val="auto"/>
                <w:sz w:val="24"/>
                <w:szCs w:val="24"/>
                <w:highlight w:val="none"/>
              </w:rPr>
              <w:t>1</w:t>
            </w:r>
            <w:r>
              <w:rPr>
                <w:rFonts w:hint="eastAsia" w:ascii="Times New Roman" w:hAnsi="Times New Roman" w:eastAsia="宋体" w:cs="宋体"/>
                <w:b w:val="0"/>
                <w:bCs w:val="0"/>
                <w:color w:val="auto"/>
                <w:sz w:val="24"/>
                <w:szCs w:val="24"/>
                <w:highlight w:val="none"/>
                <w:lang w:val="en-US" w:eastAsia="zh-CN"/>
              </w:rPr>
              <w:t>排放限值</w:t>
            </w:r>
            <w:r>
              <w:rPr>
                <w:rFonts w:hint="eastAsia" w:ascii="Times New Roman" w:hAnsi="Times New Roman" w:eastAsia="宋体" w:cs="Times New Roman"/>
                <w:color w:val="auto"/>
                <w:sz w:val="24"/>
                <w:highlight w:val="none"/>
                <w:lang w:val="en-US" w:eastAsia="zh-CN"/>
              </w:rPr>
              <w:t>。同时，企业应加强废气的产生源控制和管理，加强废气收集处理设施的维护和管理，确保厂界</w:t>
            </w:r>
            <w:r>
              <w:rPr>
                <w:rFonts w:hint="eastAsia" w:cs="Times New Roman"/>
                <w:color w:val="auto"/>
                <w:sz w:val="24"/>
                <w:highlight w:val="none"/>
                <w:lang w:val="en-US" w:eastAsia="zh-CN"/>
              </w:rPr>
              <w:t>各污染物</w:t>
            </w:r>
            <w:r>
              <w:rPr>
                <w:rFonts w:hint="eastAsia" w:ascii="Times New Roman" w:hAnsi="Times New Roman" w:eastAsia="宋体" w:cs="Times New Roman"/>
                <w:color w:val="auto"/>
                <w:sz w:val="24"/>
                <w:highlight w:val="none"/>
                <w:lang w:val="en-US" w:eastAsia="zh-CN"/>
              </w:rPr>
              <w:t>达到江苏省地方标准《大气污染物综合排放标准》（DB32/4041—2021）表3</w:t>
            </w:r>
            <w:r>
              <w:rPr>
                <w:rFonts w:hint="eastAsia" w:cs="Times New Roman"/>
                <w:color w:val="auto"/>
                <w:sz w:val="24"/>
                <w:highlight w:val="none"/>
                <w:lang w:val="en-US" w:eastAsia="zh-CN"/>
              </w:rPr>
              <w:t>中排放限制</w:t>
            </w:r>
            <w:r>
              <w:rPr>
                <w:rFonts w:hint="eastAsia" w:ascii="Times New Roman" w:hAnsi="Times New Roman" w:eastAsia="宋体" w:cs="Times New Roman"/>
                <w:color w:val="auto"/>
                <w:sz w:val="24"/>
                <w:highlight w:val="none"/>
                <w:lang w:val="en-US" w:eastAsia="zh-CN"/>
              </w:rPr>
              <w:t>，厂区内非甲烷总烃达到江苏省地方标准《大气污染物综合排放标准》（DB32/4041-2021）表2中排放限值</w:t>
            </w:r>
            <w:r>
              <w:rPr>
                <w:rFonts w:hint="eastAsia" w:cs="Times New Roman"/>
                <w:color w:val="auto"/>
                <w:sz w:val="24"/>
                <w:highlight w:val="none"/>
                <w:lang w:val="en-US" w:eastAsia="zh-CN"/>
              </w:rPr>
              <w:t>。</w:t>
            </w:r>
          </w:p>
        </w:tc>
      </w:tr>
    </w:tbl>
    <w:p w14:paraId="2AD1E4DB">
      <w:pPr>
        <w:pStyle w:val="12"/>
        <w:numPr>
          <w:ilvl w:val="0"/>
          <w:numId w:val="0"/>
        </w:numPr>
        <w:tabs>
          <w:tab w:val="clear" w:pos="2040"/>
        </w:tabs>
        <w:rPr>
          <w:rFonts w:ascii="Times New Roman" w:hAnsi="Times New Roman" w:eastAsia="宋体"/>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670"/>
      </w:tblGrid>
      <w:tr w14:paraId="0F16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2" w:hRule="atLeast"/>
        </w:trPr>
        <w:tc>
          <w:tcPr>
            <w:tcW w:w="468" w:type="dxa"/>
          </w:tcPr>
          <w:p w14:paraId="7FA63AE0">
            <w:pPr>
              <w:pStyle w:val="12"/>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highlight w:val="none"/>
                <w:vertAlign w:val="baseline"/>
              </w:rPr>
            </w:pPr>
          </w:p>
        </w:tc>
        <w:tc>
          <w:tcPr>
            <w:tcW w:w="8670" w:type="dxa"/>
          </w:tcPr>
          <w:p w14:paraId="667E4C42">
            <w:pPr>
              <w:keepNext w:val="0"/>
              <w:keepLines w:val="0"/>
              <w:numPr>
                <w:ilvl w:val="0"/>
                <w:numId w:val="0"/>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u w:val="none" w:color="auto"/>
                <w:lang w:val="en-US" w:eastAsia="zh-CN" w:bidi="ar-SA"/>
              </w:rPr>
              <w:t>（</w:t>
            </w:r>
            <w:r>
              <w:rPr>
                <w:rFonts w:hint="eastAsia" w:ascii="Times New Roman" w:hAnsi="Times New Roman" w:eastAsia="宋体" w:cs="Times New Roman"/>
                <w:b/>
                <w:bCs/>
                <w:color w:val="auto"/>
                <w:kern w:val="2"/>
                <w:sz w:val="24"/>
                <w:szCs w:val="24"/>
                <w:highlight w:val="none"/>
                <w:u w:val="none" w:color="auto"/>
                <w:lang w:val="en-US" w:eastAsia="zh-CN" w:bidi="ar-SA"/>
              </w:rPr>
              <w:t>6</w:t>
            </w:r>
            <w:r>
              <w:rPr>
                <w:rFonts w:hint="default" w:ascii="Times New Roman" w:hAnsi="Times New Roman" w:eastAsia="宋体" w:cs="Times New Roman"/>
                <w:b/>
                <w:bCs/>
                <w:color w:val="auto"/>
                <w:kern w:val="2"/>
                <w:sz w:val="24"/>
                <w:szCs w:val="24"/>
                <w:highlight w:val="none"/>
                <w:u w:val="none" w:color="auto"/>
                <w:lang w:val="en-US" w:eastAsia="zh-CN" w:bidi="ar-SA"/>
              </w:rPr>
              <w:t>）</w:t>
            </w:r>
            <w:r>
              <w:rPr>
                <w:rFonts w:hint="default" w:ascii="Times New Roman" w:hAnsi="Times New Roman" w:eastAsia="宋体" w:cs="Times New Roman"/>
                <w:b/>
                <w:bCs/>
                <w:color w:val="auto"/>
                <w:sz w:val="24"/>
                <w:highlight w:val="none"/>
              </w:rPr>
              <w:t>卫生防护距离</w:t>
            </w:r>
          </w:p>
          <w:p w14:paraId="0785C670">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①主要特征大气有害物质</w:t>
            </w:r>
          </w:p>
          <w:p w14:paraId="67D629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宋体"/>
                <w:color w:val="auto"/>
                <w:sz w:val="24"/>
                <w:szCs w:val="24"/>
                <w:highlight w:val="none"/>
              </w:rPr>
              <w:t>根据《大气有害物质无组织排放卫生防护距离推导技术导</w:t>
            </w:r>
            <w:r>
              <w:rPr>
                <w:rFonts w:hint="default" w:ascii="Times New Roman" w:hAnsi="Times New Roman" w:eastAsia="宋体" w:cs="Times New Roman"/>
                <w:color w:val="auto"/>
                <w:sz w:val="24"/>
                <w:szCs w:val="24"/>
                <w:highlight w:val="none"/>
              </w:rPr>
              <w:t>则》（GB/T 39499-2020）</w:t>
            </w:r>
            <w:r>
              <w:rPr>
                <w:rFonts w:hint="eastAsia" w:ascii="Times New Roman" w:hAnsi="Times New Roman" w:eastAsia="宋体" w:cs="Times New Roman"/>
                <w:color w:val="auto"/>
                <w:sz w:val="24"/>
                <w:szCs w:val="24"/>
                <w:highlight w:val="none"/>
              </w:rPr>
              <w:t>选取特征大气有害物质，确定等标排放量（Q</w:t>
            </w:r>
            <w:r>
              <w:rPr>
                <w:rFonts w:hint="eastAsia" w:ascii="Times New Roman" w:hAnsi="Times New Roman" w:eastAsia="宋体" w:cs="Times New Roman"/>
                <w:color w:val="auto"/>
                <w:sz w:val="24"/>
                <w:szCs w:val="24"/>
                <w:highlight w:val="none"/>
                <w:vertAlign w:val="subscript"/>
              </w:rPr>
              <w:t>c</w:t>
            </w:r>
            <w:r>
              <w:rPr>
                <w:rFonts w:hint="eastAsia" w:ascii="Times New Roman" w:hAnsi="Times New Roman" w:eastAsia="宋体" w:cs="Times New Roman"/>
                <w:color w:val="auto"/>
                <w:sz w:val="24"/>
                <w:szCs w:val="24"/>
                <w:highlight w:val="none"/>
              </w:rPr>
              <w:t>/c</w:t>
            </w:r>
            <w:r>
              <w:rPr>
                <w:rFonts w:hint="eastAsia" w:ascii="Times New Roman" w:hAnsi="Times New Roman" w:eastAsia="宋体" w:cs="Times New Roman"/>
                <w:color w:val="auto"/>
                <w:sz w:val="24"/>
                <w:szCs w:val="24"/>
                <w:highlight w:val="none"/>
                <w:vertAlign w:val="subscript"/>
              </w:rPr>
              <w:t>m</w:t>
            </w:r>
            <w:r>
              <w:rPr>
                <w:rFonts w:hint="eastAsia" w:ascii="Times New Roman" w:hAnsi="Times New Roman" w:eastAsia="宋体" w:cs="Times New Roman"/>
                <w:color w:val="auto"/>
                <w:sz w:val="24"/>
                <w:szCs w:val="24"/>
                <w:highlight w:val="none"/>
              </w:rPr>
              <w:t>），最终确定卫生防护距离相关的主要特征大气有害物质1~2种。</w:t>
            </w:r>
          </w:p>
          <w:p w14:paraId="6D9F2E7C">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11</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全厂大气污染物等标排放量情况表</w:t>
            </w:r>
          </w:p>
          <w:tbl>
            <w:tblPr>
              <w:tblStyle w:val="24"/>
              <w:tblW w:w="84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561"/>
              <w:gridCol w:w="1630"/>
              <w:gridCol w:w="1483"/>
              <w:gridCol w:w="1402"/>
              <w:gridCol w:w="1227"/>
            </w:tblGrid>
            <w:tr w14:paraId="4A945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175" w:type="dxa"/>
                  <w:noWrap w:val="0"/>
                  <w:vAlign w:val="center"/>
                </w:tcPr>
                <w:p w14:paraId="7872211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lang w:eastAsia="zh-CN"/>
                    </w:rPr>
                    <w:t>废气来源</w:t>
                  </w:r>
                </w:p>
              </w:tc>
              <w:tc>
                <w:tcPr>
                  <w:tcW w:w="1561" w:type="dxa"/>
                  <w:noWrap w:val="0"/>
                  <w:vAlign w:val="center"/>
                </w:tcPr>
                <w:p w14:paraId="693C222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污染物名称</w:t>
                  </w:r>
                </w:p>
              </w:tc>
              <w:tc>
                <w:tcPr>
                  <w:tcW w:w="1630" w:type="dxa"/>
                  <w:noWrap w:val="0"/>
                  <w:vAlign w:val="center"/>
                </w:tcPr>
                <w:p w14:paraId="14E6E98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b/>
                      <w:bCs/>
                      <w:color w:val="auto"/>
                      <w:sz w:val="21"/>
                      <w:szCs w:val="21"/>
                      <w:highlight w:val="none"/>
                    </w:rPr>
                    <w:t>Q</w:t>
                  </w:r>
                  <w:r>
                    <w:rPr>
                      <w:rFonts w:hint="default" w:ascii="Times New Roman" w:hAnsi="Times New Roman" w:eastAsia="宋体"/>
                      <w:b/>
                      <w:bCs/>
                      <w:color w:val="auto"/>
                      <w:sz w:val="21"/>
                      <w:szCs w:val="21"/>
                      <w:highlight w:val="none"/>
                      <w:vertAlign w:val="subscript"/>
                    </w:rPr>
                    <w:t>c</w:t>
                  </w:r>
                  <w:r>
                    <w:rPr>
                      <w:rFonts w:hint="default" w:ascii="Times New Roman" w:hAnsi="Times New Roman" w:eastAsia="宋体"/>
                      <w:b/>
                      <w:bCs/>
                      <w:color w:val="auto"/>
                      <w:sz w:val="21"/>
                      <w:szCs w:val="21"/>
                      <w:highlight w:val="none"/>
                    </w:rPr>
                    <w:t>（kg/h）</w:t>
                  </w:r>
                </w:p>
              </w:tc>
              <w:tc>
                <w:tcPr>
                  <w:tcW w:w="1483" w:type="dxa"/>
                  <w:noWrap w:val="0"/>
                  <w:vAlign w:val="center"/>
                </w:tcPr>
                <w:p w14:paraId="3090658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b/>
                      <w:bCs/>
                      <w:color w:val="auto"/>
                      <w:sz w:val="21"/>
                      <w:szCs w:val="21"/>
                      <w:highlight w:val="none"/>
                    </w:rPr>
                    <w:t>C</w:t>
                  </w:r>
                  <w:r>
                    <w:rPr>
                      <w:rFonts w:hint="default" w:ascii="Times New Roman" w:hAnsi="Times New Roman" w:eastAsia="宋体"/>
                      <w:b/>
                      <w:bCs/>
                      <w:color w:val="auto"/>
                      <w:sz w:val="21"/>
                      <w:szCs w:val="21"/>
                      <w:highlight w:val="none"/>
                      <w:vertAlign w:val="subscript"/>
                    </w:rPr>
                    <w:t>m</w:t>
                  </w:r>
                  <w:r>
                    <w:rPr>
                      <w:rFonts w:hint="default" w:ascii="Times New Roman" w:hAnsi="Times New Roman" w:eastAsia="宋体"/>
                      <w:b/>
                      <w:bCs/>
                      <w:color w:val="auto"/>
                      <w:sz w:val="21"/>
                      <w:szCs w:val="21"/>
                      <w:highlight w:val="none"/>
                    </w:rPr>
                    <w:t>（mg/m</w:t>
                  </w:r>
                  <w:r>
                    <w:rPr>
                      <w:rFonts w:hint="default" w:ascii="Times New Roman" w:hAnsi="Times New Roman" w:eastAsia="宋体"/>
                      <w:b/>
                      <w:bCs/>
                      <w:color w:val="auto"/>
                      <w:sz w:val="21"/>
                      <w:szCs w:val="21"/>
                      <w:highlight w:val="none"/>
                      <w:vertAlign w:val="superscript"/>
                    </w:rPr>
                    <w:t>3</w:t>
                  </w:r>
                  <w:r>
                    <w:rPr>
                      <w:rFonts w:hint="default" w:ascii="Times New Roman" w:hAnsi="Times New Roman" w:eastAsia="宋体"/>
                      <w:b/>
                      <w:bCs/>
                      <w:color w:val="auto"/>
                      <w:sz w:val="21"/>
                      <w:szCs w:val="21"/>
                      <w:highlight w:val="none"/>
                    </w:rPr>
                    <w:t>）</w:t>
                  </w:r>
                </w:p>
              </w:tc>
              <w:tc>
                <w:tcPr>
                  <w:tcW w:w="1402" w:type="dxa"/>
                  <w:noWrap w:val="0"/>
                  <w:vAlign w:val="center"/>
                </w:tcPr>
                <w:p w14:paraId="445D739A">
                  <w:pPr>
                    <w:keepNext w:val="0"/>
                    <w:keepLines w:val="0"/>
                    <w:suppressLineNumbers w:val="0"/>
                    <w:autoSpaceDN w:val="0"/>
                    <w:snapToGrid w:val="0"/>
                    <w:spacing w:before="0" w:beforeAutospacing="0" w:after="0" w:afterAutospacing="0"/>
                    <w:ind w:left="0" w:right="0"/>
                    <w:jc w:val="center"/>
                    <w:textAlignment w:val="center"/>
                    <w:rPr>
                      <w:rFonts w:hint="default" w:ascii="Times New Roman" w:hAnsi="Times New Roman" w:eastAsia="宋体"/>
                      <w:b/>
                      <w:bCs/>
                      <w:color w:val="auto"/>
                      <w:sz w:val="21"/>
                      <w:szCs w:val="21"/>
                      <w:highlight w:val="none"/>
                    </w:rPr>
                  </w:pPr>
                  <w:r>
                    <w:rPr>
                      <w:rFonts w:hint="default" w:ascii="Times New Roman" w:hAnsi="Times New Roman" w:eastAsia="宋体"/>
                      <w:b/>
                      <w:bCs/>
                      <w:color w:val="auto"/>
                      <w:sz w:val="21"/>
                      <w:szCs w:val="21"/>
                      <w:highlight w:val="none"/>
                    </w:rPr>
                    <w:t>等标排放量（Q</w:t>
                  </w:r>
                  <w:r>
                    <w:rPr>
                      <w:rFonts w:hint="default" w:ascii="Times New Roman" w:hAnsi="Times New Roman" w:eastAsia="宋体"/>
                      <w:b/>
                      <w:bCs/>
                      <w:color w:val="auto"/>
                      <w:sz w:val="21"/>
                      <w:szCs w:val="21"/>
                      <w:highlight w:val="none"/>
                      <w:vertAlign w:val="subscript"/>
                    </w:rPr>
                    <w:t>c</w:t>
                  </w:r>
                  <w:r>
                    <w:rPr>
                      <w:rFonts w:hint="default" w:ascii="Times New Roman" w:hAnsi="Times New Roman" w:eastAsia="宋体"/>
                      <w:b/>
                      <w:bCs/>
                      <w:color w:val="auto"/>
                      <w:sz w:val="21"/>
                      <w:szCs w:val="21"/>
                      <w:highlight w:val="none"/>
                    </w:rPr>
                    <w:t>/c</w:t>
                  </w:r>
                  <w:r>
                    <w:rPr>
                      <w:rFonts w:hint="default" w:ascii="Times New Roman" w:hAnsi="Times New Roman" w:eastAsia="宋体"/>
                      <w:b/>
                      <w:bCs/>
                      <w:color w:val="auto"/>
                      <w:sz w:val="21"/>
                      <w:szCs w:val="21"/>
                      <w:highlight w:val="none"/>
                      <w:vertAlign w:val="subscript"/>
                    </w:rPr>
                    <w:t>m</w:t>
                  </w:r>
                  <w:r>
                    <w:rPr>
                      <w:rFonts w:hint="default" w:ascii="Times New Roman" w:hAnsi="Times New Roman" w:eastAsia="宋体"/>
                      <w:b/>
                      <w:bCs/>
                      <w:color w:val="auto"/>
                      <w:sz w:val="21"/>
                      <w:szCs w:val="21"/>
                      <w:highlight w:val="none"/>
                    </w:rPr>
                    <w:t>）</w:t>
                  </w:r>
                </w:p>
              </w:tc>
              <w:tc>
                <w:tcPr>
                  <w:tcW w:w="1227" w:type="dxa"/>
                  <w:noWrap w:val="0"/>
                  <w:vAlign w:val="center"/>
                </w:tcPr>
                <w:p w14:paraId="3E59814C">
                  <w:pPr>
                    <w:keepNext w:val="0"/>
                    <w:keepLines w:val="0"/>
                    <w:suppressLineNumbers w:val="0"/>
                    <w:autoSpaceDN w:val="0"/>
                    <w:snapToGrid w:val="0"/>
                    <w:spacing w:before="0" w:beforeAutospacing="0" w:after="0" w:afterAutospacing="0"/>
                    <w:ind w:left="0" w:right="0"/>
                    <w:jc w:val="center"/>
                    <w:textAlignment w:val="center"/>
                    <w:rPr>
                      <w:rFonts w:hint="default" w:ascii="Times New Roman" w:hAnsi="Times New Roman" w:eastAsia="宋体"/>
                      <w:b/>
                      <w:bCs/>
                      <w:color w:val="auto"/>
                      <w:sz w:val="21"/>
                      <w:szCs w:val="21"/>
                      <w:highlight w:val="none"/>
                    </w:rPr>
                  </w:pPr>
                  <w:r>
                    <w:rPr>
                      <w:rFonts w:hint="default" w:ascii="Times New Roman" w:hAnsi="Times New Roman" w:eastAsia="宋体"/>
                      <w:b/>
                      <w:color w:val="auto"/>
                      <w:sz w:val="21"/>
                      <w:szCs w:val="21"/>
                      <w:highlight w:val="none"/>
                    </w:rPr>
                    <w:t>排序</w:t>
                  </w:r>
                </w:p>
              </w:tc>
            </w:tr>
            <w:tr w14:paraId="44DA8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1175" w:type="dxa"/>
                  <w:vMerge w:val="restart"/>
                  <w:noWrap w:val="0"/>
                  <w:vAlign w:val="center"/>
                </w:tcPr>
                <w:p w14:paraId="38E4C61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生产车间1号楼</w:t>
                  </w:r>
                </w:p>
              </w:tc>
              <w:tc>
                <w:tcPr>
                  <w:tcW w:w="1561" w:type="dxa"/>
                  <w:noWrap w:val="0"/>
                  <w:vAlign w:val="center"/>
                </w:tcPr>
                <w:p w14:paraId="20DDC00A">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1B9FE1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0.0355</w:t>
                  </w:r>
                </w:p>
              </w:tc>
              <w:tc>
                <w:tcPr>
                  <w:tcW w:w="1483" w:type="dxa"/>
                  <w:noWrap w:val="0"/>
                  <w:vAlign w:val="center"/>
                </w:tcPr>
                <w:p w14:paraId="4BEAEC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402" w:type="dxa"/>
                  <w:noWrap w:val="0"/>
                  <w:vAlign w:val="center"/>
                </w:tcPr>
                <w:p w14:paraId="035E5F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0.01775</w:t>
                  </w:r>
                </w:p>
              </w:tc>
              <w:tc>
                <w:tcPr>
                  <w:tcW w:w="1227" w:type="dxa"/>
                  <w:noWrap w:val="0"/>
                  <w:vAlign w:val="center"/>
                </w:tcPr>
                <w:p w14:paraId="42622D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4F4F7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1175" w:type="dxa"/>
                  <w:vMerge w:val="continue"/>
                  <w:noWrap w:val="0"/>
                  <w:vAlign w:val="center"/>
                </w:tcPr>
                <w:p w14:paraId="492F169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c>
                <w:tcPr>
                  <w:tcW w:w="1561" w:type="dxa"/>
                  <w:noWrap w:val="0"/>
                  <w:vAlign w:val="center"/>
                </w:tcPr>
                <w:p w14:paraId="05F93DD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630" w:type="dxa"/>
                  <w:noWrap w:val="0"/>
                  <w:vAlign w:val="center"/>
                </w:tcPr>
                <w:p w14:paraId="273EA0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0.003</w:t>
                  </w:r>
                </w:p>
              </w:tc>
              <w:tc>
                <w:tcPr>
                  <w:tcW w:w="1483" w:type="dxa"/>
                  <w:noWrap w:val="0"/>
                  <w:vAlign w:val="center"/>
                </w:tcPr>
                <w:p w14:paraId="47434F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0.25</w:t>
                  </w:r>
                </w:p>
              </w:tc>
              <w:tc>
                <w:tcPr>
                  <w:tcW w:w="1402" w:type="dxa"/>
                  <w:noWrap w:val="0"/>
                  <w:vAlign w:val="center"/>
                </w:tcPr>
                <w:p w14:paraId="34CB2F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0.012</w:t>
                  </w:r>
                </w:p>
              </w:tc>
              <w:tc>
                <w:tcPr>
                  <w:tcW w:w="1227" w:type="dxa"/>
                  <w:noWrap w:val="0"/>
                  <w:vAlign w:val="center"/>
                </w:tcPr>
                <w:p w14:paraId="0CBD2B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245AA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3AEB16D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c>
                <w:tcPr>
                  <w:tcW w:w="1561" w:type="dxa"/>
                  <w:noWrap w:val="0"/>
                  <w:vAlign w:val="center"/>
                </w:tcPr>
                <w:p w14:paraId="5549684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630" w:type="dxa"/>
                  <w:noWrap w:val="0"/>
                  <w:vAlign w:val="center"/>
                </w:tcPr>
                <w:p w14:paraId="3E2400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0.0338</w:t>
                  </w:r>
                </w:p>
              </w:tc>
              <w:tc>
                <w:tcPr>
                  <w:tcW w:w="1483" w:type="dxa"/>
                  <w:noWrap w:val="0"/>
                  <w:vAlign w:val="center"/>
                </w:tcPr>
                <w:p w14:paraId="034F69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0.45</w:t>
                  </w:r>
                </w:p>
              </w:tc>
              <w:tc>
                <w:tcPr>
                  <w:tcW w:w="1402" w:type="dxa"/>
                  <w:noWrap w:val="0"/>
                  <w:vAlign w:val="center"/>
                </w:tcPr>
                <w:p w14:paraId="690C85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 xml:space="preserve"> </w:t>
                  </w:r>
                  <w:r>
                    <w:rPr>
                      <w:rFonts w:hint="eastAsia" w:ascii="Times New Roman" w:hAnsi="Times New Roman" w:eastAsia="宋体" w:cs="Times New Roman"/>
                      <w:b w:val="0"/>
                      <w:bCs w:val="0"/>
                      <w:i w:val="0"/>
                      <w:iCs w:val="0"/>
                      <w:color w:val="auto"/>
                      <w:kern w:val="0"/>
                      <w:sz w:val="21"/>
                      <w:szCs w:val="21"/>
                      <w:highlight w:val="none"/>
                      <w:u w:val="none"/>
                      <w:lang w:val="en-US" w:eastAsia="zh-CN" w:bidi="ar"/>
                    </w:rPr>
                    <w:t>0.07511</w:t>
                  </w:r>
                </w:p>
              </w:tc>
              <w:tc>
                <w:tcPr>
                  <w:tcW w:w="1227" w:type="dxa"/>
                  <w:noWrap w:val="0"/>
                  <w:vAlign w:val="center"/>
                </w:tcPr>
                <w:p w14:paraId="6F2F09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r>
            <w:tr w14:paraId="4A170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restart"/>
                  <w:noWrap w:val="0"/>
                  <w:vAlign w:val="center"/>
                </w:tcPr>
                <w:p w14:paraId="0456048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生产车间2号楼</w:t>
                  </w:r>
                </w:p>
              </w:tc>
              <w:tc>
                <w:tcPr>
                  <w:tcW w:w="1561" w:type="dxa"/>
                  <w:noWrap w:val="0"/>
                  <w:vAlign w:val="center"/>
                </w:tcPr>
                <w:p w14:paraId="2DBD4219">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76D67C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0.0355</w:t>
                  </w:r>
                </w:p>
              </w:tc>
              <w:tc>
                <w:tcPr>
                  <w:tcW w:w="1483" w:type="dxa"/>
                  <w:noWrap w:val="0"/>
                  <w:vAlign w:val="center"/>
                </w:tcPr>
                <w:p w14:paraId="7C6018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402" w:type="dxa"/>
                  <w:noWrap w:val="0"/>
                  <w:vAlign w:val="center"/>
                </w:tcPr>
                <w:p w14:paraId="3C1BDA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0.01775</w:t>
                  </w:r>
                </w:p>
              </w:tc>
              <w:tc>
                <w:tcPr>
                  <w:tcW w:w="1227" w:type="dxa"/>
                  <w:noWrap w:val="0"/>
                  <w:vAlign w:val="center"/>
                </w:tcPr>
                <w:p w14:paraId="2F046B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4D8DC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75" w:type="dxa"/>
                  <w:vMerge w:val="continue"/>
                  <w:noWrap w:val="0"/>
                  <w:vAlign w:val="center"/>
                </w:tcPr>
                <w:p w14:paraId="768CFF07">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eastAsia="zh-CN"/>
                    </w:rPr>
                  </w:pPr>
                </w:p>
              </w:tc>
              <w:tc>
                <w:tcPr>
                  <w:tcW w:w="1561" w:type="dxa"/>
                  <w:noWrap w:val="0"/>
                  <w:vAlign w:val="center"/>
                </w:tcPr>
                <w:p w14:paraId="6ED5294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630" w:type="dxa"/>
                  <w:noWrap w:val="0"/>
                  <w:vAlign w:val="center"/>
                </w:tcPr>
                <w:p w14:paraId="494790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0.003</w:t>
                  </w:r>
                </w:p>
              </w:tc>
              <w:tc>
                <w:tcPr>
                  <w:tcW w:w="1483" w:type="dxa"/>
                  <w:noWrap w:val="0"/>
                  <w:vAlign w:val="center"/>
                </w:tcPr>
                <w:p w14:paraId="7710747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0.25</w:t>
                  </w:r>
                </w:p>
              </w:tc>
              <w:tc>
                <w:tcPr>
                  <w:tcW w:w="1402" w:type="dxa"/>
                  <w:noWrap w:val="0"/>
                  <w:vAlign w:val="center"/>
                </w:tcPr>
                <w:p w14:paraId="18BC18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0.012</w:t>
                  </w:r>
                </w:p>
              </w:tc>
              <w:tc>
                <w:tcPr>
                  <w:tcW w:w="1227" w:type="dxa"/>
                  <w:noWrap w:val="0"/>
                  <w:vAlign w:val="center"/>
                </w:tcPr>
                <w:p w14:paraId="1811CF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1435A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75" w:type="dxa"/>
                  <w:vMerge w:val="continue"/>
                  <w:noWrap w:val="0"/>
                  <w:vAlign w:val="center"/>
                </w:tcPr>
                <w:p w14:paraId="27D996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eastAsia="zh-CN"/>
                    </w:rPr>
                  </w:pPr>
                </w:p>
              </w:tc>
              <w:tc>
                <w:tcPr>
                  <w:tcW w:w="1561" w:type="dxa"/>
                  <w:noWrap w:val="0"/>
                  <w:vAlign w:val="center"/>
                </w:tcPr>
                <w:p w14:paraId="174B5EF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630" w:type="dxa"/>
                  <w:noWrap w:val="0"/>
                  <w:vAlign w:val="center"/>
                </w:tcPr>
                <w:p w14:paraId="2872F5E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0.0338</w:t>
                  </w:r>
                </w:p>
              </w:tc>
              <w:tc>
                <w:tcPr>
                  <w:tcW w:w="1483" w:type="dxa"/>
                  <w:noWrap w:val="0"/>
                  <w:vAlign w:val="center"/>
                </w:tcPr>
                <w:p w14:paraId="216F4A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0.45</w:t>
                  </w:r>
                </w:p>
              </w:tc>
              <w:tc>
                <w:tcPr>
                  <w:tcW w:w="1402" w:type="dxa"/>
                  <w:noWrap w:val="0"/>
                  <w:vAlign w:val="center"/>
                </w:tcPr>
                <w:p w14:paraId="1DE23D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0.07511</w:t>
                  </w:r>
                </w:p>
              </w:tc>
              <w:tc>
                <w:tcPr>
                  <w:tcW w:w="1227" w:type="dxa"/>
                  <w:noWrap w:val="0"/>
                  <w:vAlign w:val="center"/>
                </w:tcPr>
                <w:p w14:paraId="245D0E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r>
            <w:tr w14:paraId="7C2D1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5" w:type="dxa"/>
                  <w:vMerge w:val="restart"/>
                  <w:noWrap w:val="0"/>
                  <w:vAlign w:val="center"/>
                </w:tcPr>
                <w:p w14:paraId="21EA013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生产车间3号楼</w:t>
                  </w:r>
                </w:p>
              </w:tc>
              <w:tc>
                <w:tcPr>
                  <w:tcW w:w="1561" w:type="dxa"/>
                  <w:tcBorders>
                    <w:bottom w:val="single" w:color="000000" w:sz="4" w:space="0"/>
                  </w:tcBorders>
                  <w:noWrap w:val="0"/>
                  <w:vAlign w:val="center"/>
                </w:tcPr>
                <w:p w14:paraId="24470B8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氟化物</w:t>
                  </w:r>
                </w:p>
              </w:tc>
              <w:tc>
                <w:tcPr>
                  <w:tcW w:w="1630" w:type="dxa"/>
                  <w:tcBorders>
                    <w:bottom w:val="single" w:color="000000" w:sz="4" w:space="0"/>
                  </w:tcBorders>
                  <w:noWrap w:val="0"/>
                  <w:vAlign w:val="center"/>
                </w:tcPr>
                <w:p w14:paraId="039A3F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0.00011</w:t>
                  </w:r>
                </w:p>
              </w:tc>
              <w:tc>
                <w:tcPr>
                  <w:tcW w:w="1483" w:type="dxa"/>
                  <w:tcBorders>
                    <w:bottom w:val="single" w:color="000000" w:sz="4" w:space="0"/>
                  </w:tcBorders>
                  <w:noWrap w:val="0"/>
                  <w:vAlign w:val="center"/>
                </w:tcPr>
                <w:p w14:paraId="4F1B67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0.02</w:t>
                  </w:r>
                </w:p>
              </w:tc>
              <w:tc>
                <w:tcPr>
                  <w:tcW w:w="1402" w:type="dxa"/>
                  <w:tcBorders>
                    <w:bottom w:val="single" w:color="000000" w:sz="4" w:space="0"/>
                  </w:tcBorders>
                  <w:noWrap w:val="0"/>
                  <w:vAlign w:val="center"/>
                </w:tcPr>
                <w:p w14:paraId="1F54DA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0.0055</w:t>
                  </w:r>
                </w:p>
              </w:tc>
              <w:tc>
                <w:tcPr>
                  <w:tcW w:w="1227" w:type="dxa"/>
                  <w:tcBorders>
                    <w:bottom w:val="single" w:color="000000" w:sz="4" w:space="0"/>
                  </w:tcBorders>
                  <w:noWrap w:val="0"/>
                  <w:vAlign w:val="center"/>
                </w:tcPr>
                <w:p w14:paraId="143A41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r>
            <w:tr w14:paraId="20D43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1175" w:type="dxa"/>
                  <w:vMerge w:val="continue"/>
                  <w:noWrap w:val="0"/>
                  <w:vAlign w:val="center"/>
                </w:tcPr>
                <w:p w14:paraId="3E34BD82">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p>
              </w:tc>
              <w:tc>
                <w:tcPr>
                  <w:tcW w:w="1561" w:type="dxa"/>
                  <w:tcBorders>
                    <w:top w:val="single" w:color="000000" w:sz="4" w:space="0"/>
                    <w:bottom w:val="single" w:color="000000" w:sz="4" w:space="0"/>
                  </w:tcBorders>
                  <w:noWrap w:val="0"/>
                  <w:vAlign w:val="center"/>
                </w:tcPr>
                <w:p w14:paraId="148CAB1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颗粒物</w:t>
                  </w:r>
                </w:p>
              </w:tc>
              <w:tc>
                <w:tcPr>
                  <w:tcW w:w="1630" w:type="dxa"/>
                  <w:tcBorders>
                    <w:top w:val="single" w:color="000000" w:sz="4" w:space="0"/>
                    <w:bottom w:val="single" w:color="000000" w:sz="4" w:space="0"/>
                  </w:tcBorders>
                  <w:noWrap w:val="0"/>
                  <w:vAlign w:val="center"/>
                </w:tcPr>
                <w:p w14:paraId="6574E8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0.0298</w:t>
                  </w:r>
                </w:p>
              </w:tc>
              <w:tc>
                <w:tcPr>
                  <w:tcW w:w="1483" w:type="dxa"/>
                  <w:tcBorders>
                    <w:top w:val="single" w:color="000000" w:sz="4" w:space="0"/>
                    <w:bottom w:val="single" w:color="000000" w:sz="4" w:space="0"/>
                  </w:tcBorders>
                  <w:noWrap w:val="0"/>
                  <w:vAlign w:val="center"/>
                </w:tcPr>
                <w:p w14:paraId="16061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0.45</w:t>
                  </w:r>
                </w:p>
              </w:tc>
              <w:tc>
                <w:tcPr>
                  <w:tcW w:w="1402" w:type="dxa"/>
                  <w:tcBorders>
                    <w:top w:val="single" w:color="000000" w:sz="4" w:space="0"/>
                    <w:bottom w:val="single" w:color="000000" w:sz="4" w:space="0"/>
                  </w:tcBorders>
                  <w:noWrap w:val="0"/>
                  <w:vAlign w:val="center"/>
                </w:tcPr>
                <w:p w14:paraId="328F30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0.0662</w:t>
                  </w:r>
                </w:p>
              </w:tc>
              <w:tc>
                <w:tcPr>
                  <w:tcW w:w="1227" w:type="dxa"/>
                  <w:tcBorders>
                    <w:top w:val="single" w:color="000000" w:sz="4" w:space="0"/>
                    <w:bottom w:val="single" w:color="000000" w:sz="4" w:space="0"/>
                  </w:tcBorders>
                  <w:noWrap w:val="0"/>
                  <w:vAlign w:val="center"/>
                </w:tcPr>
                <w:p w14:paraId="7B1B02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15D2C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1175" w:type="dxa"/>
                  <w:vMerge w:val="continue"/>
                  <w:noWrap w:val="0"/>
                  <w:vAlign w:val="center"/>
                </w:tcPr>
                <w:p w14:paraId="7FE1F1F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p>
              </w:tc>
              <w:tc>
                <w:tcPr>
                  <w:tcW w:w="1561" w:type="dxa"/>
                  <w:tcBorders>
                    <w:top w:val="single" w:color="000000" w:sz="4" w:space="0"/>
                    <w:bottom w:val="single" w:color="000000" w:sz="4" w:space="0"/>
                  </w:tcBorders>
                  <w:noWrap w:val="0"/>
                  <w:vAlign w:val="center"/>
                </w:tcPr>
                <w:p w14:paraId="0A1709E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非甲烷总烃</w:t>
                  </w:r>
                </w:p>
              </w:tc>
              <w:tc>
                <w:tcPr>
                  <w:tcW w:w="1630" w:type="dxa"/>
                  <w:tcBorders>
                    <w:top w:val="single" w:color="000000" w:sz="4" w:space="0"/>
                    <w:bottom w:val="single" w:color="000000" w:sz="4" w:space="0"/>
                  </w:tcBorders>
                  <w:noWrap w:val="0"/>
                  <w:vAlign w:val="center"/>
                </w:tcPr>
                <w:p w14:paraId="68987B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0.0215</w:t>
                  </w:r>
                </w:p>
              </w:tc>
              <w:tc>
                <w:tcPr>
                  <w:tcW w:w="1483" w:type="dxa"/>
                  <w:tcBorders>
                    <w:top w:val="single" w:color="000000" w:sz="4" w:space="0"/>
                    <w:bottom w:val="single" w:color="000000" w:sz="4" w:space="0"/>
                  </w:tcBorders>
                  <w:noWrap w:val="0"/>
                  <w:vAlign w:val="center"/>
                </w:tcPr>
                <w:p w14:paraId="0FEBF7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402" w:type="dxa"/>
                  <w:tcBorders>
                    <w:top w:val="single" w:color="000000" w:sz="4" w:space="0"/>
                    <w:bottom w:val="single" w:color="000000" w:sz="4" w:space="0"/>
                  </w:tcBorders>
                  <w:noWrap w:val="0"/>
                  <w:vAlign w:val="center"/>
                </w:tcPr>
                <w:p w14:paraId="7B6E90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0.01075</w:t>
                  </w:r>
                </w:p>
              </w:tc>
              <w:tc>
                <w:tcPr>
                  <w:tcW w:w="1227" w:type="dxa"/>
                  <w:tcBorders>
                    <w:top w:val="single" w:color="000000" w:sz="4" w:space="0"/>
                    <w:bottom w:val="single" w:color="000000" w:sz="4" w:space="0"/>
                  </w:tcBorders>
                  <w:noWrap w:val="0"/>
                  <w:vAlign w:val="center"/>
                </w:tcPr>
                <w:p w14:paraId="0D1A7C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200D7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1175" w:type="dxa"/>
                  <w:vMerge w:val="continue"/>
                  <w:noWrap w:val="0"/>
                  <w:vAlign w:val="center"/>
                </w:tcPr>
                <w:p w14:paraId="004459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p>
              </w:tc>
              <w:tc>
                <w:tcPr>
                  <w:tcW w:w="1561" w:type="dxa"/>
                  <w:tcBorders>
                    <w:top w:val="single" w:color="000000" w:sz="4" w:space="0"/>
                    <w:bottom w:val="single" w:color="000000" w:sz="4" w:space="0"/>
                  </w:tcBorders>
                  <w:noWrap w:val="0"/>
                  <w:vAlign w:val="center"/>
                </w:tcPr>
                <w:p w14:paraId="7A18F03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630" w:type="dxa"/>
                  <w:tcBorders>
                    <w:top w:val="single" w:color="000000" w:sz="4" w:space="0"/>
                    <w:bottom w:val="single" w:color="000000" w:sz="4" w:space="0"/>
                  </w:tcBorders>
                  <w:noWrap w:val="0"/>
                  <w:vAlign w:val="center"/>
                </w:tcPr>
                <w:p w14:paraId="41B3E7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0.003</w:t>
                  </w:r>
                </w:p>
              </w:tc>
              <w:tc>
                <w:tcPr>
                  <w:tcW w:w="1483" w:type="dxa"/>
                  <w:tcBorders>
                    <w:top w:val="single" w:color="000000" w:sz="4" w:space="0"/>
                    <w:bottom w:val="single" w:color="000000" w:sz="4" w:space="0"/>
                  </w:tcBorders>
                  <w:noWrap w:val="0"/>
                  <w:vAlign w:val="center"/>
                </w:tcPr>
                <w:p w14:paraId="6C5676E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0.25</w:t>
                  </w:r>
                </w:p>
              </w:tc>
              <w:tc>
                <w:tcPr>
                  <w:tcW w:w="1402" w:type="dxa"/>
                  <w:tcBorders>
                    <w:top w:val="single" w:color="000000" w:sz="4" w:space="0"/>
                    <w:bottom w:val="single" w:color="000000" w:sz="4" w:space="0"/>
                  </w:tcBorders>
                  <w:noWrap w:val="0"/>
                  <w:vAlign w:val="center"/>
                </w:tcPr>
                <w:p w14:paraId="08D175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0.012</w:t>
                  </w:r>
                </w:p>
              </w:tc>
              <w:tc>
                <w:tcPr>
                  <w:tcW w:w="1227" w:type="dxa"/>
                  <w:tcBorders>
                    <w:top w:val="single" w:color="000000" w:sz="4" w:space="0"/>
                    <w:bottom w:val="single" w:color="000000" w:sz="4" w:space="0"/>
                  </w:tcBorders>
                  <w:noWrap w:val="0"/>
                  <w:vAlign w:val="center"/>
                </w:tcPr>
                <w:p w14:paraId="232EF0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14:paraId="71566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175" w:type="dxa"/>
                  <w:vMerge w:val="continue"/>
                  <w:noWrap w:val="0"/>
                  <w:vAlign w:val="center"/>
                </w:tcPr>
                <w:p w14:paraId="73A48CA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lang w:val="en-US" w:eastAsia="zh-CN"/>
                    </w:rPr>
                  </w:pPr>
                </w:p>
              </w:tc>
              <w:tc>
                <w:tcPr>
                  <w:tcW w:w="1561" w:type="dxa"/>
                  <w:tcBorders>
                    <w:top w:val="single" w:color="000000" w:sz="4" w:space="0"/>
                  </w:tcBorders>
                  <w:noWrap w:val="0"/>
                  <w:vAlign w:val="center"/>
                </w:tcPr>
                <w:p w14:paraId="6E23845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酚类</w:t>
                  </w:r>
                </w:p>
              </w:tc>
              <w:tc>
                <w:tcPr>
                  <w:tcW w:w="1630" w:type="dxa"/>
                  <w:tcBorders>
                    <w:top w:val="single" w:color="000000" w:sz="4" w:space="0"/>
                  </w:tcBorders>
                  <w:noWrap w:val="0"/>
                  <w:vAlign w:val="center"/>
                </w:tcPr>
                <w:p w14:paraId="0F2110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0.00073</w:t>
                  </w:r>
                </w:p>
              </w:tc>
              <w:tc>
                <w:tcPr>
                  <w:tcW w:w="1483" w:type="dxa"/>
                  <w:tcBorders>
                    <w:top w:val="single" w:color="000000" w:sz="4" w:space="0"/>
                  </w:tcBorders>
                  <w:noWrap w:val="0"/>
                  <w:vAlign w:val="center"/>
                </w:tcPr>
                <w:p w14:paraId="78F33F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0.01</w:t>
                  </w:r>
                </w:p>
              </w:tc>
              <w:tc>
                <w:tcPr>
                  <w:tcW w:w="1402" w:type="dxa"/>
                  <w:tcBorders>
                    <w:top w:val="single" w:color="000000" w:sz="4" w:space="0"/>
                  </w:tcBorders>
                  <w:noWrap w:val="0"/>
                  <w:vAlign w:val="center"/>
                </w:tcPr>
                <w:p w14:paraId="3DE992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0.073</w:t>
                  </w:r>
                </w:p>
              </w:tc>
              <w:tc>
                <w:tcPr>
                  <w:tcW w:w="1227" w:type="dxa"/>
                  <w:tcBorders>
                    <w:top w:val="single" w:color="000000" w:sz="4" w:space="0"/>
                  </w:tcBorders>
                  <w:noWrap w:val="0"/>
                  <w:vAlign w:val="center"/>
                </w:tcPr>
                <w:p w14:paraId="50D3CE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592CC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restart"/>
                  <w:noWrap w:val="0"/>
                  <w:vAlign w:val="center"/>
                </w:tcPr>
                <w:p w14:paraId="24BE0A5F">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生产车间4号楼</w:t>
                  </w:r>
                </w:p>
              </w:tc>
              <w:tc>
                <w:tcPr>
                  <w:tcW w:w="1561" w:type="dxa"/>
                  <w:noWrap w:val="0"/>
                  <w:vAlign w:val="center"/>
                </w:tcPr>
                <w:p w14:paraId="04D8FD3E">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756C03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0.0326</w:t>
                  </w:r>
                </w:p>
              </w:tc>
              <w:tc>
                <w:tcPr>
                  <w:tcW w:w="1483" w:type="dxa"/>
                  <w:noWrap w:val="0"/>
                  <w:vAlign w:val="center"/>
                </w:tcPr>
                <w:p w14:paraId="19159B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402" w:type="dxa"/>
                  <w:noWrap w:val="0"/>
                  <w:vAlign w:val="center"/>
                </w:tcPr>
                <w:p w14:paraId="18C818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0.0163</w:t>
                  </w:r>
                </w:p>
              </w:tc>
              <w:tc>
                <w:tcPr>
                  <w:tcW w:w="1227" w:type="dxa"/>
                  <w:noWrap w:val="0"/>
                  <w:vAlign w:val="center"/>
                </w:tcPr>
                <w:p w14:paraId="703263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73752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3C5B23C3">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highlight w:val="none"/>
                    </w:rPr>
                  </w:pPr>
                </w:p>
              </w:tc>
              <w:tc>
                <w:tcPr>
                  <w:tcW w:w="1561" w:type="dxa"/>
                  <w:noWrap w:val="0"/>
                  <w:vAlign w:val="center"/>
                </w:tcPr>
                <w:p w14:paraId="1CAC11D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w:t>
                  </w:r>
                </w:p>
              </w:tc>
              <w:tc>
                <w:tcPr>
                  <w:tcW w:w="1630" w:type="dxa"/>
                  <w:noWrap w:val="0"/>
                  <w:vAlign w:val="center"/>
                </w:tcPr>
                <w:p w14:paraId="7631FD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0.003</w:t>
                  </w:r>
                </w:p>
              </w:tc>
              <w:tc>
                <w:tcPr>
                  <w:tcW w:w="1483" w:type="dxa"/>
                  <w:noWrap w:val="0"/>
                  <w:vAlign w:val="center"/>
                </w:tcPr>
                <w:p w14:paraId="2F54CE8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0.25</w:t>
                  </w:r>
                </w:p>
              </w:tc>
              <w:tc>
                <w:tcPr>
                  <w:tcW w:w="1402" w:type="dxa"/>
                  <w:noWrap w:val="0"/>
                  <w:vAlign w:val="center"/>
                </w:tcPr>
                <w:p w14:paraId="4AADBA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0.012</w:t>
                  </w:r>
                </w:p>
              </w:tc>
              <w:tc>
                <w:tcPr>
                  <w:tcW w:w="1227" w:type="dxa"/>
                  <w:noWrap w:val="0"/>
                  <w:vAlign w:val="center"/>
                </w:tcPr>
                <w:p w14:paraId="5FA443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08189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vMerge w:val="continue"/>
                  <w:noWrap w:val="0"/>
                  <w:vAlign w:val="center"/>
                </w:tcPr>
                <w:p w14:paraId="6B21302D">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p>
              </w:tc>
              <w:tc>
                <w:tcPr>
                  <w:tcW w:w="1561" w:type="dxa"/>
                  <w:noWrap w:val="0"/>
                  <w:vAlign w:val="center"/>
                </w:tcPr>
                <w:p w14:paraId="4784E9A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1630" w:type="dxa"/>
                  <w:noWrap w:val="0"/>
                  <w:vAlign w:val="center"/>
                </w:tcPr>
                <w:p w14:paraId="2B77C1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0.0338</w:t>
                  </w:r>
                </w:p>
              </w:tc>
              <w:tc>
                <w:tcPr>
                  <w:tcW w:w="1483" w:type="dxa"/>
                  <w:noWrap w:val="0"/>
                  <w:vAlign w:val="center"/>
                </w:tcPr>
                <w:p w14:paraId="3D0E4E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0.45</w:t>
                  </w:r>
                </w:p>
              </w:tc>
              <w:tc>
                <w:tcPr>
                  <w:tcW w:w="1402" w:type="dxa"/>
                  <w:noWrap w:val="0"/>
                  <w:vAlign w:val="center"/>
                </w:tcPr>
                <w:p w14:paraId="7A64180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0.0751</w:t>
                  </w:r>
                </w:p>
              </w:tc>
              <w:tc>
                <w:tcPr>
                  <w:tcW w:w="1227" w:type="dxa"/>
                  <w:noWrap w:val="0"/>
                  <w:vAlign w:val="center"/>
                </w:tcPr>
                <w:p w14:paraId="03183A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r>
            <w:tr w14:paraId="0DC15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1175" w:type="dxa"/>
                  <w:noWrap w:val="0"/>
                  <w:vAlign w:val="center"/>
                </w:tcPr>
                <w:p w14:paraId="21B709C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实验室</w:t>
                  </w:r>
                </w:p>
              </w:tc>
              <w:tc>
                <w:tcPr>
                  <w:tcW w:w="1561" w:type="dxa"/>
                  <w:noWrap w:val="0"/>
                  <w:vAlign w:val="center"/>
                </w:tcPr>
                <w:p w14:paraId="3E727D9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02020C0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0.00418</w:t>
                  </w:r>
                </w:p>
              </w:tc>
              <w:tc>
                <w:tcPr>
                  <w:tcW w:w="1483" w:type="dxa"/>
                  <w:noWrap w:val="0"/>
                  <w:vAlign w:val="center"/>
                </w:tcPr>
                <w:p w14:paraId="1686A6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402" w:type="dxa"/>
                  <w:noWrap w:val="0"/>
                  <w:vAlign w:val="center"/>
                </w:tcPr>
                <w:p w14:paraId="52CE28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0.00209</w:t>
                  </w:r>
                </w:p>
              </w:tc>
              <w:tc>
                <w:tcPr>
                  <w:tcW w:w="1227" w:type="dxa"/>
                  <w:noWrap w:val="0"/>
                  <w:vAlign w:val="center"/>
                </w:tcPr>
                <w:p w14:paraId="51F78D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r>
            <w:tr w14:paraId="2EE96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175" w:type="dxa"/>
                  <w:noWrap w:val="0"/>
                  <w:vAlign w:val="center"/>
                </w:tcPr>
                <w:p w14:paraId="56D7FD84">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危险废物</w:t>
                  </w:r>
                  <w:r>
                    <w:rPr>
                      <w:rFonts w:hint="eastAsia" w:ascii="Times New Roman" w:hAnsi="Times New Roman" w:eastAsia="宋体" w:cs="Times New Roman"/>
                      <w:color w:val="auto"/>
                      <w:szCs w:val="21"/>
                      <w:highlight w:val="none"/>
                      <w:lang w:val="en-US" w:eastAsia="zh-CN"/>
                    </w:rPr>
                    <w:t>仓库</w:t>
                  </w:r>
                </w:p>
              </w:tc>
              <w:tc>
                <w:tcPr>
                  <w:tcW w:w="1561" w:type="dxa"/>
                  <w:noWrap w:val="0"/>
                  <w:vAlign w:val="center"/>
                </w:tcPr>
                <w:p w14:paraId="481E21B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非甲烷总烃</w:t>
                  </w:r>
                </w:p>
              </w:tc>
              <w:tc>
                <w:tcPr>
                  <w:tcW w:w="1630" w:type="dxa"/>
                  <w:noWrap w:val="0"/>
                  <w:vAlign w:val="center"/>
                </w:tcPr>
                <w:p w14:paraId="083BFF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0.00731</w:t>
                  </w:r>
                </w:p>
              </w:tc>
              <w:tc>
                <w:tcPr>
                  <w:tcW w:w="1483" w:type="dxa"/>
                  <w:noWrap w:val="0"/>
                  <w:vAlign w:val="center"/>
                </w:tcPr>
                <w:p w14:paraId="3BCD01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402" w:type="dxa"/>
                  <w:noWrap w:val="0"/>
                  <w:vAlign w:val="center"/>
                </w:tcPr>
                <w:p w14:paraId="5A5836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0.00365</w:t>
                  </w:r>
                </w:p>
              </w:tc>
              <w:tc>
                <w:tcPr>
                  <w:tcW w:w="1227" w:type="dxa"/>
                  <w:noWrap w:val="0"/>
                  <w:vAlign w:val="center"/>
                </w:tcPr>
                <w:p w14:paraId="59C23C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r>
          </w:tbl>
          <w:p w14:paraId="14195E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因此</w:t>
            </w:r>
            <w:r>
              <w:rPr>
                <w:rFonts w:hint="eastAsia"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建成后，生产车间1号楼主要特征大气有害物质为颗粒物；生产车间2号楼主要特征大气有害物质为颗粒物；生产车间3号楼</w:t>
            </w:r>
            <w:r>
              <w:rPr>
                <w:rFonts w:hint="eastAsia" w:cs="Times New Roman"/>
                <w:color w:val="auto"/>
                <w:sz w:val="24"/>
                <w:highlight w:val="none"/>
                <w:lang w:val="en-US" w:eastAsia="zh-CN"/>
              </w:rPr>
              <w:t>由于酚类和颗粒物的等标排放量相差在10%以内，同时选取酚类和颗粒物分别计算卫生防护距离初值</w:t>
            </w:r>
            <w:r>
              <w:rPr>
                <w:rFonts w:hint="eastAsia" w:ascii="Times New Roman" w:hAnsi="Times New Roman" w:eastAsia="宋体" w:cs="Times New Roman"/>
                <w:color w:val="auto"/>
                <w:sz w:val="24"/>
                <w:highlight w:val="none"/>
                <w:lang w:val="en-US" w:eastAsia="zh-CN"/>
              </w:rPr>
              <w:t>；生产车间4号楼主要特征大气有害物质为颗粒物；实验室主要特征大气有害物质为非甲烷总烃；</w:t>
            </w:r>
            <w:r>
              <w:rPr>
                <w:rFonts w:hint="eastAsia" w:cs="Times New Roman"/>
                <w:color w:val="auto"/>
                <w:sz w:val="24"/>
                <w:highlight w:val="none"/>
                <w:lang w:val="en-US" w:eastAsia="zh-CN"/>
              </w:rPr>
              <w:t>危险废物</w:t>
            </w:r>
            <w:r>
              <w:rPr>
                <w:rFonts w:hint="eastAsia" w:ascii="Times New Roman" w:hAnsi="Times New Roman" w:eastAsia="宋体" w:cs="Times New Roman"/>
                <w:color w:val="auto"/>
                <w:sz w:val="24"/>
                <w:highlight w:val="none"/>
                <w:lang w:val="en-US" w:eastAsia="zh-CN"/>
              </w:rPr>
              <w:t>仓库主要特征大气有害物质为非甲烷总烃。</w:t>
            </w:r>
          </w:p>
          <w:p w14:paraId="160893D7">
            <w:pPr>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1"/>
                <w:szCs w:val="22"/>
                <w:highlight w:val="none"/>
                <w:lang w:val="en-US" w:eastAsia="zh-CN" w:bidi="ar-SA"/>
              </w:rPr>
            </w:pPr>
            <w:r>
              <w:rPr>
                <w:rFonts w:hint="eastAsia" w:ascii="Times New Roman" w:hAnsi="Times New Roman" w:eastAsia="宋体" w:cs="宋体"/>
                <w:color w:val="auto"/>
                <w:kern w:val="0"/>
                <w:sz w:val="24"/>
                <w:szCs w:val="28"/>
                <w:highlight w:val="none"/>
                <w:lang w:val="en-US" w:eastAsia="zh-CN" w:bidi="ar-SA"/>
              </w:rPr>
              <w:t>②</w:t>
            </w:r>
            <w:r>
              <w:rPr>
                <w:rFonts w:hint="eastAsia" w:ascii="Times New Roman" w:hAnsi="Times New Roman" w:eastAsia="宋体" w:cs="Times New Roman"/>
                <w:color w:val="auto"/>
                <w:kern w:val="0"/>
                <w:sz w:val="24"/>
                <w:szCs w:val="24"/>
                <w:highlight w:val="none"/>
                <w:lang w:val="en-US" w:eastAsia="zh-CN" w:bidi="ar-SA"/>
              </w:rPr>
              <w:t>卫生防护距离计算</w:t>
            </w:r>
          </w:p>
          <w:p w14:paraId="6770431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color w:val="auto"/>
                <w:sz w:val="24"/>
                <w:highlight w:val="none"/>
              </w:rPr>
              <w:t>根据《大气有害物质无组织排放 卫生防护距离推导技术导则》（GB/T 39499-2020）</w:t>
            </w:r>
            <w:r>
              <w:rPr>
                <w:rFonts w:hint="eastAsia" w:ascii="Times New Roman" w:hAnsi="Times New Roman" w:eastAsia="宋体" w:cs="Times New Roman"/>
                <w:color w:val="auto"/>
                <w:sz w:val="24"/>
                <w:highlight w:val="none"/>
              </w:rPr>
              <w:t>，具体计算公式如下</w:t>
            </w:r>
            <w:r>
              <w:rPr>
                <w:rFonts w:hint="default" w:ascii="Times New Roman" w:hAnsi="Times New Roman" w:eastAsia="宋体" w:cs="Times New Roman"/>
                <w:color w:val="auto"/>
                <w:sz w:val="24"/>
                <w:highlight w:val="none"/>
              </w:rPr>
              <w:t>：</w:t>
            </w:r>
          </w:p>
          <w:p w14:paraId="4FE3DB12">
            <w:pPr>
              <w:keepNext w:val="0"/>
              <w:keepLines w:val="0"/>
              <w:suppressLineNumbers w:val="0"/>
              <w:snapToGrid w:val="0"/>
              <w:spacing w:before="0" w:beforeAutospacing="0" w:after="0" w:afterAutospacing="0" w:line="360" w:lineRule="auto"/>
              <w:ind w:left="0" w:right="0" w:firstLine="555"/>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24"/>
                <w:sz w:val="24"/>
                <w:highlight w:val="none"/>
              </w:rPr>
              <w:object>
                <v:shape id="_x0000_i1034" o:spt="75" type="#_x0000_t75" style="height:30.75pt;width:138.75pt;" o:ole="t" filled="f" o:preferrelative="t" stroked="f" coordsize="21600,21600">
                  <v:path/>
                  <v:fill on="f" focussize="0,0"/>
                  <v:stroke on="f"/>
                  <v:imagedata r:id="rId29" o:title=""/>
                  <o:lock v:ext="edit" aspectratio="t"/>
                  <w10:wrap type="none"/>
                  <w10:anchorlock/>
                </v:shape>
                <o:OLEObject Type="Embed" ProgID="Equation.3" ShapeID="_x0000_i1034" DrawAspect="Content" ObjectID="_1468075734" r:id="rId28">
                  <o:LockedField>false</o:LockedField>
                </o:OLEObject>
              </w:object>
            </w:r>
          </w:p>
          <w:p w14:paraId="7EE551FB">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式中：Q</w:t>
            </w:r>
            <w:r>
              <w:rPr>
                <w:rFonts w:hint="default" w:ascii="Times New Roman" w:hAnsi="Times New Roman" w:eastAsia="宋体" w:cs="Times New Roman"/>
                <w:color w:val="auto"/>
                <w:sz w:val="24"/>
                <w:highlight w:val="none"/>
                <w:vertAlign w:val="subscript"/>
              </w:rPr>
              <w:t>c</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大气有害物质的无组织排放量</w:t>
            </w:r>
            <w:r>
              <w:rPr>
                <w:rFonts w:hint="default" w:ascii="Times New Roman" w:hAnsi="Times New Roman" w:eastAsia="宋体" w:cs="Times New Roman"/>
                <w:color w:val="auto"/>
                <w:sz w:val="24"/>
                <w:highlight w:val="none"/>
              </w:rPr>
              <w:t>，kg/h</w:t>
            </w:r>
            <w:r>
              <w:rPr>
                <w:rFonts w:hint="eastAsia" w:ascii="Times New Roman" w:hAnsi="Times New Roman" w:eastAsia="宋体" w:cs="Times New Roman"/>
                <w:color w:val="auto"/>
                <w:sz w:val="24"/>
                <w:highlight w:val="none"/>
              </w:rPr>
              <w:t>；</w:t>
            </w:r>
          </w:p>
          <w:p w14:paraId="48B5B2A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w:t>
            </w:r>
            <w:r>
              <w:rPr>
                <w:rFonts w:hint="default" w:ascii="Times New Roman" w:hAnsi="Times New Roman" w:eastAsia="宋体" w:cs="Times New Roman"/>
                <w:color w:val="auto"/>
                <w:sz w:val="24"/>
                <w:highlight w:val="none"/>
                <w:vertAlign w:val="subscript"/>
              </w:rPr>
              <w:t>m</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大气有害物质环境空气质量的</w:t>
            </w:r>
            <w:r>
              <w:rPr>
                <w:rFonts w:hint="default" w:ascii="Times New Roman" w:hAnsi="Times New Roman" w:eastAsia="宋体" w:cs="Times New Roman"/>
                <w:color w:val="auto"/>
                <w:sz w:val="24"/>
                <w:highlight w:val="none"/>
              </w:rPr>
              <w:t>标准限值，mg/m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p>
          <w:p w14:paraId="6D25D53A">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eastAsia" w:ascii="Times New Roman" w:hAnsi="Times New Roman" w:eastAsia="宋体" w:cs="Times New Roman"/>
                <w:color w:val="auto"/>
                <w:sz w:val="24"/>
                <w:highlight w:val="none"/>
              </w:rPr>
              <w:t>大气有害物质</w:t>
            </w:r>
            <w:r>
              <w:rPr>
                <w:rFonts w:hint="default" w:ascii="Times New Roman" w:hAnsi="Times New Roman" w:eastAsia="宋体" w:cs="Times New Roman"/>
                <w:color w:val="auto"/>
                <w:sz w:val="24"/>
                <w:highlight w:val="none"/>
              </w:rPr>
              <w:t>卫生防护距离</w:t>
            </w:r>
            <w:r>
              <w:rPr>
                <w:rFonts w:hint="eastAsia" w:ascii="Times New Roman" w:hAnsi="Times New Roman" w:eastAsia="宋体" w:cs="Times New Roman"/>
                <w:color w:val="auto"/>
                <w:sz w:val="24"/>
                <w:highlight w:val="none"/>
              </w:rPr>
              <w:t>初值</w:t>
            </w:r>
            <w:r>
              <w:rPr>
                <w:rFonts w:hint="default" w:ascii="Times New Roman" w:hAnsi="Times New Roman" w:eastAsia="宋体" w:cs="Times New Roman"/>
                <w:color w:val="auto"/>
                <w:sz w:val="24"/>
                <w:highlight w:val="none"/>
              </w:rPr>
              <w:t>，m；</w:t>
            </w:r>
          </w:p>
          <w:p w14:paraId="354B86E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eastAsia" w:ascii="Times New Roman" w:hAnsi="Times New Roman" w:eastAsia="宋体" w:cs="Times New Roman"/>
                <w:color w:val="auto"/>
                <w:sz w:val="24"/>
                <w:highlight w:val="none"/>
              </w:rPr>
              <w:t>大气有害物质</w:t>
            </w:r>
            <w:r>
              <w:rPr>
                <w:rFonts w:hint="default" w:ascii="Times New Roman" w:hAnsi="Times New Roman" w:eastAsia="宋体" w:cs="Times New Roman"/>
                <w:color w:val="auto"/>
                <w:sz w:val="24"/>
                <w:highlight w:val="none"/>
              </w:rPr>
              <w:t>无组织排放源所在生产单元的等效半径，m。根据该生产单元占地面积S（m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）计算，r=(s/π)</w:t>
            </w:r>
            <w:r>
              <w:rPr>
                <w:rFonts w:hint="default" w:ascii="Times New Roman" w:hAnsi="Times New Roman" w:eastAsia="宋体" w:cs="Times New Roman"/>
                <w:color w:val="auto"/>
                <w:sz w:val="24"/>
                <w:highlight w:val="none"/>
                <w:vertAlign w:val="superscript"/>
              </w:rPr>
              <w:t>0.5</w:t>
            </w:r>
            <w:r>
              <w:rPr>
                <w:rFonts w:hint="default" w:ascii="Times New Roman" w:hAnsi="Times New Roman" w:eastAsia="宋体" w:cs="Times New Roman"/>
                <w:color w:val="auto"/>
                <w:sz w:val="24"/>
                <w:highlight w:val="none"/>
              </w:rPr>
              <w:t xml:space="preserve"> ；</w:t>
            </w:r>
          </w:p>
          <w:p w14:paraId="0FAC9D06">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A、B、C、D----卫生防护距离计算系数，无因次。根据工业企业所在地区近5年平均风速及大气污染源构成类别从表1查取。</w:t>
            </w:r>
          </w:p>
          <w:p w14:paraId="33FF97E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卫生防护距离在100m内时，级差为50m；超过100m，但小于1000m时，级差为100m</w:t>
            </w:r>
            <w:r>
              <w:rPr>
                <w:rFonts w:hint="eastAsia" w:ascii="Times New Roman" w:hAnsi="Times New Roman" w:eastAsia="宋体" w:cs="Times New Roman"/>
                <w:color w:val="auto"/>
                <w:sz w:val="24"/>
                <w:highlight w:val="none"/>
              </w:rPr>
              <w:t>；超过1000m时，级差为200m。</w:t>
            </w:r>
            <w:r>
              <w:rPr>
                <w:rFonts w:hint="default" w:ascii="Times New Roman" w:hAnsi="Times New Roman" w:eastAsia="宋体" w:cs="Times New Roman"/>
                <w:color w:val="auto"/>
                <w:sz w:val="24"/>
                <w:highlight w:val="none"/>
              </w:rPr>
              <w:t>当</w:t>
            </w:r>
            <w:r>
              <w:rPr>
                <w:rFonts w:hint="eastAsia" w:ascii="Times New Roman" w:hAnsi="Times New Roman" w:eastAsia="宋体" w:cs="Times New Roman"/>
                <w:color w:val="auto"/>
                <w:sz w:val="24"/>
                <w:highlight w:val="none"/>
              </w:rPr>
              <w:t>推导出的卫生防护距离初值在同一级别时</w:t>
            </w:r>
            <w:r>
              <w:rPr>
                <w:rFonts w:hint="default" w:ascii="Times New Roman" w:hAnsi="Times New Roman" w:eastAsia="宋体" w:cs="Times New Roman"/>
                <w:color w:val="auto"/>
                <w:sz w:val="24"/>
                <w:highlight w:val="none"/>
              </w:rPr>
              <w:t>，该企业的卫生防护距离提高一级</w:t>
            </w:r>
            <w:r>
              <w:rPr>
                <w:rFonts w:hint="eastAsia" w:ascii="Times New Roman" w:hAnsi="Times New Roman" w:eastAsia="宋体" w:cs="Times New Roman"/>
                <w:color w:val="auto"/>
                <w:sz w:val="24"/>
                <w:highlight w:val="none"/>
              </w:rPr>
              <w:t>，不在同一级别时，以卫生防护距离终值较大者为准</w:t>
            </w:r>
            <w:r>
              <w:rPr>
                <w:rFonts w:hint="default" w:ascii="Times New Roman" w:hAnsi="Times New Roman" w:eastAsia="宋体" w:cs="Times New Roman"/>
                <w:color w:val="auto"/>
                <w:sz w:val="24"/>
                <w:highlight w:val="none"/>
              </w:rPr>
              <w:t>。</w:t>
            </w:r>
          </w:p>
          <w:p w14:paraId="7025ED0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该地区的平均风速为2.63m/s，A、B、C、D值的选取见</w:t>
            </w:r>
            <w:r>
              <w:rPr>
                <w:rFonts w:hint="eastAsia" w:ascii="Times New Roman" w:hAnsi="Times New Roman" w:eastAsia="宋体" w:cs="Times New Roman"/>
                <w:color w:val="auto"/>
                <w:sz w:val="24"/>
                <w:highlight w:val="none"/>
                <w:lang w:val="en-US" w:eastAsia="zh-CN"/>
              </w:rPr>
              <w:t>下表</w:t>
            </w:r>
            <w:r>
              <w:rPr>
                <w:rFonts w:hint="default" w:ascii="Times New Roman" w:hAnsi="Times New Roman" w:eastAsia="宋体" w:cs="Times New Roman"/>
                <w:color w:val="auto"/>
                <w:sz w:val="24"/>
                <w:highlight w:val="none"/>
              </w:rPr>
              <w:t>。</w:t>
            </w:r>
          </w:p>
          <w:p w14:paraId="0B341D1A">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bCs/>
                <w:color w:val="auto"/>
                <w:sz w:val="24"/>
                <w:szCs w:val="36"/>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12</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szCs w:val="36"/>
                <w:highlight w:val="none"/>
                <w:lang w:val="en-US" w:eastAsia="zh-CN"/>
              </w:rPr>
              <w:t>卫生防护距离计算系数</w:t>
            </w:r>
          </w:p>
          <w:tbl>
            <w:tblPr>
              <w:tblStyle w:val="24"/>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8"/>
              <w:gridCol w:w="867"/>
              <w:gridCol w:w="755"/>
              <w:gridCol w:w="754"/>
              <w:gridCol w:w="756"/>
              <w:gridCol w:w="755"/>
              <w:gridCol w:w="754"/>
              <w:gridCol w:w="756"/>
              <w:gridCol w:w="755"/>
              <w:gridCol w:w="754"/>
              <w:gridCol w:w="756"/>
            </w:tblGrid>
            <w:tr w14:paraId="774D1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12" w:space="0"/>
                    <w:bottom w:val="single" w:color="auto" w:sz="4" w:space="0"/>
                    <w:right w:val="single" w:color="auto" w:sz="4" w:space="0"/>
                  </w:tcBorders>
                  <w:noWrap w:val="0"/>
                  <w:vAlign w:val="center"/>
                </w:tcPr>
                <w:p w14:paraId="3E1EE0A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计算</w:t>
                  </w:r>
                </w:p>
                <w:p w14:paraId="45F7D6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系数</w:t>
                  </w:r>
                </w:p>
              </w:tc>
              <w:tc>
                <w:tcPr>
                  <w:tcW w:w="957" w:type="dxa"/>
                  <w:vMerge w:val="restart"/>
                  <w:tcBorders>
                    <w:top w:val="single" w:color="auto" w:sz="12" w:space="0"/>
                    <w:left w:val="single" w:color="auto" w:sz="4" w:space="0"/>
                    <w:bottom w:val="single" w:color="auto" w:sz="4" w:space="0"/>
                    <w:right w:val="single" w:color="auto" w:sz="4" w:space="0"/>
                  </w:tcBorders>
                  <w:noWrap w:val="0"/>
                  <w:vAlign w:val="center"/>
                </w:tcPr>
                <w:p w14:paraId="437A948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5年平均风速</w:t>
                  </w:r>
                </w:p>
                <w:p w14:paraId="3D8E9E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m/s</w:t>
                  </w:r>
                </w:p>
              </w:tc>
              <w:tc>
                <w:tcPr>
                  <w:tcW w:w="7498" w:type="dxa"/>
                  <w:gridSpan w:val="9"/>
                  <w:tcBorders>
                    <w:top w:val="single" w:color="auto" w:sz="12" w:space="0"/>
                    <w:left w:val="single" w:color="auto" w:sz="4" w:space="0"/>
                    <w:bottom w:val="single" w:color="auto" w:sz="4" w:space="0"/>
                  </w:tcBorders>
                  <w:noWrap w:val="0"/>
                  <w:vAlign w:val="center"/>
                </w:tcPr>
                <w:p w14:paraId="768B3A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卫生防护距离L，m</w:t>
                  </w:r>
                </w:p>
              </w:tc>
            </w:tr>
            <w:tr w14:paraId="481C8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1E2615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57" w:type="dxa"/>
                  <w:vMerge w:val="continue"/>
                  <w:tcBorders>
                    <w:top w:val="single" w:color="auto" w:sz="4" w:space="0"/>
                    <w:left w:val="single" w:color="auto" w:sz="4" w:space="0"/>
                    <w:bottom w:val="single" w:color="auto" w:sz="4" w:space="0"/>
                    <w:right w:val="single" w:color="auto" w:sz="4" w:space="0"/>
                  </w:tcBorders>
                  <w:noWrap w:val="0"/>
                  <w:vAlign w:val="center"/>
                </w:tcPr>
                <w:p w14:paraId="14751E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424BD0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L≤1000</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52F43C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1000＜L≤2000</w:t>
                  </w:r>
                </w:p>
              </w:tc>
              <w:tc>
                <w:tcPr>
                  <w:tcW w:w="2500" w:type="dxa"/>
                  <w:gridSpan w:val="3"/>
                  <w:tcBorders>
                    <w:top w:val="single" w:color="auto" w:sz="4" w:space="0"/>
                    <w:left w:val="single" w:color="auto" w:sz="4" w:space="0"/>
                    <w:bottom w:val="single" w:color="auto" w:sz="4" w:space="0"/>
                  </w:tcBorders>
                  <w:noWrap w:val="0"/>
                  <w:vAlign w:val="center"/>
                </w:tcPr>
                <w:p w14:paraId="114BA5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L＞2000</w:t>
                  </w:r>
                </w:p>
              </w:tc>
            </w:tr>
            <w:tr w14:paraId="7AF07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3F20FC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57" w:type="dxa"/>
                  <w:vMerge w:val="continue"/>
                  <w:tcBorders>
                    <w:top w:val="single" w:color="auto" w:sz="4" w:space="0"/>
                    <w:left w:val="single" w:color="auto" w:sz="4" w:space="0"/>
                    <w:bottom w:val="single" w:color="auto" w:sz="4" w:space="0"/>
                    <w:right w:val="single" w:color="auto" w:sz="4" w:space="0"/>
                  </w:tcBorders>
                  <w:noWrap w:val="0"/>
                  <w:vAlign w:val="center"/>
                </w:tcPr>
                <w:p w14:paraId="753593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7498" w:type="dxa"/>
                  <w:gridSpan w:val="9"/>
                  <w:tcBorders>
                    <w:top w:val="single" w:color="auto" w:sz="4" w:space="0"/>
                    <w:left w:val="single" w:color="auto" w:sz="4" w:space="0"/>
                    <w:bottom w:val="single" w:color="auto" w:sz="4" w:space="0"/>
                  </w:tcBorders>
                  <w:noWrap w:val="0"/>
                  <w:vAlign w:val="center"/>
                </w:tcPr>
                <w:p w14:paraId="7E5E6FB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工业大气污染源构成类别</w:t>
                  </w:r>
                </w:p>
              </w:tc>
            </w:tr>
            <w:tr w14:paraId="01EB4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7EAB2D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57" w:type="dxa"/>
                  <w:vMerge w:val="continue"/>
                  <w:tcBorders>
                    <w:top w:val="single" w:color="auto" w:sz="4" w:space="0"/>
                    <w:left w:val="single" w:color="auto" w:sz="4" w:space="0"/>
                    <w:bottom w:val="single" w:color="auto" w:sz="4" w:space="0"/>
                    <w:right w:val="single" w:color="auto" w:sz="4" w:space="0"/>
                  </w:tcBorders>
                  <w:noWrap w:val="0"/>
                  <w:vAlign w:val="center"/>
                </w:tcPr>
                <w:p w14:paraId="07FC19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5AE811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3A8F9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3A56C1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504AD0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3E38C2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7CEF62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1D97CC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5E6918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w:t>
                  </w:r>
                </w:p>
              </w:tc>
              <w:tc>
                <w:tcPr>
                  <w:tcW w:w="835" w:type="dxa"/>
                  <w:tcBorders>
                    <w:top w:val="single" w:color="auto" w:sz="4" w:space="0"/>
                    <w:left w:val="single" w:color="auto" w:sz="4" w:space="0"/>
                    <w:bottom w:val="single" w:color="auto" w:sz="4" w:space="0"/>
                  </w:tcBorders>
                  <w:noWrap w:val="0"/>
                  <w:vAlign w:val="center"/>
                </w:tcPr>
                <w:p w14:paraId="3B8679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w:t>
                  </w:r>
                </w:p>
              </w:tc>
            </w:tr>
            <w:tr w14:paraId="4D4BD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4" w:space="0"/>
                    <w:bottom w:val="single" w:color="auto" w:sz="4" w:space="0"/>
                    <w:right w:val="single" w:color="auto" w:sz="4" w:space="0"/>
                  </w:tcBorders>
                  <w:noWrap w:val="0"/>
                  <w:vAlign w:val="center"/>
                </w:tcPr>
                <w:p w14:paraId="13309D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A</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E3954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731D77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0583D3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6D6F79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602501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E5CA9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0ED4AF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1D4DB7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197425E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835" w:type="dxa"/>
                  <w:tcBorders>
                    <w:top w:val="single" w:color="auto" w:sz="4" w:space="0"/>
                    <w:left w:val="single" w:color="auto" w:sz="4" w:space="0"/>
                    <w:bottom w:val="single" w:color="auto" w:sz="4" w:space="0"/>
                  </w:tcBorders>
                  <w:noWrap w:val="0"/>
                  <w:vAlign w:val="center"/>
                </w:tcPr>
                <w:p w14:paraId="5D0EC8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r>
            <w:tr w14:paraId="44649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2A842A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6AFEF4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0B8832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38E7806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470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4D68BC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2FBD2F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300C5C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470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31FFF0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4134AF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380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74088B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w:t>
                  </w:r>
                </w:p>
              </w:tc>
              <w:tc>
                <w:tcPr>
                  <w:tcW w:w="835" w:type="dxa"/>
                  <w:tcBorders>
                    <w:top w:val="single" w:color="auto" w:sz="4" w:space="0"/>
                    <w:left w:val="single" w:color="auto" w:sz="4" w:space="0"/>
                    <w:bottom w:val="single" w:color="auto" w:sz="4" w:space="0"/>
                  </w:tcBorders>
                  <w:noWrap w:val="0"/>
                  <w:vAlign w:val="center"/>
                </w:tcPr>
                <w:p w14:paraId="352B6A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190</w:t>
                  </w:r>
                </w:p>
              </w:tc>
            </w:tr>
            <w:tr w14:paraId="75E05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5FD4A7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55F05A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725BBD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530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004A0E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05D308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175E8F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530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60B9D8A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w:t>
                  </w:r>
                </w:p>
              </w:tc>
              <w:tc>
                <w:tcPr>
                  <w:tcW w:w="834" w:type="dxa"/>
                  <w:tcBorders>
                    <w:top w:val="single" w:color="auto" w:sz="4" w:space="0"/>
                    <w:left w:val="single" w:color="auto" w:sz="4" w:space="0"/>
                    <w:bottom w:val="single" w:color="auto" w:sz="4" w:space="0"/>
                    <w:right w:val="single" w:color="auto" w:sz="4" w:space="0"/>
                  </w:tcBorders>
                  <w:noWrap w:val="0"/>
                  <w:vAlign w:val="center"/>
                </w:tcPr>
                <w:p w14:paraId="5B8349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260</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1CC916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290</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27168D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190</w:t>
                  </w:r>
                </w:p>
              </w:tc>
              <w:tc>
                <w:tcPr>
                  <w:tcW w:w="835" w:type="dxa"/>
                  <w:tcBorders>
                    <w:top w:val="single" w:color="auto" w:sz="4" w:space="0"/>
                    <w:left w:val="single" w:color="auto" w:sz="4" w:space="0"/>
                    <w:bottom w:val="single" w:color="auto" w:sz="4" w:space="0"/>
                  </w:tcBorders>
                  <w:noWrap w:val="0"/>
                  <w:vAlign w:val="center"/>
                </w:tcPr>
                <w:p w14:paraId="21A78B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140</w:t>
                  </w:r>
                </w:p>
              </w:tc>
            </w:tr>
            <w:tr w14:paraId="728F5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4" w:space="0"/>
                    <w:bottom w:val="single" w:color="auto" w:sz="4" w:space="0"/>
                    <w:right w:val="single" w:color="auto" w:sz="4" w:space="0"/>
                  </w:tcBorders>
                  <w:noWrap w:val="0"/>
                  <w:vAlign w:val="center"/>
                </w:tcPr>
                <w:p w14:paraId="6AE3E4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B</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3D9F90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1321F3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5BD31D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0.015</w:t>
                  </w:r>
                </w:p>
              </w:tc>
              <w:tc>
                <w:tcPr>
                  <w:tcW w:w="2500" w:type="dxa"/>
                  <w:gridSpan w:val="3"/>
                  <w:tcBorders>
                    <w:top w:val="single" w:color="auto" w:sz="4" w:space="0"/>
                    <w:left w:val="single" w:color="auto" w:sz="4" w:space="0"/>
                    <w:bottom w:val="single" w:color="auto" w:sz="4" w:space="0"/>
                  </w:tcBorders>
                  <w:noWrap w:val="0"/>
                  <w:vAlign w:val="center"/>
                </w:tcPr>
                <w:p w14:paraId="6CFEDF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0.015</w:t>
                  </w:r>
                </w:p>
              </w:tc>
            </w:tr>
            <w:tr w14:paraId="33C71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69C490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3789DD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49CC3F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0.021</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6CEB35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0.036</w:t>
                  </w:r>
                </w:p>
              </w:tc>
              <w:tc>
                <w:tcPr>
                  <w:tcW w:w="2500" w:type="dxa"/>
                  <w:gridSpan w:val="3"/>
                  <w:tcBorders>
                    <w:top w:val="single" w:color="auto" w:sz="4" w:space="0"/>
                    <w:left w:val="single" w:color="auto" w:sz="4" w:space="0"/>
                    <w:bottom w:val="single" w:color="auto" w:sz="4" w:space="0"/>
                  </w:tcBorders>
                  <w:noWrap w:val="0"/>
                  <w:vAlign w:val="center"/>
                </w:tcPr>
                <w:p w14:paraId="40AB02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0.036</w:t>
                  </w:r>
                </w:p>
              </w:tc>
            </w:tr>
            <w:tr w14:paraId="6EEF9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4" w:space="0"/>
                    <w:bottom w:val="single" w:color="auto" w:sz="4" w:space="0"/>
                    <w:right w:val="single" w:color="auto" w:sz="4" w:space="0"/>
                  </w:tcBorders>
                  <w:noWrap w:val="0"/>
                  <w:vAlign w:val="center"/>
                </w:tcPr>
                <w:p w14:paraId="0ECA2D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E251B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1E2285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1.85</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4D71F2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1.79</w:t>
                  </w:r>
                </w:p>
              </w:tc>
              <w:tc>
                <w:tcPr>
                  <w:tcW w:w="2500" w:type="dxa"/>
                  <w:gridSpan w:val="3"/>
                  <w:tcBorders>
                    <w:top w:val="single" w:color="auto" w:sz="4" w:space="0"/>
                    <w:left w:val="single" w:color="auto" w:sz="4" w:space="0"/>
                    <w:bottom w:val="single" w:color="auto" w:sz="4" w:space="0"/>
                  </w:tcBorders>
                  <w:noWrap w:val="0"/>
                  <w:vAlign w:val="center"/>
                </w:tcPr>
                <w:p w14:paraId="282F86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1.79</w:t>
                  </w:r>
                </w:p>
              </w:tc>
            </w:tr>
            <w:tr w14:paraId="4E5E4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4" w:space="0"/>
                    <w:right w:val="single" w:color="auto" w:sz="4" w:space="0"/>
                  </w:tcBorders>
                  <w:noWrap w:val="0"/>
                  <w:vAlign w:val="center"/>
                </w:tcPr>
                <w:p w14:paraId="246493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3B5DB6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3F7C60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1.85</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4141BD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1.77</w:t>
                  </w:r>
                </w:p>
              </w:tc>
              <w:tc>
                <w:tcPr>
                  <w:tcW w:w="2500" w:type="dxa"/>
                  <w:gridSpan w:val="3"/>
                  <w:tcBorders>
                    <w:top w:val="single" w:color="auto" w:sz="4" w:space="0"/>
                    <w:left w:val="single" w:color="auto" w:sz="4" w:space="0"/>
                    <w:bottom w:val="single" w:color="auto" w:sz="4" w:space="0"/>
                  </w:tcBorders>
                  <w:noWrap w:val="0"/>
                  <w:vAlign w:val="center"/>
                </w:tcPr>
                <w:p w14:paraId="38D2DA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1.77</w:t>
                  </w:r>
                </w:p>
              </w:tc>
            </w:tr>
            <w:tr w14:paraId="08AC9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restart"/>
                  <w:tcBorders>
                    <w:top w:val="single" w:color="auto" w:sz="4" w:space="0"/>
                    <w:bottom w:val="single" w:color="auto" w:sz="4" w:space="0"/>
                    <w:right w:val="single" w:color="auto" w:sz="4" w:space="0"/>
                  </w:tcBorders>
                  <w:noWrap w:val="0"/>
                  <w:vAlign w:val="center"/>
                </w:tcPr>
                <w:p w14:paraId="1EED39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473F29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27804D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0.78</w:t>
                  </w:r>
                </w:p>
              </w:tc>
              <w:tc>
                <w:tcPr>
                  <w:tcW w:w="2499" w:type="dxa"/>
                  <w:gridSpan w:val="3"/>
                  <w:tcBorders>
                    <w:top w:val="single" w:color="auto" w:sz="4" w:space="0"/>
                    <w:left w:val="single" w:color="auto" w:sz="4" w:space="0"/>
                    <w:bottom w:val="single" w:color="auto" w:sz="4" w:space="0"/>
                    <w:right w:val="single" w:color="auto" w:sz="4" w:space="0"/>
                  </w:tcBorders>
                  <w:noWrap w:val="0"/>
                  <w:vAlign w:val="center"/>
                </w:tcPr>
                <w:p w14:paraId="104C2C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0.78</w:t>
                  </w:r>
                </w:p>
              </w:tc>
              <w:tc>
                <w:tcPr>
                  <w:tcW w:w="2500" w:type="dxa"/>
                  <w:gridSpan w:val="3"/>
                  <w:tcBorders>
                    <w:top w:val="single" w:color="auto" w:sz="4" w:space="0"/>
                    <w:left w:val="single" w:color="auto" w:sz="4" w:space="0"/>
                    <w:bottom w:val="single" w:color="auto" w:sz="4" w:space="0"/>
                  </w:tcBorders>
                  <w:noWrap w:val="0"/>
                  <w:vAlign w:val="center"/>
                </w:tcPr>
                <w:p w14:paraId="420A7C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0.57</w:t>
                  </w:r>
                </w:p>
              </w:tc>
            </w:tr>
            <w:tr w14:paraId="6C47B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16" w:type="dxa"/>
                  <w:vMerge w:val="continue"/>
                  <w:tcBorders>
                    <w:top w:val="single" w:color="auto" w:sz="4" w:space="0"/>
                    <w:bottom w:val="single" w:color="auto" w:sz="12" w:space="0"/>
                    <w:right w:val="single" w:color="auto" w:sz="4" w:space="0"/>
                  </w:tcBorders>
                  <w:noWrap w:val="0"/>
                  <w:vAlign w:val="center"/>
                </w:tcPr>
                <w:p w14:paraId="42D43B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957" w:type="dxa"/>
                  <w:tcBorders>
                    <w:top w:val="single" w:color="auto" w:sz="4" w:space="0"/>
                    <w:left w:val="single" w:color="auto" w:sz="4" w:space="0"/>
                    <w:bottom w:val="single" w:color="auto" w:sz="12" w:space="0"/>
                    <w:right w:val="single" w:color="auto" w:sz="4" w:space="0"/>
                  </w:tcBorders>
                  <w:noWrap w:val="0"/>
                  <w:vAlign w:val="center"/>
                </w:tcPr>
                <w:p w14:paraId="1AB0F0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499" w:type="dxa"/>
                  <w:gridSpan w:val="3"/>
                  <w:tcBorders>
                    <w:top w:val="single" w:color="auto" w:sz="4" w:space="0"/>
                    <w:left w:val="single" w:color="auto" w:sz="4" w:space="0"/>
                    <w:bottom w:val="single" w:color="auto" w:sz="12" w:space="0"/>
                    <w:right w:val="single" w:color="auto" w:sz="4" w:space="0"/>
                  </w:tcBorders>
                  <w:noWrap w:val="0"/>
                  <w:vAlign w:val="center"/>
                </w:tcPr>
                <w:p w14:paraId="61D349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0.84</w:t>
                  </w:r>
                </w:p>
              </w:tc>
              <w:tc>
                <w:tcPr>
                  <w:tcW w:w="2499" w:type="dxa"/>
                  <w:gridSpan w:val="3"/>
                  <w:tcBorders>
                    <w:top w:val="single" w:color="auto" w:sz="4" w:space="0"/>
                    <w:left w:val="single" w:color="auto" w:sz="4" w:space="0"/>
                    <w:bottom w:val="single" w:color="auto" w:sz="12" w:space="0"/>
                    <w:right w:val="single" w:color="auto" w:sz="4" w:space="0"/>
                  </w:tcBorders>
                  <w:noWrap w:val="0"/>
                  <w:vAlign w:val="center"/>
                </w:tcPr>
                <w:p w14:paraId="06674E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0.84</w:t>
                  </w:r>
                </w:p>
              </w:tc>
              <w:tc>
                <w:tcPr>
                  <w:tcW w:w="2500" w:type="dxa"/>
                  <w:gridSpan w:val="3"/>
                  <w:tcBorders>
                    <w:top w:val="single" w:color="auto" w:sz="4" w:space="0"/>
                    <w:left w:val="single" w:color="auto" w:sz="4" w:space="0"/>
                    <w:bottom w:val="single" w:color="auto" w:sz="12" w:space="0"/>
                  </w:tcBorders>
                  <w:noWrap w:val="0"/>
                  <w:vAlign w:val="center"/>
                </w:tcPr>
                <w:p w14:paraId="3D319C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0.76</w:t>
                  </w:r>
                </w:p>
              </w:tc>
            </w:tr>
          </w:tbl>
          <w:p w14:paraId="16FC014A">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注：工业企业大气污染源构成分为三类：</w:t>
            </w:r>
          </w:p>
          <w:p w14:paraId="39025565">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Ⅰ类：与无组织排放源共存的排放同种有害气体的排气筒的排放量，大于标准规定的允许排放量的三分之一者。</w:t>
            </w:r>
          </w:p>
          <w:p w14:paraId="3F863722">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Ⅱ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14:paraId="37A9F1A8">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Ⅲ类：无排放同种有害物质的排气筒与无组织排放源共存，且无组织排放的有害物质容许浓度是按慢性反应指标确定者。</w:t>
            </w:r>
          </w:p>
          <w:p w14:paraId="715ED020">
            <w:pPr>
              <w:keepNext w:val="0"/>
              <w:keepLines w:val="0"/>
              <w:suppressLineNumbers w:val="0"/>
              <w:snapToGrid w:val="0"/>
              <w:spacing w:before="120" w:beforeLines="50" w:beforeAutospacing="0" w:after="0" w:afterAutospacing="0"/>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rPr>
              <w:t>卫生防护距离见</w:t>
            </w:r>
            <w:r>
              <w:rPr>
                <w:rFonts w:hint="eastAsia" w:ascii="Times New Roman" w:hAnsi="Times New Roman" w:eastAsia="宋体" w:cs="Times New Roman"/>
                <w:color w:val="auto"/>
                <w:sz w:val="24"/>
                <w:highlight w:val="none"/>
                <w:lang w:val="en-US" w:eastAsia="zh-CN"/>
              </w:rPr>
              <w:t>下表</w:t>
            </w:r>
            <w:r>
              <w:rPr>
                <w:rFonts w:hint="default" w:ascii="Times New Roman" w:hAnsi="Times New Roman" w:eastAsia="宋体" w:cs="Times New Roman"/>
                <w:color w:val="auto"/>
                <w:sz w:val="24"/>
                <w:highlight w:val="none"/>
              </w:rPr>
              <w:t>。</w:t>
            </w:r>
          </w:p>
          <w:p w14:paraId="2EABE60D">
            <w:pPr>
              <w:keepNext w:val="0"/>
              <w:keepLines w:val="0"/>
              <w:suppressLineNumbers w:val="0"/>
              <w:snapToGrid w:val="0"/>
              <w:spacing w:before="120" w:beforeLines="50" w:beforeAutospacing="0" w:after="0" w:afterAutospacing="0"/>
              <w:ind w:left="0" w:right="0" w:firstLine="480" w:firstLineChars="200"/>
              <w:rPr>
                <w:rFonts w:hint="default" w:ascii="Times New Roman" w:hAnsi="Times New Roman" w:eastAsia="宋体" w:cs="Times New Roman"/>
                <w:color w:val="auto"/>
                <w:sz w:val="24"/>
                <w:highlight w:val="none"/>
              </w:rPr>
            </w:pPr>
          </w:p>
          <w:p w14:paraId="6C7E339D">
            <w:pPr>
              <w:keepNext w:val="0"/>
              <w:keepLines w:val="0"/>
              <w:suppressLineNumbers w:val="0"/>
              <w:snapToGrid w:val="0"/>
              <w:spacing w:before="120" w:beforeLines="50" w:beforeAutospacing="0" w:after="0" w:afterAutospacing="0"/>
              <w:ind w:left="0" w:right="0" w:firstLine="480" w:firstLineChars="200"/>
              <w:rPr>
                <w:rFonts w:hint="default" w:ascii="Times New Roman" w:hAnsi="Times New Roman" w:eastAsia="宋体" w:cs="Times New Roman"/>
                <w:color w:val="auto"/>
                <w:sz w:val="24"/>
                <w:highlight w:val="none"/>
              </w:rPr>
            </w:pPr>
          </w:p>
          <w:p w14:paraId="3212988D">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104ABDC5">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13 </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本项目卫生防护距离计算表</w:t>
            </w:r>
          </w:p>
          <w:tbl>
            <w:tblPr>
              <w:tblStyle w:val="24"/>
              <w:tblW w:w="8230"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1073"/>
              <w:gridCol w:w="848"/>
              <w:gridCol w:w="1094"/>
              <w:gridCol w:w="890"/>
              <w:gridCol w:w="570"/>
              <w:gridCol w:w="750"/>
              <w:gridCol w:w="615"/>
              <w:gridCol w:w="660"/>
              <w:gridCol w:w="870"/>
              <w:gridCol w:w="495"/>
              <w:gridCol w:w="365"/>
            </w:tblGrid>
            <w:tr w14:paraId="60A0EE8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610" w:hRule="atLeast"/>
                <w:jc w:val="center"/>
              </w:trPr>
              <w:tc>
                <w:tcPr>
                  <w:tcW w:w="1073" w:type="dxa"/>
                  <w:vMerge w:val="restart"/>
                  <w:noWrap w:val="0"/>
                  <w:vAlign w:val="center"/>
                </w:tcPr>
                <w:p w14:paraId="371247B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污染源位置</w:t>
                  </w:r>
                </w:p>
              </w:tc>
              <w:tc>
                <w:tcPr>
                  <w:tcW w:w="848" w:type="dxa"/>
                  <w:vMerge w:val="restart"/>
                  <w:noWrap w:val="0"/>
                  <w:vAlign w:val="center"/>
                </w:tcPr>
                <w:p w14:paraId="30AAA1C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1094" w:type="dxa"/>
                  <w:vMerge w:val="restart"/>
                  <w:noWrap w:val="0"/>
                  <w:vAlign w:val="center"/>
                </w:tcPr>
                <w:p w14:paraId="58456D9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Q</w:t>
                  </w:r>
                  <w:r>
                    <w:rPr>
                      <w:rFonts w:hint="default" w:ascii="Times New Roman" w:hAnsi="Times New Roman" w:eastAsia="宋体" w:cs="Times New Roman"/>
                      <w:b/>
                      <w:bCs/>
                      <w:color w:val="auto"/>
                      <w:sz w:val="21"/>
                      <w:szCs w:val="21"/>
                      <w:highlight w:val="none"/>
                      <w:vertAlign w:val="subscript"/>
                    </w:rPr>
                    <w:t>c</w:t>
                  </w:r>
                </w:p>
                <w:p w14:paraId="7395A29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890" w:type="dxa"/>
                  <w:vMerge w:val="restart"/>
                  <w:noWrap w:val="0"/>
                  <w:vAlign w:val="center"/>
                </w:tcPr>
                <w:p w14:paraId="2913BB4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w:t>
                  </w:r>
                  <w:r>
                    <w:rPr>
                      <w:rFonts w:hint="default" w:ascii="Times New Roman" w:hAnsi="Times New Roman" w:eastAsia="宋体" w:cs="Times New Roman"/>
                      <w:b/>
                      <w:bCs/>
                      <w:color w:val="auto"/>
                      <w:sz w:val="21"/>
                      <w:szCs w:val="21"/>
                      <w:highlight w:val="none"/>
                      <w:vertAlign w:val="subscript"/>
                    </w:rPr>
                    <w:t>m</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570" w:type="dxa"/>
                  <w:vMerge w:val="restart"/>
                  <w:noWrap w:val="0"/>
                  <w:vAlign w:val="center"/>
                </w:tcPr>
                <w:p w14:paraId="04E5536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A</w:t>
                  </w:r>
                </w:p>
              </w:tc>
              <w:tc>
                <w:tcPr>
                  <w:tcW w:w="750" w:type="dxa"/>
                  <w:vMerge w:val="restart"/>
                  <w:noWrap w:val="0"/>
                  <w:vAlign w:val="center"/>
                </w:tcPr>
                <w:p w14:paraId="23B8909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B</w:t>
                  </w:r>
                </w:p>
              </w:tc>
              <w:tc>
                <w:tcPr>
                  <w:tcW w:w="615" w:type="dxa"/>
                  <w:vMerge w:val="restart"/>
                  <w:noWrap w:val="0"/>
                  <w:vAlign w:val="center"/>
                </w:tcPr>
                <w:p w14:paraId="4440A08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w:t>
                  </w:r>
                </w:p>
              </w:tc>
              <w:tc>
                <w:tcPr>
                  <w:tcW w:w="660" w:type="dxa"/>
                  <w:vMerge w:val="restart"/>
                  <w:noWrap w:val="0"/>
                  <w:vAlign w:val="center"/>
                </w:tcPr>
                <w:p w14:paraId="7659725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w:t>
                  </w:r>
                </w:p>
              </w:tc>
              <w:tc>
                <w:tcPr>
                  <w:tcW w:w="1730" w:type="dxa"/>
                  <w:gridSpan w:val="3"/>
                  <w:noWrap w:val="0"/>
                  <w:vAlign w:val="center"/>
                </w:tcPr>
                <w:p w14:paraId="734E927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卫生防护距</w:t>
                  </w:r>
                  <w:r>
                    <w:rPr>
                      <w:rFonts w:hint="eastAsia" w:ascii="Times New Roman" w:hAnsi="Times New Roman" w:eastAsia="宋体" w:cs="Times New Roman"/>
                      <w:b/>
                      <w:bCs/>
                      <w:color w:val="auto"/>
                      <w:sz w:val="21"/>
                      <w:szCs w:val="21"/>
                      <w:highlight w:val="none"/>
                    </w:rPr>
                    <w:t>离</w:t>
                  </w:r>
                  <w:r>
                    <w:rPr>
                      <w:rFonts w:hint="default" w:ascii="Times New Roman" w:hAnsi="Times New Roman" w:eastAsia="宋体" w:cs="Times New Roman"/>
                      <w:b/>
                      <w:bCs/>
                      <w:color w:val="auto"/>
                      <w:sz w:val="21"/>
                      <w:szCs w:val="21"/>
                      <w:highlight w:val="none"/>
                    </w:rPr>
                    <w:t>（m）</w:t>
                  </w:r>
                </w:p>
              </w:tc>
            </w:tr>
            <w:tr w14:paraId="432A8198">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296" w:hRule="atLeast"/>
                <w:jc w:val="center"/>
              </w:trPr>
              <w:tc>
                <w:tcPr>
                  <w:tcW w:w="1073" w:type="dxa"/>
                  <w:vMerge w:val="continue"/>
                  <w:noWrap w:val="0"/>
                  <w:vAlign w:val="center"/>
                </w:tcPr>
                <w:p w14:paraId="2AED7B7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848" w:type="dxa"/>
                  <w:vMerge w:val="continue"/>
                  <w:noWrap w:val="0"/>
                  <w:vAlign w:val="center"/>
                </w:tcPr>
                <w:p w14:paraId="371BEC7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1094" w:type="dxa"/>
                  <w:vMerge w:val="continue"/>
                  <w:noWrap w:val="0"/>
                  <w:vAlign w:val="center"/>
                </w:tcPr>
                <w:p w14:paraId="46E3042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890" w:type="dxa"/>
                  <w:vMerge w:val="continue"/>
                  <w:noWrap w:val="0"/>
                  <w:vAlign w:val="center"/>
                </w:tcPr>
                <w:p w14:paraId="388F488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570" w:type="dxa"/>
                  <w:vMerge w:val="continue"/>
                  <w:noWrap w:val="0"/>
                  <w:vAlign w:val="center"/>
                </w:tcPr>
                <w:p w14:paraId="47528DE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750" w:type="dxa"/>
                  <w:vMerge w:val="continue"/>
                  <w:noWrap w:val="0"/>
                  <w:vAlign w:val="center"/>
                </w:tcPr>
                <w:p w14:paraId="0A90667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615" w:type="dxa"/>
                  <w:vMerge w:val="continue"/>
                  <w:noWrap w:val="0"/>
                  <w:vAlign w:val="center"/>
                </w:tcPr>
                <w:p w14:paraId="52D2ED0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660" w:type="dxa"/>
                  <w:vMerge w:val="continue"/>
                  <w:noWrap w:val="0"/>
                  <w:vAlign w:val="center"/>
                </w:tcPr>
                <w:p w14:paraId="39CA1F7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highlight w:val="none"/>
                    </w:rPr>
                  </w:pPr>
                </w:p>
              </w:tc>
              <w:tc>
                <w:tcPr>
                  <w:tcW w:w="870" w:type="dxa"/>
                  <w:noWrap w:val="0"/>
                  <w:vAlign w:val="center"/>
                </w:tcPr>
                <w:p w14:paraId="32BCF8B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w:t>
                  </w:r>
                  <w:r>
                    <w:rPr>
                      <w:rFonts w:hint="default" w:ascii="Times New Roman" w:hAnsi="Times New Roman" w:eastAsia="宋体" w:cs="Times New Roman"/>
                      <w:b/>
                      <w:bCs/>
                      <w:color w:val="auto"/>
                      <w:sz w:val="21"/>
                      <w:szCs w:val="21"/>
                      <w:highlight w:val="none"/>
                      <w:vertAlign w:val="subscript"/>
                    </w:rPr>
                    <w:t>计</w:t>
                  </w:r>
                </w:p>
              </w:tc>
              <w:tc>
                <w:tcPr>
                  <w:tcW w:w="860" w:type="dxa"/>
                  <w:gridSpan w:val="2"/>
                  <w:noWrap w:val="0"/>
                  <w:vAlign w:val="center"/>
                </w:tcPr>
                <w:p w14:paraId="1F5D099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L</w:t>
                  </w:r>
                </w:p>
              </w:tc>
            </w:tr>
            <w:tr w14:paraId="63E82A6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94" w:hRule="atLeast"/>
                <w:jc w:val="center"/>
              </w:trPr>
              <w:tc>
                <w:tcPr>
                  <w:tcW w:w="1073" w:type="dxa"/>
                  <w:noWrap w:val="0"/>
                  <w:vAlign w:val="center"/>
                </w:tcPr>
                <w:p w14:paraId="6F421AE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生产车间1号楼</w:t>
                  </w:r>
                </w:p>
              </w:tc>
              <w:tc>
                <w:tcPr>
                  <w:tcW w:w="848" w:type="dxa"/>
                  <w:noWrap w:val="0"/>
                  <w:vAlign w:val="center"/>
                </w:tcPr>
                <w:p w14:paraId="6460372E">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1094" w:type="dxa"/>
                  <w:noWrap w:val="0"/>
                  <w:vAlign w:val="center"/>
                </w:tcPr>
                <w:p w14:paraId="2304B5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0.0338</w:t>
                  </w:r>
                </w:p>
              </w:tc>
              <w:tc>
                <w:tcPr>
                  <w:tcW w:w="890" w:type="dxa"/>
                  <w:noWrap w:val="0"/>
                  <w:vAlign w:val="center"/>
                </w:tcPr>
                <w:p w14:paraId="73C4D3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570" w:type="dxa"/>
                  <w:noWrap w:val="0"/>
                  <w:vAlign w:val="center"/>
                </w:tcPr>
                <w:p w14:paraId="701908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highlight w:val="none"/>
                      <w:lang w:val="en-US" w:eastAsia="zh-CN"/>
                    </w:rPr>
                    <w:t>470</w:t>
                  </w:r>
                </w:p>
              </w:tc>
              <w:tc>
                <w:tcPr>
                  <w:tcW w:w="750" w:type="dxa"/>
                  <w:noWrap w:val="0"/>
                  <w:vAlign w:val="center"/>
                </w:tcPr>
                <w:p w14:paraId="45E5F4A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highlight w:val="none"/>
                      <w:lang w:val="en-US" w:eastAsia="zh-CN"/>
                    </w:rPr>
                    <w:t>0.021</w:t>
                  </w:r>
                </w:p>
              </w:tc>
              <w:tc>
                <w:tcPr>
                  <w:tcW w:w="615" w:type="dxa"/>
                  <w:noWrap w:val="0"/>
                  <w:vAlign w:val="center"/>
                </w:tcPr>
                <w:p w14:paraId="0317CE7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lang w:val="en-US" w:eastAsia="zh-CN"/>
                    </w:rPr>
                    <w:t>1.85</w:t>
                  </w:r>
                </w:p>
              </w:tc>
              <w:tc>
                <w:tcPr>
                  <w:tcW w:w="660" w:type="dxa"/>
                  <w:noWrap w:val="0"/>
                  <w:vAlign w:val="center"/>
                </w:tcPr>
                <w:p w14:paraId="323862B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highlight w:val="none"/>
                      <w:lang w:val="en-US" w:eastAsia="zh-CN"/>
                    </w:rPr>
                    <w:t>0.84</w:t>
                  </w:r>
                </w:p>
              </w:tc>
              <w:tc>
                <w:tcPr>
                  <w:tcW w:w="870" w:type="dxa"/>
                  <w:noWrap w:val="0"/>
                  <w:vAlign w:val="center"/>
                </w:tcPr>
                <w:p w14:paraId="01470F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2.166</w:t>
                  </w:r>
                </w:p>
              </w:tc>
              <w:tc>
                <w:tcPr>
                  <w:tcW w:w="860" w:type="dxa"/>
                  <w:gridSpan w:val="2"/>
                  <w:noWrap w:val="0"/>
                  <w:vAlign w:val="center"/>
                </w:tcPr>
                <w:p w14:paraId="0ECEC2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50</w:t>
                  </w:r>
                </w:p>
              </w:tc>
            </w:tr>
            <w:tr w14:paraId="5DFE4965">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214" w:hRule="atLeast"/>
                <w:jc w:val="center"/>
              </w:trPr>
              <w:tc>
                <w:tcPr>
                  <w:tcW w:w="1073" w:type="dxa"/>
                  <w:noWrap w:val="0"/>
                  <w:vAlign w:val="center"/>
                </w:tcPr>
                <w:p w14:paraId="3BFF2B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生产车间2号楼</w:t>
                  </w:r>
                </w:p>
              </w:tc>
              <w:tc>
                <w:tcPr>
                  <w:tcW w:w="848" w:type="dxa"/>
                  <w:noWrap w:val="0"/>
                  <w:vAlign w:val="center"/>
                </w:tcPr>
                <w:p w14:paraId="38048D2E">
                  <w:pPr>
                    <w:keepNext w:val="0"/>
                    <w:keepLines w:val="0"/>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1094" w:type="dxa"/>
                  <w:noWrap w:val="0"/>
                  <w:vAlign w:val="center"/>
                </w:tcPr>
                <w:p w14:paraId="41297B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0.0338</w:t>
                  </w:r>
                </w:p>
              </w:tc>
              <w:tc>
                <w:tcPr>
                  <w:tcW w:w="890" w:type="dxa"/>
                  <w:noWrap w:val="0"/>
                  <w:vAlign w:val="center"/>
                </w:tcPr>
                <w:p w14:paraId="3FEC0C3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570" w:type="dxa"/>
                  <w:noWrap w:val="0"/>
                  <w:vAlign w:val="center"/>
                </w:tcPr>
                <w:p w14:paraId="4D67787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highlight w:val="none"/>
                      <w:lang w:val="en-US" w:eastAsia="zh-CN"/>
                    </w:rPr>
                    <w:t>470</w:t>
                  </w:r>
                </w:p>
              </w:tc>
              <w:tc>
                <w:tcPr>
                  <w:tcW w:w="750" w:type="dxa"/>
                  <w:noWrap w:val="0"/>
                  <w:vAlign w:val="center"/>
                </w:tcPr>
                <w:p w14:paraId="3E45CA3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cs="Times New Roman"/>
                      <w:color w:val="auto"/>
                      <w:highlight w:val="none"/>
                      <w:lang w:val="en-US" w:eastAsia="zh-CN"/>
                    </w:rPr>
                    <w:t>0.021</w:t>
                  </w:r>
                </w:p>
              </w:tc>
              <w:tc>
                <w:tcPr>
                  <w:tcW w:w="615" w:type="dxa"/>
                  <w:noWrap w:val="0"/>
                  <w:vAlign w:val="center"/>
                </w:tcPr>
                <w:p w14:paraId="171AFA8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lang w:val="en-US" w:eastAsia="zh-CN"/>
                    </w:rPr>
                    <w:t>1.85</w:t>
                  </w:r>
                </w:p>
              </w:tc>
              <w:tc>
                <w:tcPr>
                  <w:tcW w:w="660" w:type="dxa"/>
                  <w:noWrap w:val="0"/>
                  <w:vAlign w:val="center"/>
                </w:tcPr>
                <w:p w14:paraId="019B9BD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highlight w:val="none"/>
                      <w:lang w:val="en-US" w:eastAsia="zh-CN"/>
                    </w:rPr>
                    <w:t>0.84</w:t>
                  </w:r>
                </w:p>
              </w:tc>
              <w:tc>
                <w:tcPr>
                  <w:tcW w:w="870" w:type="dxa"/>
                  <w:noWrap w:val="0"/>
                  <w:vAlign w:val="center"/>
                </w:tcPr>
                <w:p w14:paraId="653FAC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2.166</w:t>
                  </w:r>
                </w:p>
              </w:tc>
              <w:tc>
                <w:tcPr>
                  <w:tcW w:w="860" w:type="dxa"/>
                  <w:gridSpan w:val="2"/>
                  <w:noWrap w:val="0"/>
                  <w:vAlign w:val="center"/>
                </w:tcPr>
                <w:p w14:paraId="4D88294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50</w:t>
                  </w:r>
                </w:p>
              </w:tc>
            </w:tr>
            <w:tr w14:paraId="27CC44B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90" w:hRule="atLeast"/>
                <w:jc w:val="center"/>
              </w:trPr>
              <w:tc>
                <w:tcPr>
                  <w:tcW w:w="1073" w:type="dxa"/>
                  <w:vMerge w:val="restart"/>
                  <w:noWrap w:val="0"/>
                  <w:vAlign w:val="center"/>
                </w:tcPr>
                <w:p w14:paraId="31A2B7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生产车间3号楼</w:t>
                  </w:r>
                </w:p>
              </w:tc>
              <w:tc>
                <w:tcPr>
                  <w:tcW w:w="848" w:type="dxa"/>
                  <w:noWrap w:val="0"/>
                  <w:vAlign w:val="center"/>
                </w:tcPr>
                <w:p w14:paraId="12515A08">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酚类</w:t>
                  </w:r>
                </w:p>
              </w:tc>
              <w:tc>
                <w:tcPr>
                  <w:tcW w:w="1094" w:type="dxa"/>
                  <w:noWrap w:val="0"/>
                  <w:vAlign w:val="center"/>
                </w:tcPr>
                <w:p w14:paraId="11B0DC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0.00073</w:t>
                  </w:r>
                </w:p>
              </w:tc>
              <w:tc>
                <w:tcPr>
                  <w:tcW w:w="890" w:type="dxa"/>
                  <w:noWrap w:val="0"/>
                  <w:vAlign w:val="center"/>
                </w:tcPr>
                <w:p w14:paraId="7634F6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pacing w:val="0"/>
                      <w:kern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0.01</w:t>
                  </w:r>
                </w:p>
              </w:tc>
              <w:tc>
                <w:tcPr>
                  <w:tcW w:w="570" w:type="dxa"/>
                  <w:noWrap w:val="0"/>
                  <w:vAlign w:val="center"/>
                </w:tcPr>
                <w:p w14:paraId="203D4B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470</w:t>
                  </w:r>
                </w:p>
              </w:tc>
              <w:tc>
                <w:tcPr>
                  <w:tcW w:w="750" w:type="dxa"/>
                  <w:noWrap w:val="0"/>
                  <w:vAlign w:val="center"/>
                </w:tcPr>
                <w:p w14:paraId="593D50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highlight w:val="none"/>
                      <w:lang w:val="en-US" w:eastAsia="zh-CN"/>
                    </w:rPr>
                    <w:t>0.021</w:t>
                  </w:r>
                </w:p>
              </w:tc>
              <w:tc>
                <w:tcPr>
                  <w:tcW w:w="615" w:type="dxa"/>
                  <w:noWrap w:val="0"/>
                  <w:vAlign w:val="center"/>
                </w:tcPr>
                <w:p w14:paraId="58BAAC5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lang w:val="en-US" w:eastAsia="zh-CN"/>
                    </w:rPr>
                    <w:t>1.85</w:t>
                  </w:r>
                </w:p>
              </w:tc>
              <w:tc>
                <w:tcPr>
                  <w:tcW w:w="660" w:type="dxa"/>
                  <w:noWrap w:val="0"/>
                  <w:vAlign w:val="center"/>
                </w:tcPr>
                <w:p w14:paraId="1B55C3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highlight w:val="none"/>
                      <w:lang w:val="en-US" w:eastAsia="zh-CN"/>
                    </w:rPr>
                    <w:t>0.84</w:t>
                  </w:r>
                </w:p>
              </w:tc>
              <w:tc>
                <w:tcPr>
                  <w:tcW w:w="870" w:type="dxa"/>
                  <w:noWrap w:val="0"/>
                  <w:vAlign w:val="center"/>
                </w:tcPr>
                <w:p w14:paraId="5C1F02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2.093</w:t>
                  </w:r>
                </w:p>
              </w:tc>
              <w:tc>
                <w:tcPr>
                  <w:tcW w:w="495" w:type="dxa"/>
                  <w:tcBorders>
                    <w:right w:val="single" w:color="auto" w:sz="4" w:space="0"/>
                  </w:tcBorders>
                  <w:noWrap w:val="0"/>
                  <w:vAlign w:val="center"/>
                </w:tcPr>
                <w:p w14:paraId="5FC44C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365" w:type="dxa"/>
                  <w:vMerge w:val="restart"/>
                  <w:tcBorders>
                    <w:left w:val="single" w:color="auto" w:sz="4" w:space="0"/>
                  </w:tcBorders>
                  <w:noWrap w:val="0"/>
                  <w:vAlign w:val="center"/>
                </w:tcPr>
                <w:p w14:paraId="546EC8BB">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r>
            <w:tr w14:paraId="41CCF48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90" w:hRule="atLeast"/>
                <w:jc w:val="center"/>
              </w:trPr>
              <w:tc>
                <w:tcPr>
                  <w:tcW w:w="1073" w:type="dxa"/>
                  <w:vMerge w:val="continue"/>
                  <w:noWrap w:val="0"/>
                  <w:vAlign w:val="center"/>
                </w:tcPr>
                <w:p w14:paraId="6EF808D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p>
              </w:tc>
              <w:tc>
                <w:tcPr>
                  <w:tcW w:w="848" w:type="dxa"/>
                  <w:noWrap w:val="0"/>
                  <w:vAlign w:val="center"/>
                </w:tcPr>
                <w:p w14:paraId="54B25E01">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1094" w:type="dxa"/>
                  <w:noWrap w:val="0"/>
                  <w:vAlign w:val="center"/>
                </w:tcPr>
                <w:p w14:paraId="49930321">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0.0298</w:t>
                  </w:r>
                </w:p>
              </w:tc>
              <w:tc>
                <w:tcPr>
                  <w:tcW w:w="890" w:type="dxa"/>
                  <w:noWrap w:val="0"/>
                  <w:vAlign w:val="center"/>
                </w:tcPr>
                <w:p w14:paraId="04257BF5">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0.45</w:t>
                  </w:r>
                </w:p>
              </w:tc>
              <w:tc>
                <w:tcPr>
                  <w:tcW w:w="570" w:type="dxa"/>
                  <w:noWrap w:val="0"/>
                  <w:vAlign w:val="center"/>
                </w:tcPr>
                <w:p w14:paraId="0CB8288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470</w:t>
                  </w:r>
                </w:p>
              </w:tc>
              <w:tc>
                <w:tcPr>
                  <w:tcW w:w="750" w:type="dxa"/>
                  <w:noWrap w:val="0"/>
                  <w:vAlign w:val="center"/>
                </w:tcPr>
                <w:p w14:paraId="5AE55321">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highlight w:val="none"/>
                      <w:lang w:val="en-US" w:eastAsia="zh-CN"/>
                    </w:rPr>
                  </w:pPr>
                  <w:r>
                    <w:rPr>
                      <w:rFonts w:hint="eastAsia" w:cs="Times New Roman"/>
                      <w:color w:val="auto"/>
                      <w:highlight w:val="none"/>
                      <w:lang w:val="en-US" w:eastAsia="zh-CN"/>
                    </w:rPr>
                    <w:t>0.021</w:t>
                  </w:r>
                </w:p>
              </w:tc>
              <w:tc>
                <w:tcPr>
                  <w:tcW w:w="615" w:type="dxa"/>
                  <w:noWrap w:val="0"/>
                  <w:vAlign w:val="center"/>
                </w:tcPr>
                <w:p w14:paraId="4BF90E0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1.85</w:t>
                  </w:r>
                </w:p>
              </w:tc>
              <w:tc>
                <w:tcPr>
                  <w:tcW w:w="660" w:type="dxa"/>
                  <w:noWrap w:val="0"/>
                  <w:vAlign w:val="center"/>
                </w:tcPr>
                <w:p w14:paraId="15BA3A7C">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highlight w:val="none"/>
                      <w:lang w:val="en-US" w:eastAsia="zh-CN"/>
                    </w:rPr>
                  </w:pPr>
                  <w:r>
                    <w:rPr>
                      <w:rFonts w:hint="eastAsia" w:cs="Times New Roman"/>
                      <w:color w:val="auto"/>
                      <w:highlight w:val="none"/>
                      <w:lang w:val="en-US" w:eastAsia="zh-CN"/>
                    </w:rPr>
                    <w:t>0.84</w:t>
                  </w:r>
                </w:p>
              </w:tc>
              <w:tc>
                <w:tcPr>
                  <w:tcW w:w="870" w:type="dxa"/>
                  <w:noWrap w:val="0"/>
                  <w:vAlign w:val="center"/>
                </w:tcPr>
                <w:p w14:paraId="634F2306">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1.864</w:t>
                  </w:r>
                </w:p>
              </w:tc>
              <w:tc>
                <w:tcPr>
                  <w:tcW w:w="495" w:type="dxa"/>
                  <w:tcBorders>
                    <w:right w:val="single" w:color="auto" w:sz="4" w:space="0"/>
                  </w:tcBorders>
                  <w:noWrap w:val="0"/>
                  <w:vAlign w:val="center"/>
                </w:tcPr>
                <w:p w14:paraId="6AF30303">
                  <w:pPr>
                    <w:keepNext w:val="0"/>
                    <w:keepLines w:val="0"/>
                    <w:suppressLineNumbers w:val="0"/>
                    <w:adjustRightInd w:val="0"/>
                    <w:snapToGrid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365" w:type="dxa"/>
                  <w:vMerge w:val="continue"/>
                  <w:tcBorders>
                    <w:left w:val="single" w:color="auto" w:sz="4" w:space="0"/>
                  </w:tcBorders>
                  <w:noWrap w:val="0"/>
                  <w:vAlign w:val="center"/>
                </w:tcPr>
                <w:p w14:paraId="4EE851EE">
                  <w:pPr>
                    <w:keepNext w:val="0"/>
                    <w:keepLines w:val="0"/>
                    <w:suppressLineNumbers w:val="0"/>
                    <w:adjustRightInd w:val="0"/>
                    <w:snapToGrid w:val="0"/>
                    <w:spacing w:before="0" w:beforeAutospacing="0" w:after="0" w:afterAutospacing="0"/>
                    <w:ind w:left="0" w:right="0"/>
                    <w:jc w:val="center"/>
                    <w:rPr>
                      <w:rFonts w:hint="eastAsia" w:cs="Times New Roman"/>
                      <w:color w:val="auto"/>
                      <w:sz w:val="21"/>
                      <w:szCs w:val="21"/>
                      <w:highlight w:val="none"/>
                      <w:lang w:val="en-US" w:eastAsia="zh-CN"/>
                    </w:rPr>
                  </w:pPr>
                </w:p>
              </w:tc>
            </w:tr>
            <w:tr w14:paraId="0B1A5C32">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587" w:hRule="atLeast"/>
                <w:jc w:val="center"/>
              </w:trPr>
              <w:tc>
                <w:tcPr>
                  <w:tcW w:w="1073" w:type="dxa"/>
                  <w:noWrap w:val="0"/>
                  <w:vAlign w:val="center"/>
                </w:tcPr>
                <w:p w14:paraId="0E0D3B2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生产车间4号楼</w:t>
                  </w:r>
                </w:p>
              </w:tc>
              <w:tc>
                <w:tcPr>
                  <w:tcW w:w="848" w:type="dxa"/>
                  <w:noWrap w:val="0"/>
                  <w:vAlign w:val="center"/>
                </w:tcPr>
                <w:p w14:paraId="05339981">
                  <w:pPr>
                    <w:keepNext w:val="0"/>
                    <w:keepLines w:val="0"/>
                    <w:suppressLineNumbers w:val="0"/>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1094" w:type="dxa"/>
                  <w:noWrap w:val="0"/>
                  <w:vAlign w:val="center"/>
                </w:tcPr>
                <w:p w14:paraId="367309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0.0338</w:t>
                  </w:r>
                </w:p>
              </w:tc>
              <w:tc>
                <w:tcPr>
                  <w:tcW w:w="890" w:type="dxa"/>
                  <w:noWrap w:val="0"/>
                  <w:vAlign w:val="center"/>
                </w:tcPr>
                <w:p w14:paraId="6CC4919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570" w:type="dxa"/>
                  <w:noWrap w:val="0"/>
                  <w:vAlign w:val="center"/>
                </w:tcPr>
                <w:p w14:paraId="6C04D32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cs="Times New Roman"/>
                      <w:color w:val="auto"/>
                      <w:highlight w:val="none"/>
                      <w:lang w:val="en-US" w:eastAsia="zh-CN"/>
                    </w:rPr>
                    <w:t>470</w:t>
                  </w:r>
                </w:p>
              </w:tc>
              <w:tc>
                <w:tcPr>
                  <w:tcW w:w="750" w:type="dxa"/>
                  <w:noWrap w:val="0"/>
                  <w:vAlign w:val="center"/>
                </w:tcPr>
                <w:p w14:paraId="74A842E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cs="Times New Roman"/>
                      <w:color w:val="auto"/>
                      <w:highlight w:val="none"/>
                      <w:lang w:val="en-US" w:eastAsia="zh-CN"/>
                    </w:rPr>
                    <w:t>0.021</w:t>
                  </w:r>
                </w:p>
              </w:tc>
              <w:tc>
                <w:tcPr>
                  <w:tcW w:w="615" w:type="dxa"/>
                  <w:noWrap w:val="0"/>
                  <w:vAlign w:val="center"/>
                </w:tcPr>
                <w:p w14:paraId="6414915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lang w:val="en-US" w:eastAsia="zh-CN"/>
                    </w:rPr>
                    <w:t>1.85</w:t>
                  </w:r>
                </w:p>
              </w:tc>
              <w:tc>
                <w:tcPr>
                  <w:tcW w:w="660" w:type="dxa"/>
                  <w:noWrap w:val="0"/>
                  <w:vAlign w:val="center"/>
                </w:tcPr>
                <w:p w14:paraId="19D5817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cs="Times New Roman"/>
                      <w:color w:val="auto"/>
                      <w:highlight w:val="none"/>
                      <w:lang w:val="en-US" w:eastAsia="zh-CN"/>
                    </w:rPr>
                    <w:t>0.84</w:t>
                  </w:r>
                </w:p>
              </w:tc>
              <w:tc>
                <w:tcPr>
                  <w:tcW w:w="870" w:type="dxa"/>
                  <w:noWrap w:val="0"/>
                  <w:vAlign w:val="center"/>
                </w:tcPr>
                <w:p w14:paraId="347DF3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2.166</w:t>
                  </w:r>
                </w:p>
              </w:tc>
              <w:tc>
                <w:tcPr>
                  <w:tcW w:w="860" w:type="dxa"/>
                  <w:gridSpan w:val="2"/>
                  <w:noWrap w:val="0"/>
                  <w:vAlign w:val="center"/>
                </w:tcPr>
                <w:p w14:paraId="276D931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50</w:t>
                  </w:r>
                </w:p>
              </w:tc>
            </w:tr>
            <w:tr w14:paraId="2600644F">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512" w:hRule="atLeast"/>
                <w:jc w:val="center"/>
              </w:trPr>
              <w:tc>
                <w:tcPr>
                  <w:tcW w:w="1073" w:type="dxa"/>
                  <w:noWrap w:val="0"/>
                  <w:vAlign w:val="center"/>
                </w:tcPr>
                <w:p w14:paraId="069A826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实验室</w:t>
                  </w:r>
                </w:p>
              </w:tc>
              <w:tc>
                <w:tcPr>
                  <w:tcW w:w="848" w:type="dxa"/>
                  <w:noWrap w:val="0"/>
                  <w:vAlign w:val="center"/>
                </w:tcPr>
                <w:p w14:paraId="55F8D03C">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Cs w:val="21"/>
                      <w:highlight w:val="none"/>
                      <w:lang w:val="en-US" w:eastAsia="zh-CN"/>
                    </w:rPr>
                    <w:t>非甲烷总烃</w:t>
                  </w:r>
                </w:p>
              </w:tc>
              <w:tc>
                <w:tcPr>
                  <w:tcW w:w="1094" w:type="dxa"/>
                  <w:noWrap w:val="0"/>
                  <w:vAlign w:val="center"/>
                </w:tcPr>
                <w:p w14:paraId="1532D94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0.00418</w:t>
                  </w:r>
                </w:p>
              </w:tc>
              <w:tc>
                <w:tcPr>
                  <w:tcW w:w="890" w:type="dxa"/>
                  <w:noWrap w:val="0"/>
                  <w:vAlign w:val="center"/>
                </w:tcPr>
                <w:p w14:paraId="0939F5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70" w:type="dxa"/>
                  <w:noWrap w:val="0"/>
                  <w:vAlign w:val="center"/>
                </w:tcPr>
                <w:p w14:paraId="49993CB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highlight w:val="none"/>
                      <w:lang w:val="en-US" w:eastAsia="zh-CN"/>
                    </w:rPr>
                    <w:t>470</w:t>
                  </w:r>
                </w:p>
              </w:tc>
              <w:tc>
                <w:tcPr>
                  <w:tcW w:w="750" w:type="dxa"/>
                  <w:noWrap w:val="0"/>
                  <w:vAlign w:val="center"/>
                </w:tcPr>
                <w:p w14:paraId="5AB20C5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cs="Times New Roman"/>
                      <w:color w:val="auto"/>
                      <w:highlight w:val="none"/>
                      <w:lang w:val="en-US" w:eastAsia="zh-CN"/>
                    </w:rPr>
                    <w:t>0.021</w:t>
                  </w:r>
                </w:p>
              </w:tc>
              <w:tc>
                <w:tcPr>
                  <w:tcW w:w="615" w:type="dxa"/>
                  <w:noWrap w:val="0"/>
                  <w:vAlign w:val="center"/>
                </w:tcPr>
                <w:p w14:paraId="20A2A38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lang w:val="en-US" w:eastAsia="zh-CN"/>
                    </w:rPr>
                    <w:t>1.85</w:t>
                  </w:r>
                </w:p>
              </w:tc>
              <w:tc>
                <w:tcPr>
                  <w:tcW w:w="660" w:type="dxa"/>
                  <w:noWrap w:val="0"/>
                  <w:vAlign w:val="center"/>
                </w:tcPr>
                <w:p w14:paraId="687EB46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cs="Times New Roman"/>
                      <w:color w:val="auto"/>
                      <w:highlight w:val="none"/>
                      <w:lang w:val="en-US" w:eastAsia="zh-CN"/>
                    </w:rPr>
                    <w:t>0.84</w:t>
                  </w:r>
                </w:p>
              </w:tc>
              <w:tc>
                <w:tcPr>
                  <w:tcW w:w="870" w:type="dxa"/>
                  <w:noWrap w:val="0"/>
                  <w:vAlign w:val="center"/>
                </w:tcPr>
                <w:p w14:paraId="7794E1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0.030</w:t>
                  </w:r>
                </w:p>
              </w:tc>
              <w:tc>
                <w:tcPr>
                  <w:tcW w:w="860" w:type="dxa"/>
                  <w:gridSpan w:val="2"/>
                  <w:noWrap w:val="0"/>
                  <w:vAlign w:val="center"/>
                </w:tcPr>
                <w:p w14:paraId="673C8FF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50</w:t>
                  </w:r>
                </w:p>
              </w:tc>
            </w:tr>
            <w:tr w14:paraId="244F179D">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540" w:hRule="atLeast"/>
                <w:jc w:val="center"/>
              </w:trPr>
              <w:tc>
                <w:tcPr>
                  <w:tcW w:w="1073" w:type="dxa"/>
                  <w:noWrap w:val="0"/>
                  <w:vAlign w:val="center"/>
                </w:tcPr>
                <w:p w14:paraId="7ECBA62B">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危险废物</w:t>
                  </w:r>
                  <w:r>
                    <w:rPr>
                      <w:rFonts w:hint="eastAsia" w:ascii="Times New Roman" w:hAnsi="Times New Roman" w:eastAsia="宋体" w:cs="Times New Roman"/>
                      <w:color w:val="auto"/>
                      <w:szCs w:val="21"/>
                      <w:highlight w:val="none"/>
                      <w:lang w:val="en-US" w:eastAsia="zh-CN"/>
                    </w:rPr>
                    <w:t>仓库</w:t>
                  </w:r>
                </w:p>
              </w:tc>
              <w:tc>
                <w:tcPr>
                  <w:tcW w:w="848" w:type="dxa"/>
                  <w:noWrap w:val="0"/>
                  <w:vAlign w:val="center"/>
                </w:tcPr>
                <w:p w14:paraId="41E4A960">
                  <w:pPr>
                    <w:keepNext w:val="0"/>
                    <w:keepLines w:val="0"/>
                    <w:suppressLineNumbers w:val="0"/>
                    <w:tabs>
                      <w:tab w:val="left" w:pos="277"/>
                      <w:tab w:val="left" w:pos="600"/>
                      <w:tab w:val="left" w:pos="780"/>
                      <w:tab w:val="left" w:pos="2517"/>
                    </w:tabs>
                    <w:adjustRightInd w:val="0"/>
                    <w:snapToGrid w:val="0"/>
                    <w:spacing w:before="0" w:beforeAutospacing="0" w:after="0" w:afterAutospacing="0"/>
                    <w:ind w:left="0" w:right="0"/>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Cs w:val="21"/>
                      <w:highlight w:val="none"/>
                      <w:lang w:val="en-US" w:eastAsia="zh-CN"/>
                    </w:rPr>
                    <w:t>非甲烷总烃</w:t>
                  </w:r>
                </w:p>
              </w:tc>
              <w:tc>
                <w:tcPr>
                  <w:tcW w:w="1094" w:type="dxa"/>
                  <w:noWrap w:val="0"/>
                  <w:vAlign w:val="center"/>
                </w:tcPr>
                <w:p w14:paraId="6D3833D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0.00731</w:t>
                  </w:r>
                </w:p>
              </w:tc>
              <w:tc>
                <w:tcPr>
                  <w:tcW w:w="890" w:type="dxa"/>
                  <w:noWrap w:val="0"/>
                  <w:vAlign w:val="center"/>
                </w:tcPr>
                <w:p w14:paraId="3740D1A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70" w:type="dxa"/>
                  <w:noWrap w:val="0"/>
                  <w:vAlign w:val="center"/>
                </w:tcPr>
                <w:p w14:paraId="12D6E4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470</w:t>
                  </w:r>
                </w:p>
              </w:tc>
              <w:tc>
                <w:tcPr>
                  <w:tcW w:w="750" w:type="dxa"/>
                  <w:noWrap w:val="0"/>
                  <w:vAlign w:val="center"/>
                </w:tcPr>
                <w:p w14:paraId="09F8215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cs="Times New Roman"/>
                      <w:color w:val="auto"/>
                      <w:highlight w:val="none"/>
                      <w:lang w:val="en-US" w:eastAsia="zh-CN"/>
                    </w:rPr>
                    <w:t>0.021</w:t>
                  </w:r>
                </w:p>
              </w:tc>
              <w:tc>
                <w:tcPr>
                  <w:tcW w:w="615" w:type="dxa"/>
                  <w:noWrap w:val="0"/>
                  <w:vAlign w:val="center"/>
                </w:tcPr>
                <w:p w14:paraId="4F7BF66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highlight w:val="none"/>
                      <w:lang w:val="en-US" w:eastAsia="zh-CN"/>
                    </w:rPr>
                    <w:t>1.85</w:t>
                  </w:r>
                </w:p>
              </w:tc>
              <w:tc>
                <w:tcPr>
                  <w:tcW w:w="660" w:type="dxa"/>
                  <w:noWrap w:val="0"/>
                  <w:vAlign w:val="center"/>
                </w:tcPr>
                <w:p w14:paraId="52F40CA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highlight w:val="none"/>
                    </w:rPr>
                  </w:pPr>
                  <w:r>
                    <w:rPr>
                      <w:rFonts w:hint="eastAsia" w:cs="Times New Roman"/>
                      <w:color w:val="auto"/>
                      <w:highlight w:val="none"/>
                      <w:lang w:val="en-US" w:eastAsia="zh-CN"/>
                    </w:rPr>
                    <w:t>0.84</w:t>
                  </w:r>
                </w:p>
              </w:tc>
              <w:tc>
                <w:tcPr>
                  <w:tcW w:w="870" w:type="dxa"/>
                  <w:noWrap w:val="0"/>
                  <w:vAlign w:val="center"/>
                </w:tcPr>
                <w:p w14:paraId="4B933D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0.554</w:t>
                  </w:r>
                </w:p>
              </w:tc>
              <w:tc>
                <w:tcPr>
                  <w:tcW w:w="860" w:type="dxa"/>
                  <w:gridSpan w:val="2"/>
                  <w:noWrap w:val="0"/>
                  <w:vAlign w:val="center"/>
                </w:tcPr>
                <w:p w14:paraId="69DE114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50</w:t>
                  </w:r>
                </w:p>
              </w:tc>
            </w:tr>
          </w:tbl>
          <w:p w14:paraId="39365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宋体"/>
                <w:color w:val="auto"/>
                <w:sz w:val="24"/>
                <w:highlight w:val="none"/>
              </w:rPr>
              <w:t>由上表可见，</w:t>
            </w:r>
            <w:r>
              <w:rPr>
                <w:rFonts w:hint="eastAsia" w:ascii="Times New Roman" w:hAnsi="Times New Roman" w:eastAsia="宋体" w:cs="Times New Roman"/>
                <w:color w:val="auto"/>
                <w:sz w:val="24"/>
                <w:szCs w:val="32"/>
                <w:highlight w:val="none"/>
              </w:rPr>
              <w:t>本项目</w:t>
            </w:r>
            <w:r>
              <w:rPr>
                <w:rFonts w:hint="eastAsia" w:ascii="Times New Roman" w:hAnsi="Times New Roman" w:eastAsia="宋体" w:cs="Times New Roman"/>
                <w:color w:val="auto"/>
                <w:sz w:val="24"/>
                <w:szCs w:val="32"/>
                <w:highlight w:val="none"/>
                <w:lang w:val="en-US" w:eastAsia="zh-CN"/>
              </w:rPr>
              <w:t>建成后全厂</w:t>
            </w:r>
            <w:r>
              <w:rPr>
                <w:rFonts w:hint="eastAsia" w:ascii="Times New Roman" w:hAnsi="Times New Roman" w:eastAsia="宋体" w:cs="Times New Roman"/>
                <w:color w:val="auto"/>
                <w:sz w:val="24"/>
                <w:szCs w:val="32"/>
                <w:highlight w:val="none"/>
              </w:rPr>
              <w:t>卫生防护距离为</w:t>
            </w:r>
            <w:r>
              <w:rPr>
                <w:rFonts w:hint="eastAsia" w:ascii="Times New Roman" w:hAnsi="Times New Roman" w:eastAsia="宋体" w:cs="Times New Roman"/>
                <w:color w:val="auto"/>
                <w:sz w:val="24"/>
                <w:szCs w:val="32"/>
                <w:highlight w:val="none"/>
                <w:lang w:val="en-US" w:eastAsia="zh-CN"/>
              </w:rPr>
              <w:t>生产车间1号楼外50m、生产车间2号楼外50m、生产车间3号楼外</w:t>
            </w:r>
            <w:r>
              <w:rPr>
                <w:rFonts w:hint="eastAsia" w:cs="Times New Roman"/>
                <w:color w:val="auto"/>
                <w:sz w:val="24"/>
                <w:szCs w:val="32"/>
                <w:highlight w:val="none"/>
                <w:lang w:val="en-US" w:eastAsia="zh-CN"/>
              </w:rPr>
              <w:t>100</w:t>
            </w:r>
            <w:r>
              <w:rPr>
                <w:rFonts w:hint="eastAsia" w:ascii="Times New Roman" w:hAnsi="Times New Roman" w:eastAsia="宋体" w:cs="Times New Roman"/>
                <w:color w:val="auto"/>
                <w:sz w:val="24"/>
                <w:szCs w:val="32"/>
                <w:highlight w:val="none"/>
                <w:lang w:val="en-US" w:eastAsia="zh-CN"/>
              </w:rPr>
              <w:t>m、生产车间4号楼外50m、实验室外50m以及</w:t>
            </w:r>
            <w:r>
              <w:rPr>
                <w:rFonts w:hint="eastAsia" w:cs="Times New Roman"/>
                <w:color w:val="auto"/>
                <w:sz w:val="24"/>
                <w:szCs w:val="32"/>
                <w:highlight w:val="none"/>
                <w:lang w:val="en-US" w:eastAsia="zh-CN"/>
              </w:rPr>
              <w:t>危险废物</w:t>
            </w:r>
            <w:r>
              <w:rPr>
                <w:rFonts w:hint="eastAsia" w:ascii="Times New Roman" w:hAnsi="Times New Roman" w:eastAsia="宋体" w:cs="Times New Roman"/>
                <w:color w:val="auto"/>
                <w:sz w:val="24"/>
                <w:szCs w:val="32"/>
                <w:highlight w:val="none"/>
                <w:lang w:val="en-US" w:eastAsia="zh-CN"/>
              </w:rPr>
              <w:t>仓库外50m所形成的包络线。</w:t>
            </w:r>
            <w:r>
              <w:rPr>
                <w:rFonts w:hint="eastAsia" w:ascii="Times New Roman" w:hAnsi="Times New Roman" w:eastAsia="宋体" w:cs="Times New Roman"/>
                <w:color w:val="auto"/>
                <w:sz w:val="24"/>
                <w:szCs w:val="32"/>
                <w:highlight w:val="none"/>
              </w:rPr>
              <w:t>此范围内无环境敏感目标</w:t>
            </w:r>
            <w:r>
              <w:rPr>
                <w:rFonts w:hint="default" w:ascii="Times New Roman" w:hAnsi="Times New Roman" w:eastAsia="宋体" w:cs="Times New Roman"/>
                <w:color w:val="auto"/>
                <w:sz w:val="24"/>
                <w:highlight w:val="none"/>
              </w:rPr>
              <w:t>，卫生防护距离内无居民、学校等敏感点存在（见</w:t>
            </w:r>
            <w:r>
              <w:rPr>
                <w:rFonts w:hint="eastAsia" w:ascii="Times New Roman" w:hAnsi="Times New Roman" w:eastAsia="宋体" w:cs="Times New Roman"/>
                <w:color w:val="auto"/>
                <w:sz w:val="24"/>
                <w:highlight w:val="none"/>
                <w:lang w:val="en-US" w:eastAsia="zh-CN"/>
              </w:rPr>
              <w:t>附图</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），且以后在此范围内也不得建设居民、学校等敏感点。</w:t>
            </w:r>
          </w:p>
          <w:p w14:paraId="52F4ECA3">
            <w:pPr>
              <w:keepNext w:val="0"/>
              <w:keepLines w:val="0"/>
              <w:suppressLineNumbers w:val="0"/>
              <w:spacing w:before="0" w:beforeAutospacing="0" w:after="0" w:afterAutospacing="0" w:line="360" w:lineRule="auto"/>
              <w:ind w:left="0" w:right="0" w:firstLine="482" w:firstLineChars="200"/>
              <w:textAlignment w:val="baseline"/>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pacing w:val="4"/>
                <w:sz w:val="24"/>
                <w:highlight w:val="none"/>
              </w:rPr>
              <w:t>废气污染源监测计划</w:t>
            </w:r>
          </w:p>
          <w:p w14:paraId="33131EF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szCs w:val="32"/>
                <w:highlight w:val="none"/>
                <w:lang w:eastAsia="zh-CN"/>
              </w:rPr>
              <w:t>根据《固定污染源排污许可分类管理名录》（</w:t>
            </w:r>
            <w:r>
              <w:rPr>
                <w:rFonts w:hint="eastAsia" w:ascii="Times New Roman" w:hAnsi="Times New Roman" w:eastAsia="宋体" w:cs="Times New Roman"/>
                <w:color w:val="auto"/>
                <w:sz w:val="24"/>
                <w:szCs w:val="32"/>
                <w:highlight w:val="none"/>
                <w:lang w:val="en-US" w:eastAsia="zh-CN"/>
              </w:rPr>
              <w:t>2019年版），企业实行排污许可登记管理。</w:t>
            </w:r>
            <w:r>
              <w:rPr>
                <w:rFonts w:hint="eastAsia" w:ascii="Times New Roman" w:hAnsi="Times New Roman" w:eastAsia="宋体" w:cs="Times New Roman"/>
                <w:color w:val="auto"/>
                <w:sz w:val="24"/>
                <w:highlight w:val="none"/>
              </w:rPr>
              <w:t>参考《</w:t>
            </w:r>
            <w:r>
              <w:rPr>
                <w:rFonts w:hint="default" w:ascii="Times New Roman" w:hAnsi="Times New Roman" w:eastAsia="宋体" w:cs="宋体"/>
                <w:color w:val="auto"/>
                <w:sz w:val="24"/>
                <w:szCs w:val="24"/>
                <w:highlight w:val="none"/>
              </w:rPr>
              <w:t>排污单位自行监测技术指南 总则</w:t>
            </w:r>
            <w:r>
              <w:rPr>
                <w:rFonts w:hint="eastAsia" w:ascii="Times New Roman" w:hAnsi="Times New Roman" w:eastAsia="宋体" w:cs="Times New Roman"/>
                <w:color w:val="auto"/>
                <w:sz w:val="24"/>
                <w:highlight w:val="none"/>
              </w:rPr>
              <w:t>》（HJ</w:t>
            </w:r>
            <w:r>
              <w:rPr>
                <w:rFonts w:hint="eastAsia" w:ascii="Times New Roman" w:hAnsi="Times New Roman" w:eastAsia="宋体" w:cs="Times New Roman"/>
                <w:color w:val="auto"/>
                <w:sz w:val="24"/>
                <w:highlight w:val="none"/>
                <w:lang w:val="en-US" w:eastAsia="zh-CN"/>
              </w:rPr>
              <w:t>819</w:t>
            </w:r>
            <w:r>
              <w:rPr>
                <w:rFonts w:hint="eastAsia" w:ascii="Times New Roman" w:hAnsi="Times New Roman" w:eastAsia="宋体" w:cs="Times New Roman"/>
                <w:color w:val="auto"/>
                <w:sz w:val="24"/>
                <w:highlight w:val="none"/>
              </w:rPr>
              <w:t>-201</w:t>
            </w:r>
            <w:r>
              <w:rPr>
                <w:rFonts w:hint="eastAsia"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表</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rPr>
              <w:t>，大气污染源监测计划见</w:t>
            </w:r>
            <w:r>
              <w:rPr>
                <w:rFonts w:hint="eastAsia" w:ascii="Times New Roman" w:hAnsi="Times New Roman" w:eastAsia="宋体" w:cs="Times New Roman"/>
                <w:color w:val="auto"/>
                <w:sz w:val="24"/>
                <w:highlight w:val="none"/>
                <w:lang w:eastAsia="zh-CN"/>
              </w:rPr>
              <w:t>下表</w:t>
            </w:r>
            <w:r>
              <w:rPr>
                <w:rFonts w:hint="eastAsia" w:ascii="Times New Roman" w:hAnsi="Times New Roman" w:eastAsia="宋体" w:cs="Times New Roman"/>
                <w:color w:val="auto"/>
                <w:sz w:val="24"/>
                <w:highlight w:val="none"/>
              </w:rPr>
              <w:t>。</w:t>
            </w:r>
          </w:p>
          <w:p w14:paraId="3CCAAE0C">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14</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kern w:val="2"/>
                <w:sz w:val="24"/>
                <w:szCs w:val="20"/>
                <w:highlight w:val="none"/>
                <w:lang w:val="en-US" w:eastAsia="zh-CN" w:bidi="ar-SA"/>
              </w:rPr>
              <w:t>监测计划表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184"/>
              <w:gridCol w:w="1819"/>
              <w:gridCol w:w="1330"/>
              <w:gridCol w:w="880"/>
              <w:gridCol w:w="3231"/>
            </w:tblGrid>
            <w:tr w14:paraId="11B06E5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noWrap w:val="0"/>
                  <w:vAlign w:val="center"/>
                </w:tcPr>
                <w:p w14:paraId="12A8F1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监测项目</w:t>
                  </w:r>
                </w:p>
              </w:tc>
              <w:tc>
                <w:tcPr>
                  <w:tcW w:w="1077" w:type="pct"/>
                  <w:noWrap w:val="0"/>
                  <w:vAlign w:val="center"/>
                </w:tcPr>
                <w:p w14:paraId="198C90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点位/断面</w:t>
                  </w:r>
                </w:p>
              </w:tc>
              <w:tc>
                <w:tcPr>
                  <w:tcW w:w="787" w:type="pct"/>
                  <w:noWrap w:val="0"/>
                  <w:vAlign w:val="center"/>
                </w:tcPr>
                <w:p w14:paraId="55CD3F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监测指标</w:t>
                  </w:r>
                </w:p>
              </w:tc>
              <w:tc>
                <w:tcPr>
                  <w:tcW w:w="521" w:type="pct"/>
                  <w:noWrap w:val="0"/>
                  <w:vAlign w:val="center"/>
                </w:tcPr>
                <w:p w14:paraId="3A6F8D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监测频次</w:t>
                  </w:r>
                </w:p>
              </w:tc>
              <w:tc>
                <w:tcPr>
                  <w:tcW w:w="1913" w:type="pct"/>
                  <w:noWrap w:val="0"/>
                  <w:vAlign w:val="center"/>
                </w:tcPr>
                <w:p w14:paraId="013FE6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执行排放标准</w:t>
                  </w:r>
                </w:p>
              </w:tc>
            </w:tr>
            <w:tr w14:paraId="77E5C03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61" w:hRule="atLeast"/>
                <w:jc w:val="center"/>
              </w:trPr>
              <w:tc>
                <w:tcPr>
                  <w:tcW w:w="701" w:type="pct"/>
                  <w:vMerge w:val="restart"/>
                  <w:noWrap w:val="0"/>
                  <w:vAlign w:val="center"/>
                </w:tcPr>
                <w:p w14:paraId="1B82EB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废气</w:t>
                  </w:r>
                </w:p>
              </w:tc>
              <w:tc>
                <w:tcPr>
                  <w:tcW w:w="1077" w:type="pct"/>
                  <w:vMerge w:val="restart"/>
                  <w:noWrap w:val="0"/>
                  <w:vAlign w:val="center"/>
                </w:tcPr>
                <w:p w14:paraId="4B8876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FQ</w:t>
                  </w:r>
                  <w:r>
                    <w:rPr>
                      <w:rFonts w:hint="eastAsia" w:cs="Times New Roman"/>
                      <w:b w:val="0"/>
                      <w:bCs w:val="0"/>
                      <w:color w:val="auto"/>
                      <w:highlight w:val="none"/>
                      <w:lang w:val="en-US" w:eastAsia="zh-CN"/>
                    </w:rPr>
                    <w:t>0</w:t>
                  </w:r>
                  <w:r>
                    <w:rPr>
                      <w:rFonts w:hint="eastAsia" w:ascii="Times New Roman" w:hAnsi="Times New Roman" w:eastAsia="宋体" w:cs="Times New Roman"/>
                      <w:b w:val="0"/>
                      <w:bCs w:val="0"/>
                      <w:color w:val="auto"/>
                      <w:highlight w:val="none"/>
                      <w:lang w:val="en-US" w:eastAsia="zh-CN"/>
                    </w:rPr>
                    <w:t>1</w:t>
                  </w:r>
                </w:p>
              </w:tc>
              <w:tc>
                <w:tcPr>
                  <w:tcW w:w="787" w:type="pct"/>
                  <w:tcBorders>
                    <w:bottom w:val="single" w:color="auto" w:sz="4" w:space="0"/>
                  </w:tcBorders>
                  <w:noWrap w:val="0"/>
                  <w:vAlign w:val="center"/>
                </w:tcPr>
                <w:p w14:paraId="02ECA1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非甲烷总烃</w:t>
                  </w:r>
                </w:p>
              </w:tc>
              <w:tc>
                <w:tcPr>
                  <w:tcW w:w="521" w:type="pct"/>
                  <w:vMerge w:val="restart"/>
                  <w:noWrap w:val="0"/>
                  <w:vAlign w:val="center"/>
                </w:tcPr>
                <w:p w14:paraId="3DDAAF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一年一次</w:t>
                  </w:r>
                </w:p>
              </w:tc>
              <w:tc>
                <w:tcPr>
                  <w:tcW w:w="1913" w:type="pct"/>
                  <w:vMerge w:val="restart"/>
                  <w:noWrap w:val="0"/>
                  <w:vAlign w:val="center"/>
                </w:tcPr>
                <w:p w14:paraId="13951B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color w:val="auto"/>
                      <w:sz w:val="21"/>
                      <w:szCs w:val="21"/>
                      <w:highlight w:val="none"/>
                      <w:lang w:eastAsia="zh-CN"/>
                    </w:rPr>
                    <w:t>《合成树脂工业污染物排放标准》（GB31572-2015）</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含2024年修改单</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表5中标准</w:t>
                  </w:r>
                </w:p>
              </w:tc>
            </w:tr>
            <w:tr w14:paraId="5276A2B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61" w:hRule="atLeast"/>
                <w:jc w:val="center"/>
              </w:trPr>
              <w:tc>
                <w:tcPr>
                  <w:tcW w:w="701" w:type="pct"/>
                  <w:vMerge w:val="continue"/>
                  <w:noWrap w:val="0"/>
                  <w:vAlign w:val="center"/>
                </w:tcPr>
                <w:p w14:paraId="46247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color w:val="auto"/>
                      <w:highlight w:val="none"/>
                      <w:lang w:val="en-US" w:eastAsia="zh-CN"/>
                    </w:rPr>
                  </w:pPr>
                </w:p>
              </w:tc>
              <w:tc>
                <w:tcPr>
                  <w:tcW w:w="1077" w:type="pct"/>
                  <w:vMerge w:val="continue"/>
                  <w:tcBorders>
                    <w:bottom w:val="single" w:color="auto" w:sz="4" w:space="0"/>
                  </w:tcBorders>
                  <w:noWrap w:val="0"/>
                  <w:vAlign w:val="center"/>
                </w:tcPr>
                <w:p w14:paraId="13FC99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highlight w:val="none"/>
                      <w:lang w:val="en-US" w:eastAsia="zh-CN"/>
                    </w:rPr>
                  </w:pPr>
                </w:p>
              </w:tc>
              <w:tc>
                <w:tcPr>
                  <w:tcW w:w="787" w:type="pct"/>
                  <w:tcBorders>
                    <w:bottom w:val="single" w:color="auto" w:sz="4" w:space="0"/>
                  </w:tcBorders>
                  <w:noWrap w:val="0"/>
                  <w:vAlign w:val="center"/>
                </w:tcPr>
                <w:p w14:paraId="23C21B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酚类</w:t>
                  </w:r>
                </w:p>
              </w:tc>
              <w:tc>
                <w:tcPr>
                  <w:tcW w:w="521" w:type="pct"/>
                  <w:vMerge w:val="continue"/>
                  <w:noWrap w:val="0"/>
                  <w:vAlign w:val="center"/>
                </w:tcPr>
                <w:p w14:paraId="4B95E5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highlight w:val="none"/>
                      <w:lang w:val="en-US" w:eastAsia="zh-CN"/>
                    </w:rPr>
                  </w:pPr>
                </w:p>
              </w:tc>
              <w:tc>
                <w:tcPr>
                  <w:tcW w:w="1913" w:type="pct"/>
                  <w:vMerge w:val="continue"/>
                  <w:noWrap w:val="0"/>
                  <w:vAlign w:val="center"/>
                </w:tcPr>
                <w:p w14:paraId="3C3DEB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color w:val="auto"/>
                      <w:highlight w:val="none"/>
                      <w:lang w:val="en-US" w:eastAsia="zh-CN"/>
                    </w:rPr>
                  </w:pPr>
                </w:p>
              </w:tc>
            </w:tr>
            <w:tr w14:paraId="2230863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465" w:hRule="atLeast"/>
                <w:jc w:val="center"/>
              </w:trPr>
              <w:tc>
                <w:tcPr>
                  <w:tcW w:w="701" w:type="pct"/>
                  <w:vMerge w:val="continue"/>
                  <w:noWrap w:val="0"/>
                  <w:vAlign w:val="center"/>
                </w:tcPr>
                <w:p w14:paraId="704030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color w:val="auto"/>
                      <w:highlight w:val="none"/>
                      <w:lang w:val="en-US" w:eastAsia="zh-CN"/>
                    </w:rPr>
                  </w:pPr>
                </w:p>
              </w:tc>
              <w:tc>
                <w:tcPr>
                  <w:tcW w:w="1077" w:type="pct"/>
                  <w:tcBorders>
                    <w:top w:val="single" w:color="auto" w:sz="4" w:space="0"/>
                  </w:tcBorders>
                  <w:noWrap w:val="0"/>
                  <w:vAlign w:val="center"/>
                </w:tcPr>
                <w:p w14:paraId="62B7AF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FQ</w:t>
                  </w:r>
                  <w:r>
                    <w:rPr>
                      <w:rFonts w:hint="eastAsia" w:cs="Times New Roman"/>
                      <w:b w:val="0"/>
                      <w:bCs w:val="0"/>
                      <w:color w:val="auto"/>
                      <w:highlight w:val="none"/>
                      <w:lang w:val="en-US" w:eastAsia="zh-CN"/>
                    </w:rPr>
                    <w:t>0</w:t>
                  </w:r>
                  <w:r>
                    <w:rPr>
                      <w:rFonts w:hint="eastAsia" w:ascii="Times New Roman" w:hAnsi="Times New Roman" w:eastAsia="宋体" w:cs="Times New Roman"/>
                      <w:b w:val="0"/>
                      <w:bCs w:val="0"/>
                      <w:color w:val="auto"/>
                      <w:highlight w:val="none"/>
                      <w:lang w:val="en-US" w:eastAsia="zh-CN"/>
                    </w:rPr>
                    <w:t>2</w:t>
                  </w:r>
                  <w:r>
                    <w:rPr>
                      <w:rFonts w:hint="eastAsia"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FQ</w:t>
                  </w:r>
                  <w:r>
                    <w:rPr>
                      <w:rFonts w:hint="eastAsia" w:cs="Times New Roman"/>
                      <w:b w:val="0"/>
                      <w:bCs w:val="0"/>
                      <w:color w:val="auto"/>
                      <w:highlight w:val="none"/>
                      <w:lang w:val="en-US" w:eastAsia="zh-CN"/>
                    </w:rPr>
                    <w:t>0</w:t>
                  </w:r>
                  <w:r>
                    <w:rPr>
                      <w:rFonts w:hint="eastAsia" w:ascii="Times New Roman" w:hAnsi="Times New Roman" w:eastAsia="宋体" w:cs="Times New Roman"/>
                      <w:b w:val="0"/>
                      <w:bCs w:val="0"/>
                      <w:color w:val="auto"/>
                      <w:highlight w:val="none"/>
                      <w:lang w:val="en-US" w:eastAsia="zh-CN"/>
                    </w:rPr>
                    <w:t>3</w:t>
                  </w:r>
                  <w:r>
                    <w:rPr>
                      <w:rFonts w:hint="eastAsia"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FQ</w:t>
                  </w:r>
                  <w:r>
                    <w:rPr>
                      <w:rFonts w:hint="eastAsia" w:cs="Times New Roman"/>
                      <w:b w:val="0"/>
                      <w:bCs w:val="0"/>
                      <w:color w:val="auto"/>
                      <w:highlight w:val="none"/>
                      <w:lang w:val="en-US" w:eastAsia="zh-CN"/>
                    </w:rPr>
                    <w:t>0</w:t>
                  </w:r>
                  <w:r>
                    <w:rPr>
                      <w:rFonts w:hint="eastAsia" w:ascii="Times New Roman" w:hAnsi="Times New Roman" w:eastAsia="宋体" w:cs="Times New Roman"/>
                      <w:b w:val="0"/>
                      <w:bCs w:val="0"/>
                      <w:color w:val="auto"/>
                      <w:highlight w:val="none"/>
                      <w:lang w:val="en-US" w:eastAsia="zh-CN"/>
                    </w:rPr>
                    <w:t>4</w:t>
                  </w:r>
                  <w:r>
                    <w:rPr>
                      <w:rFonts w:hint="eastAsia"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FQ</w:t>
                  </w:r>
                  <w:r>
                    <w:rPr>
                      <w:rFonts w:hint="eastAsia" w:cs="Times New Roman"/>
                      <w:b w:val="0"/>
                      <w:bCs w:val="0"/>
                      <w:color w:val="auto"/>
                      <w:highlight w:val="none"/>
                      <w:lang w:val="en-US" w:eastAsia="zh-CN"/>
                    </w:rPr>
                    <w:t>0</w:t>
                  </w:r>
                  <w:r>
                    <w:rPr>
                      <w:rFonts w:hint="eastAsia" w:ascii="Times New Roman" w:hAnsi="Times New Roman" w:eastAsia="宋体" w:cs="Times New Roman"/>
                      <w:b w:val="0"/>
                      <w:bCs w:val="0"/>
                      <w:color w:val="auto"/>
                      <w:highlight w:val="none"/>
                      <w:lang w:val="en-US" w:eastAsia="zh-CN"/>
                    </w:rPr>
                    <w:t>5</w:t>
                  </w:r>
                  <w:r>
                    <w:rPr>
                      <w:rFonts w:hint="eastAsia"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FQ</w:t>
                  </w:r>
                  <w:r>
                    <w:rPr>
                      <w:rFonts w:hint="eastAsia" w:cs="Times New Roman"/>
                      <w:b w:val="0"/>
                      <w:bCs w:val="0"/>
                      <w:color w:val="auto"/>
                      <w:highlight w:val="none"/>
                      <w:lang w:val="en-US" w:eastAsia="zh-CN"/>
                    </w:rPr>
                    <w:t>0</w:t>
                  </w:r>
                  <w:r>
                    <w:rPr>
                      <w:rFonts w:hint="eastAsia" w:ascii="Times New Roman" w:hAnsi="Times New Roman" w:eastAsia="宋体" w:cs="Times New Roman"/>
                      <w:b w:val="0"/>
                      <w:bCs w:val="0"/>
                      <w:color w:val="auto"/>
                      <w:highlight w:val="none"/>
                      <w:lang w:val="en-US" w:eastAsia="zh-CN"/>
                    </w:rPr>
                    <w:t>6</w:t>
                  </w:r>
                </w:p>
              </w:tc>
              <w:tc>
                <w:tcPr>
                  <w:tcW w:w="787" w:type="pct"/>
                  <w:tcBorders>
                    <w:top w:val="single" w:color="auto" w:sz="4" w:space="0"/>
                    <w:bottom w:val="single" w:color="auto" w:sz="4" w:space="0"/>
                  </w:tcBorders>
                  <w:noWrap w:val="0"/>
                  <w:vAlign w:val="center"/>
                </w:tcPr>
                <w:p w14:paraId="45A385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非甲烷总烃</w:t>
                  </w:r>
                </w:p>
              </w:tc>
              <w:tc>
                <w:tcPr>
                  <w:tcW w:w="521" w:type="pct"/>
                  <w:vMerge w:val="continue"/>
                  <w:noWrap w:val="0"/>
                  <w:vAlign w:val="center"/>
                </w:tcPr>
                <w:p w14:paraId="06DB21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highlight w:val="none"/>
                      <w:lang w:val="en-US" w:eastAsia="zh-CN"/>
                    </w:rPr>
                  </w:pPr>
                </w:p>
              </w:tc>
              <w:tc>
                <w:tcPr>
                  <w:tcW w:w="1913" w:type="pct"/>
                  <w:vMerge w:val="continue"/>
                  <w:noWrap w:val="0"/>
                  <w:vAlign w:val="center"/>
                </w:tcPr>
                <w:p w14:paraId="63490C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color w:val="auto"/>
                      <w:highlight w:val="none"/>
                      <w:lang w:val="en-US" w:eastAsia="zh-CN"/>
                    </w:rPr>
                  </w:pPr>
                </w:p>
              </w:tc>
            </w:tr>
            <w:tr w14:paraId="15A5286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472" w:hRule="atLeast"/>
                <w:jc w:val="center"/>
              </w:trPr>
              <w:tc>
                <w:tcPr>
                  <w:tcW w:w="701" w:type="pct"/>
                  <w:vMerge w:val="continue"/>
                  <w:noWrap w:val="0"/>
                  <w:vAlign w:val="center"/>
                </w:tcPr>
                <w:p w14:paraId="199A08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color w:val="auto"/>
                      <w:highlight w:val="none"/>
                      <w:lang w:val="en-US" w:eastAsia="zh-CN"/>
                    </w:rPr>
                  </w:pPr>
                </w:p>
              </w:tc>
              <w:tc>
                <w:tcPr>
                  <w:tcW w:w="1077" w:type="pct"/>
                  <w:vMerge w:val="restart"/>
                  <w:noWrap w:val="0"/>
                  <w:vAlign w:val="center"/>
                </w:tcPr>
                <w:p w14:paraId="68D030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highlight w:val="none"/>
                      <w:lang w:val="en-US" w:eastAsia="zh-CN"/>
                    </w:rPr>
                    <w:t>FQ</w:t>
                  </w:r>
                  <w:r>
                    <w:rPr>
                      <w:rFonts w:hint="eastAsia" w:cs="Times New Roman"/>
                      <w:b w:val="0"/>
                      <w:bCs w:val="0"/>
                      <w:color w:val="auto"/>
                      <w:highlight w:val="none"/>
                      <w:lang w:val="en-US" w:eastAsia="zh-CN"/>
                    </w:rPr>
                    <w:t>0</w:t>
                  </w:r>
                  <w:r>
                    <w:rPr>
                      <w:rFonts w:hint="eastAsia" w:ascii="Times New Roman" w:hAnsi="Times New Roman" w:eastAsia="宋体" w:cs="Times New Roman"/>
                      <w:b w:val="0"/>
                      <w:bCs w:val="0"/>
                      <w:color w:val="auto"/>
                      <w:highlight w:val="none"/>
                      <w:lang w:val="en-US" w:eastAsia="zh-CN"/>
                    </w:rPr>
                    <w:t>7</w:t>
                  </w:r>
                </w:p>
              </w:tc>
              <w:tc>
                <w:tcPr>
                  <w:tcW w:w="787" w:type="pct"/>
                  <w:tcBorders>
                    <w:bottom w:val="single" w:color="auto" w:sz="4" w:space="0"/>
                  </w:tcBorders>
                  <w:noWrap w:val="0"/>
                  <w:vAlign w:val="center"/>
                </w:tcPr>
                <w:p w14:paraId="68E4E9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非甲烷总烃</w:t>
                  </w:r>
                </w:p>
              </w:tc>
              <w:tc>
                <w:tcPr>
                  <w:tcW w:w="521" w:type="pct"/>
                  <w:vMerge w:val="continue"/>
                  <w:noWrap w:val="0"/>
                  <w:vAlign w:val="center"/>
                </w:tcPr>
                <w:p w14:paraId="5376E7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highlight w:val="none"/>
                      <w:lang w:val="en-US" w:eastAsia="zh-CN"/>
                    </w:rPr>
                  </w:pPr>
                </w:p>
              </w:tc>
              <w:tc>
                <w:tcPr>
                  <w:tcW w:w="1913" w:type="pct"/>
                  <w:tcBorders>
                    <w:bottom w:val="single" w:color="auto" w:sz="4" w:space="0"/>
                  </w:tcBorders>
                  <w:noWrap w:val="0"/>
                  <w:vAlign w:val="center"/>
                </w:tcPr>
                <w:p w14:paraId="6B32CF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color w:val="auto"/>
                      <w:highlight w:val="none"/>
                      <w:lang w:val="en-US" w:eastAsia="zh-CN"/>
                    </w:rPr>
                    <w:t>《工业涂装工序大气污染物排放标准》（DB32/4439-2022）表1中标准</w:t>
                  </w:r>
                </w:p>
              </w:tc>
            </w:tr>
            <w:tr w14:paraId="6FE8A04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47" w:hRule="atLeast"/>
                <w:jc w:val="center"/>
              </w:trPr>
              <w:tc>
                <w:tcPr>
                  <w:tcW w:w="701" w:type="pct"/>
                  <w:vMerge w:val="continue"/>
                  <w:noWrap w:val="0"/>
                  <w:vAlign w:val="center"/>
                </w:tcPr>
                <w:p w14:paraId="2F528A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44"/>
                      <w:highlight w:val="none"/>
                    </w:rPr>
                  </w:pPr>
                </w:p>
              </w:tc>
              <w:tc>
                <w:tcPr>
                  <w:tcW w:w="1077" w:type="pct"/>
                  <w:vMerge w:val="continue"/>
                  <w:noWrap w:val="0"/>
                  <w:vAlign w:val="center"/>
                </w:tcPr>
                <w:p w14:paraId="4D6933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highlight w:val="none"/>
                      <w:lang w:val="en-US" w:eastAsia="zh-CN"/>
                    </w:rPr>
                  </w:pPr>
                </w:p>
              </w:tc>
              <w:tc>
                <w:tcPr>
                  <w:tcW w:w="787" w:type="pct"/>
                  <w:tcBorders>
                    <w:top w:val="single" w:color="auto" w:sz="4" w:space="0"/>
                  </w:tcBorders>
                  <w:noWrap w:val="0"/>
                  <w:vAlign w:val="center"/>
                </w:tcPr>
                <w:p w14:paraId="402FE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氟化物</w:t>
                  </w:r>
                </w:p>
              </w:tc>
              <w:tc>
                <w:tcPr>
                  <w:tcW w:w="521" w:type="pct"/>
                  <w:vMerge w:val="continue"/>
                  <w:noWrap w:val="0"/>
                  <w:vAlign w:val="center"/>
                </w:tcPr>
                <w:p w14:paraId="539D3A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highlight w:val="none"/>
                    </w:rPr>
                  </w:pPr>
                </w:p>
              </w:tc>
              <w:tc>
                <w:tcPr>
                  <w:tcW w:w="1913" w:type="pct"/>
                  <w:vMerge w:val="restart"/>
                  <w:tcBorders>
                    <w:top w:val="single" w:color="auto" w:sz="4" w:space="0"/>
                  </w:tcBorders>
                  <w:noWrap w:val="0"/>
                  <w:vAlign w:val="center"/>
                </w:tcPr>
                <w:p w14:paraId="09211B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color w:val="auto"/>
                      <w:highlight w:val="none"/>
                      <w:lang w:val="en-US" w:eastAsia="zh-CN"/>
                    </w:rPr>
                    <w:t>江苏省地方标准《大气污染物综合排放标准》（DB32/4041-2021）表1中标准</w:t>
                  </w:r>
                </w:p>
              </w:tc>
            </w:tr>
            <w:tr w14:paraId="36F7B27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07E019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auto"/>
                      <w:highlight w:val="none"/>
                    </w:rPr>
                  </w:pPr>
                </w:p>
              </w:tc>
              <w:tc>
                <w:tcPr>
                  <w:tcW w:w="1077" w:type="pct"/>
                  <w:noWrap w:val="0"/>
                  <w:vAlign w:val="center"/>
                </w:tcPr>
                <w:p w14:paraId="2AB9E9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highlight w:val="none"/>
                      <w:lang w:val="en-US" w:eastAsia="zh-CN"/>
                    </w:rPr>
                    <w:t>FQ</w:t>
                  </w:r>
                  <w:r>
                    <w:rPr>
                      <w:rFonts w:hint="eastAsia" w:cs="Times New Roman"/>
                      <w:b w:val="0"/>
                      <w:bCs w:val="0"/>
                      <w:color w:val="auto"/>
                      <w:highlight w:val="none"/>
                      <w:lang w:val="en-US" w:eastAsia="zh-CN"/>
                    </w:rPr>
                    <w:t>0</w:t>
                  </w:r>
                  <w:r>
                    <w:rPr>
                      <w:rFonts w:hint="eastAsia" w:ascii="Times New Roman" w:hAnsi="Times New Roman" w:eastAsia="宋体" w:cs="Times New Roman"/>
                      <w:b w:val="0"/>
                      <w:bCs w:val="0"/>
                      <w:color w:val="auto"/>
                      <w:highlight w:val="none"/>
                      <w:lang w:val="en-US" w:eastAsia="zh-CN"/>
                    </w:rPr>
                    <w:t>8</w:t>
                  </w:r>
                </w:p>
              </w:tc>
              <w:tc>
                <w:tcPr>
                  <w:tcW w:w="787" w:type="pct"/>
                  <w:noWrap w:val="0"/>
                  <w:vAlign w:val="center"/>
                </w:tcPr>
                <w:p w14:paraId="54D2F6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颗粒物</w:t>
                  </w:r>
                </w:p>
              </w:tc>
              <w:tc>
                <w:tcPr>
                  <w:tcW w:w="521" w:type="pct"/>
                  <w:vMerge w:val="continue"/>
                  <w:noWrap w:val="0"/>
                  <w:vAlign w:val="center"/>
                </w:tcPr>
                <w:p w14:paraId="7EE3BB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p>
              </w:tc>
              <w:tc>
                <w:tcPr>
                  <w:tcW w:w="1913" w:type="pct"/>
                  <w:vMerge w:val="continue"/>
                  <w:tcBorders>
                    <w:bottom w:val="single" w:color="auto" w:sz="4" w:space="0"/>
                  </w:tcBorders>
                  <w:noWrap w:val="0"/>
                  <w:vAlign w:val="center"/>
                </w:tcPr>
                <w:p w14:paraId="740D35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p>
              </w:tc>
            </w:tr>
            <w:tr w14:paraId="33AEC5E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188CE9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auto"/>
                      <w:highlight w:val="none"/>
                    </w:rPr>
                  </w:pPr>
                </w:p>
              </w:tc>
              <w:tc>
                <w:tcPr>
                  <w:tcW w:w="1077" w:type="pct"/>
                  <w:noWrap w:val="0"/>
                  <w:vAlign w:val="center"/>
                </w:tcPr>
                <w:p w14:paraId="3A5423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highlight w:val="none"/>
                      <w:lang w:val="en-US" w:eastAsia="zh-CN"/>
                    </w:rPr>
                    <w:t>FQ</w:t>
                  </w:r>
                  <w:r>
                    <w:rPr>
                      <w:rFonts w:hint="eastAsia" w:cs="Times New Roman"/>
                      <w:b w:val="0"/>
                      <w:bCs w:val="0"/>
                      <w:color w:val="auto"/>
                      <w:highlight w:val="none"/>
                      <w:lang w:val="en-US" w:eastAsia="zh-CN"/>
                    </w:rPr>
                    <w:t>0</w:t>
                  </w:r>
                  <w:r>
                    <w:rPr>
                      <w:rFonts w:hint="eastAsia" w:ascii="Times New Roman" w:hAnsi="Times New Roman" w:eastAsia="宋体" w:cs="Times New Roman"/>
                      <w:b w:val="0"/>
                      <w:bCs w:val="0"/>
                      <w:color w:val="auto"/>
                      <w:highlight w:val="none"/>
                      <w:lang w:val="en-US" w:eastAsia="zh-CN"/>
                    </w:rPr>
                    <w:t>9</w:t>
                  </w:r>
                  <w:r>
                    <w:rPr>
                      <w:rFonts w:hint="eastAsia"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FQ10</w:t>
                  </w:r>
                  <w:r>
                    <w:rPr>
                      <w:rFonts w:hint="eastAsia"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FQ11</w:t>
                  </w:r>
                  <w:r>
                    <w:rPr>
                      <w:rFonts w:hint="eastAsia" w:cs="Times New Roman"/>
                      <w:b w:val="0"/>
                      <w:bCs w:val="0"/>
                      <w:color w:val="auto"/>
                      <w:highlight w:val="none"/>
                      <w:lang w:val="en-US" w:eastAsia="zh-CN"/>
                    </w:rPr>
                    <w:t>、</w:t>
                  </w:r>
                </w:p>
              </w:tc>
              <w:tc>
                <w:tcPr>
                  <w:tcW w:w="787" w:type="pct"/>
                  <w:noWrap w:val="0"/>
                  <w:vAlign w:val="center"/>
                </w:tcPr>
                <w:p w14:paraId="124D2D2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非甲烷总烃</w:t>
                  </w:r>
                </w:p>
              </w:tc>
              <w:tc>
                <w:tcPr>
                  <w:tcW w:w="521" w:type="pct"/>
                  <w:vMerge w:val="continue"/>
                  <w:noWrap w:val="0"/>
                  <w:vAlign w:val="center"/>
                </w:tcPr>
                <w:p w14:paraId="22C604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p>
              </w:tc>
              <w:tc>
                <w:tcPr>
                  <w:tcW w:w="1913" w:type="pct"/>
                  <w:tcBorders>
                    <w:top w:val="single" w:color="auto" w:sz="4" w:space="0"/>
                  </w:tcBorders>
                  <w:noWrap w:val="0"/>
                  <w:vAlign w:val="center"/>
                </w:tcPr>
                <w:p w14:paraId="7E711F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color w:val="auto"/>
                      <w:highlight w:val="none"/>
                      <w:lang w:val="en-US" w:eastAsia="zh-CN"/>
                    </w:rPr>
                    <w:t>江苏省地方标准《大气污染物综合排放标准》（DB32/4041-2021）表1中标准</w:t>
                  </w:r>
                </w:p>
              </w:tc>
            </w:tr>
            <w:tr w14:paraId="2614D2F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0DA317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color w:val="auto"/>
                      <w:highlight w:val="none"/>
                    </w:rPr>
                  </w:pPr>
                </w:p>
              </w:tc>
              <w:tc>
                <w:tcPr>
                  <w:tcW w:w="1077" w:type="pct"/>
                  <w:noWrap w:val="0"/>
                  <w:vAlign w:val="center"/>
                </w:tcPr>
                <w:p w14:paraId="1000EA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eastAsia" w:ascii="Times New Roman" w:hAnsi="Times New Roman" w:eastAsia="宋体" w:cs="Times New Roman"/>
                      <w:b w:val="0"/>
                      <w:bCs w:val="0"/>
                      <w:color w:val="auto"/>
                      <w:highlight w:val="none"/>
                      <w:lang w:val="en-US" w:eastAsia="zh-CN"/>
                    </w:rPr>
                    <w:t>FQ12</w:t>
                  </w:r>
                  <w:r>
                    <w:rPr>
                      <w:rFonts w:hint="eastAsia"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FQ13</w:t>
                  </w:r>
                  <w:r>
                    <w:rPr>
                      <w:rFonts w:hint="eastAsia"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FQ14</w:t>
                  </w:r>
                </w:p>
              </w:tc>
              <w:tc>
                <w:tcPr>
                  <w:tcW w:w="787" w:type="pct"/>
                  <w:noWrap w:val="0"/>
                  <w:vAlign w:val="center"/>
                </w:tcPr>
                <w:p w14:paraId="0665F3B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521" w:type="pct"/>
                  <w:vMerge w:val="continue"/>
                  <w:noWrap w:val="0"/>
                  <w:vAlign w:val="center"/>
                </w:tcPr>
                <w:p w14:paraId="5EA6C3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p>
              </w:tc>
              <w:tc>
                <w:tcPr>
                  <w:tcW w:w="1913" w:type="pct"/>
                  <w:tcBorders>
                    <w:top w:val="single" w:color="auto" w:sz="4" w:space="0"/>
                  </w:tcBorders>
                  <w:noWrap w:val="0"/>
                  <w:vAlign w:val="center"/>
                </w:tcPr>
                <w:p w14:paraId="0997FA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highlight w:val="none"/>
                      <w:lang w:val="en-US" w:eastAsia="zh-CN"/>
                    </w:rPr>
                    <w:t>江苏省地方标准《大气污染物综合排放标准》（DB32/4041—2021）表1标准</w:t>
                  </w:r>
                </w:p>
              </w:tc>
            </w:tr>
            <w:tr w14:paraId="6CBED2D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00326A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rPr>
                  </w:pPr>
                </w:p>
              </w:tc>
              <w:tc>
                <w:tcPr>
                  <w:tcW w:w="1077" w:type="pct"/>
                  <w:noWrap w:val="0"/>
                  <w:vAlign w:val="center"/>
                </w:tcPr>
                <w:p w14:paraId="7AAA13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上风向设一个点、下风向设3个点</w:t>
                  </w:r>
                </w:p>
              </w:tc>
              <w:tc>
                <w:tcPr>
                  <w:tcW w:w="787" w:type="pct"/>
                  <w:noWrap w:val="0"/>
                  <w:vAlign w:val="center"/>
                </w:tcPr>
                <w:p w14:paraId="289657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非甲烷总烃、氮氧化物、</w:t>
                  </w:r>
                  <w:r>
                    <w:rPr>
                      <w:rFonts w:hint="eastAsia" w:ascii="Times New Roman" w:hAnsi="Times New Roman" w:eastAsia="宋体" w:cs="Times New Roman"/>
                      <w:b w:val="0"/>
                      <w:bCs w:val="0"/>
                      <w:color w:val="auto"/>
                      <w:highlight w:val="none"/>
                    </w:rPr>
                    <w:t>颗粒物</w:t>
                  </w:r>
                  <w:r>
                    <w:rPr>
                      <w:rFonts w:hint="eastAsia" w:ascii="Times New Roman" w:hAnsi="Times New Roman" w:eastAsia="宋体" w:cs="Times New Roman"/>
                      <w:b w:val="0"/>
                      <w:bCs w:val="0"/>
                      <w:color w:val="auto"/>
                      <w:highlight w:val="none"/>
                      <w:lang w:eastAsia="zh-CN"/>
                    </w:rPr>
                    <w:t>、</w:t>
                  </w:r>
                  <w:r>
                    <w:rPr>
                      <w:rFonts w:hint="eastAsia" w:ascii="Times New Roman" w:hAnsi="Times New Roman" w:eastAsia="宋体" w:cs="Times New Roman"/>
                      <w:b w:val="0"/>
                      <w:bCs w:val="0"/>
                      <w:color w:val="auto"/>
                      <w:highlight w:val="none"/>
                      <w:lang w:val="en-US" w:eastAsia="zh-CN"/>
                    </w:rPr>
                    <w:t>氟化物、酚类</w:t>
                  </w:r>
                </w:p>
              </w:tc>
              <w:tc>
                <w:tcPr>
                  <w:tcW w:w="521" w:type="pct"/>
                  <w:vMerge w:val="continue"/>
                  <w:noWrap w:val="0"/>
                  <w:vAlign w:val="center"/>
                </w:tcPr>
                <w:p w14:paraId="5FB5D1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p>
              </w:tc>
              <w:tc>
                <w:tcPr>
                  <w:tcW w:w="1913" w:type="pct"/>
                  <w:tcBorders>
                    <w:top w:val="single" w:color="auto" w:sz="4" w:space="0"/>
                  </w:tcBorders>
                  <w:noWrap w:val="0"/>
                  <w:vAlign w:val="center"/>
                </w:tcPr>
                <w:p w14:paraId="14C864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szCs w:val="21"/>
                      <w:highlight w:val="none"/>
                    </w:rPr>
                    <w:t>江苏省地方标准《大气污染物综合排放标准》（DB32/4041-2021）表</w:t>
                  </w:r>
                  <w:r>
                    <w:rPr>
                      <w:rFonts w:hint="eastAsia" w:ascii="Times New Roman" w:hAnsi="Times New Roman" w:eastAsia="宋体" w:cs="Times New Roman"/>
                      <w:b w:val="0"/>
                      <w:bCs w:val="0"/>
                      <w:color w:val="auto"/>
                      <w:szCs w:val="21"/>
                      <w:highlight w:val="none"/>
                      <w:lang w:val="en-US" w:eastAsia="zh-CN"/>
                    </w:rPr>
                    <w:t>3</w:t>
                  </w:r>
                  <w:r>
                    <w:rPr>
                      <w:rFonts w:hint="eastAsia" w:ascii="Times New Roman" w:hAnsi="Times New Roman" w:eastAsia="宋体" w:cs="Times New Roman"/>
                      <w:b w:val="0"/>
                      <w:bCs w:val="0"/>
                      <w:color w:val="auto"/>
                      <w:szCs w:val="21"/>
                      <w:highlight w:val="none"/>
                    </w:rPr>
                    <w:t>中标准</w:t>
                  </w:r>
                </w:p>
              </w:tc>
            </w:tr>
            <w:tr w14:paraId="4BBFCA4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23" w:hRule="atLeast"/>
                <w:jc w:val="center"/>
              </w:trPr>
              <w:tc>
                <w:tcPr>
                  <w:tcW w:w="701" w:type="pct"/>
                  <w:vMerge w:val="continue"/>
                  <w:noWrap w:val="0"/>
                  <w:vAlign w:val="center"/>
                </w:tcPr>
                <w:p w14:paraId="6B3DB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highlight w:val="none"/>
                    </w:rPr>
                  </w:pPr>
                </w:p>
              </w:tc>
              <w:tc>
                <w:tcPr>
                  <w:tcW w:w="1077" w:type="pct"/>
                  <w:noWrap w:val="0"/>
                  <w:vAlign w:val="center"/>
                </w:tcPr>
                <w:p w14:paraId="194883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厂房门窗或通风口、其他开口（孔）等排放口外1m</w:t>
                  </w:r>
                </w:p>
              </w:tc>
              <w:tc>
                <w:tcPr>
                  <w:tcW w:w="787" w:type="pct"/>
                  <w:noWrap w:val="0"/>
                  <w:vAlign w:val="center"/>
                </w:tcPr>
                <w:p w14:paraId="0BE7D998">
                  <w:pPr>
                    <w:pStyle w:val="36"/>
                    <w:keepNext w:val="0"/>
                    <w:keepLines w:val="0"/>
                    <w:pageBreakBefore w:val="0"/>
                    <w:suppressLineNumbers w:val="0"/>
                    <w:kinsoku/>
                    <w:wordWrap/>
                    <w:overflowPunct/>
                    <w:topLinePunct w:val="0"/>
                    <w:autoSpaceDE/>
                    <w:autoSpaceDN/>
                    <w:bidi w:val="0"/>
                    <w:spacing w:before="0" w:beforeAutospacing="0" w:after="0" w:afterAutospacing="0" w:line="240" w:lineRule="exact"/>
                    <w:ind w:left="0" w:right="0"/>
                    <w:textAlignment w:val="auto"/>
                    <w:rPr>
                      <w:rFonts w:hint="eastAsia" w:ascii="Times New Roman" w:hAnsi="Times New Roman" w:eastAsia="宋体" w:cs="Times New Roman"/>
                      <w:b w:val="0"/>
                      <w:bCs w:val="0"/>
                      <w:color w:val="auto"/>
                      <w:szCs w:val="20"/>
                      <w:highlight w:val="none"/>
                      <w:lang w:val="en-US" w:eastAsia="zh-CN"/>
                    </w:rPr>
                  </w:pPr>
                  <w:r>
                    <w:rPr>
                      <w:rFonts w:hint="eastAsia" w:ascii="Times New Roman" w:hAnsi="Times New Roman" w:eastAsia="宋体"/>
                      <w:color w:val="auto"/>
                      <w:sz w:val="21"/>
                      <w:szCs w:val="21"/>
                      <w:highlight w:val="none"/>
                    </w:rPr>
                    <w:t>NMHC</w:t>
                  </w:r>
                </w:p>
              </w:tc>
              <w:tc>
                <w:tcPr>
                  <w:tcW w:w="521" w:type="pct"/>
                  <w:noWrap w:val="0"/>
                  <w:vAlign w:val="center"/>
                </w:tcPr>
                <w:p w14:paraId="66D018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color w:val="auto"/>
                      <w:sz w:val="21"/>
                      <w:szCs w:val="21"/>
                      <w:highlight w:val="none"/>
                      <w:lang w:val="en-US" w:eastAsia="zh-CN"/>
                    </w:rPr>
                    <w:t>一年一次</w:t>
                  </w:r>
                </w:p>
              </w:tc>
              <w:tc>
                <w:tcPr>
                  <w:tcW w:w="1913" w:type="pct"/>
                  <w:noWrap w:val="0"/>
                  <w:vAlign w:val="center"/>
                </w:tcPr>
                <w:p w14:paraId="39DDBFC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eastAsia" w:ascii="Times New Roman" w:hAnsi="Times New Roman" w:eastAsia="宋体" w:cs="Times New Roman"/>
                      <w:b w:val="0"/>
                      <w:bCs w:val="0"/>
                      <w:color w:val="auto"/>
                      <w:szCs w:val="21"/>
                      <w:highlight w:val="none"/>
                    </w:rPr>
                  </w:pPr>
                  <w:r>
                    <w:rPr>
                      <w:rFonts w:hint="eastAsia" w:ascii="Times New Roman" w:hAnsi="Times New Roman" w:eastAsia="宋体"/>
                      <w:color w:val="auto"/>
                      <w:sz w:val="21"/>
                      <w:szCs w:val="21"/>
                      <w:highlight w:val="none"/>
                      <w:lang w:val="en-US" w:eastAsia="zh-CN"/>
                    </w:rPr>
                    <w:t>江苏省地方标准《大气污染物综合排放标准》（DB32/4041—2021）表2标准</w:t>
                  </w:r>
                </w:p>
              </w:tc>
            </w:tr>
          </w:tbl>
          <w:p w14:paraId="02188D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rPr>
              <w:t>非正常排放情况</w:t>
            </w:r>
          </w:p>
          <w:p w14:paraId="46B44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在车间开工时，首先运行配套的废气处理装置，然后再开启车间的工艺流程，使在生产中产生的废气都能及时得到处理。车间停工时，所有的废气处理装置继续运转，待工艺中的废气没有排出之后才逐台关闭。这样，车间在开、停车时排出污染物均得到有效处理，经排气筒排出的污染物浓度和正常生产时基本一致。废气处理系统和排风机均设有保安电源。各种状态下均能保证正常运行。</w:t>
            </w:r>
          </w:p>
          <w:p w14:paraId="5A2D66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本工程排风系统均设有安全保护电源和报警系统，设备每年检修一次，基本上能保证无故障运行。日常运行中，若出现故障，检修人员可立即</w:t>
            </w:r>
            <w:r>
              <w:rPr>
                <w:rFonts w:hint="eastAsia" w:ascii="Times New Roman" w:hAnsi="Times New Roman" w:eastAsia="宋体" w:cs="Times New Roman"/>
                <w:color w:val="auto"/>
                <w:sz w:val="24"/>
                <w:highlight w:val="none"/>
                <w:lang w:eastAsia="zh-CN"/>
              </w:rPr>
              <w:t>赶到</w:t>
            </w:r>
            <w:r>
              <w:rPr>
                <w:rFonts w:hint="eastAsia" w:ascii="Times New Roman" w:hAnsi="Times New Roman" w:eastAsia="宋体" w:cs="Times New Roman"/>
                <w:color w:val="auto"/>
                <w:sz w:val="24"/>
                <w:highlight w:val="none"/>
              </w:rPr>
              <w:t>现场进行维修，一般操作在10分钟内基本上可以完成，预计最长不会超过30分钟。</w:t>
            </w:r>
          </w:p>
          <w:p w14:paraId="1AF4D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废气处理系统出现故障，一般几种情况：停电、废气处理装置和风机出现故障，对生产异常情况，采取以下措施：</w:t>
            </w:r>
          </w:p>
          <w:p w14:paraId="2CC7BF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①如果全厂停电，停止生产，无污染物产生。为确保安全，风机仍然继续运转。</w:t>
            </w:r>
          </w:p>
          <w:p w14:paraId="73D41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②风机出现故障时，备用风机立即启动。</w:t>
            </w:r>
          </w:p>
          <w:p w14:paraId="7BFACC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③当废气处理设施发生故障时，停止生产。</w:t>
            </w:r>
          </w:p>
          <w:p w14:paraId="26DA68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根据类比调查，出现非正常排放状态主要情况为废气处理设施失效出现故障等造成非正常排放，此时废气处理效率均以0%计，</w:t>
            </w:r>
            <w:r>
              <w:rPr>
                <w:rFonts w:hint="eastAsia"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rPr>
              <w:t>非正常排放状态下废气的排放情况见下表。</w:t>
            </w:r>
          </w:p>
          <w:p w14:paraId="2E1C3EBA">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425B2924">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63287019">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0C171DA6">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310EC5FA">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79EAD084">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5FC555BD">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71E684C9">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73A68426">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798E2167">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788BF303">
            <w:pPr>
              <w:pStyle w:val="5"/>
              <w:keepNext w:val="0"/>
              <w:keepLines w:val="0"/>
              <w:numPr>
                <w:ilvl w:val="0"/>
                <w:numId w:val="0"/>
              </w:numPr>
              <w:suppressLineNumbers w:val="0"/>
              <w:adjustRightInd w:val="0"/>
              <w:snapToGrid w:val="0"/>
              <w:spacing w:before="0" w:beforeAutospacing="0" w:after="0" w:afterAutospacing="0" w:line="240" w:lineRule="auto"/>
              <w:ind w:left="425" w:leftChars="0" w:right="0" w:hanging="425" w:firstLineChars="0"/>
              <w:jc w:val="center"/>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表4-1</w:t>
            </w:r>
            <w:r>
              <w:rPr>
                <w:rFonts w:hint="eastAsia"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eastAsia" w:ascii="Times New Roman" w:hAnsi="Times New Roman" w:eastAsia="宋体" w:cs="Times New Roman"/>
                <w:b/>
                <w:bCs/>
                <w:color w:val="auto"/>
                <w:sz w:val="24"/>
                <w:highlight w:val="none"/>
                <w:lang w:val="en-US" w:eastAsia="zh-CN"/>
              </w:rPr>
              <w:t>非正常排放情况一览表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11"/>
              <w:gridCol w:w="360"/>
              <w:gridCol w:w="330"/>
              <w:gridCol w:w="375"/>
              <w:gridCol w:w="660"/>
              <w:gridCol w:w="615"/>
              <w:gridCol w:w="735"/>
              <w:gridCol w:w="585"/>
              <w:gridCol w:w="1005"/>
              <w:gridCol w:w="585"/>
              <w:gridCol w:w="720"/>
              <w:gridCol w:w="810"/>
              <w:gridCol w:w="573"/>
              <w:gridCol w:w="485"/>
            </w:tblGrid>
            <w:tr w14:paraId="6F309D1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361" w:type="pct"/>
                  <w:vMerge w:val="restart"/>
                  <w:tcBorders>
                    <w:bottom w:val="single" w:color="000000" w:sz="4" w:space="0"/>
                    <w:right w:val="single" w:color="000000" w:sz="4" w:space="0"/>
                  </w:tcBorders>
                  <w:noWrap w:val="0"/>
                  <w:tcMar>
                    <w:top w:w="8" w:type="dxa"/>
                    <w:left w:w="8" w:type="dxa"/>
                    <w:right w:w="8" w:type="dxa"/>
                  </w:tcMar>
                  <w:vAlign w:val="center"/>
                </w:tcPr>
                <w:p w14:paraId="26F4A62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非正常排放源</w:t>
                  </w:r>
                </w:p>
              </w:tc>
              <w:tc>
                <w:tcPr>
                  <w:tcW w:w="213"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30B6285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非正常排放原因</w:t>
                  </w:r>
                </w:p>
              </w:tc>
              <w:tc>
                <w:tcPr>
                  <w:tcW w:w="195"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6777430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年发生频次/次</w:t>
                  </w:r>
                </w:p>
              </w:tc>
              <w:tc>
                <w:tcPr>
                  <w:tcW w:w="221"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6077560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单次持续时间/h</w:t>
                  </w:r>
                </w:p>
              </w:tc>
              <w:tc>
                <w:tcPr>
                  <w:tcW w:w="390"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2C757E6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污染物名称</w:t>
                  </w:r>
                </w:p>
              </w:tc>
              <w:tc>
                <w:tcPr>
                  <w:tcW w:w="1145" w:type="pct"/>
                  <w:gridSpan w:val="3"/>
                  <w:tcBorders>
                    <w:left w:val="single" w:color="000000" w:sz="4" w:space="0"/>
                    <w:bottom w:val="single" w:color="000000" w:sz="4" w:space="0"/>
                    <w:right w:val="single" w:color="000000" w:sz="4" w:space="0"/>
                  </w:tcBorders>
                  <w:noWrap w:val="0"/>
                  <w:tcMar>
                    <w:top w:w="8" w:type="dxa"/>
                    <w:left w:w="8" w:type="dxa"/>
                    <w:right w:w="8" w:type="dxa"/>
                  </w:tcMar>
                  <w:vAlign w:val="center"/>
                </w:tcPr>
                <w:p w14:paraId="7AA2979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产生状况</w:t>
                  </w:r>
                </w:p>
              </w:tc>
              <w:tc>
                <w:tcPr>
                  <w:tcW w:w="594"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34CDC4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治理措施</w:t>
                  </w:r>
                </w:p>
              </w:tc>
              <w:tc>
                <w:tcPr>
                  <w:tcW w:w="346" w:type="pct"/>
                  <w:vMerge w:val="restart"/>
                  <w:tcBorders>
                    <w:left w:val="single" w:color="000000" w:sz="4" w:space="0"/>
                    <w:bottom w:val="single" w:color="000000" w:sz="4" w:space="0"/>
                    <w:right w:val="single" w:color="000000" w:sz="4" w:space="0"/>
                  </w:tcBorders>
                  <w:noWrap w:val="0"/>
                  <w:tcMar>
                    <w:top w:w="8" w:type="dxa"/>
                    <w:left w:w="8" w:type="dxa"/>
                    <w:right w:w="8" w:type="dxa"/>
                  </w:tcMar>
                  <w:vAlign w:val="center"/>
                </w:tcPr>
                <w:p w14:paraId="57945EA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去除率</w:t>
                  </w:r>
                </w:p>
                <w:p w14:paraId="754E041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w:t>
                  </w:r>
                </w:p>
              </w:tc>
              <w:tc>
                <w:tcPr>
                  <w:tcW w:w="1244" w:type="pct"/>
                  <w:gridSpan w:val="3"/>
                  <w:tcBorders>
                    <w:left w:val="single" w:color="000000" w:sz="4" w:space="0"/>
                    <w:bottom w:val="single" w:color="000000" w:sz="4" w:space="0"/>
                    <w:right w:val="single" w:color="000000" w:sz="4" w:space="0"/>
                  </w:tcBorders>
                  <w:noWrap w:val="0"/>
                  <w:tcMar>
                    <w:top w:w="8" w:type="dxa"/>
                    <w:left w:w="8" w:type="dxa"/>
                    <w:right w:w="8" w:type="dxa"/>
                  </w:tcMar>
                  <w:vAlign w:val="center"/>
                </w:tcPr>
                <w:p w14:paraId="6B93DED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非正常排放状况</w:t>
                  </w:r>
                </w:p>
              </w:tc>
              <w:tc>
                <w:tcPr>
                  <w:tcW w:w="287" w:type="pct"/>
                  <w:vMerge w:val="restart"/>
                  <w:tcBorders>
                    <w:left w:val="single" w:color="000000" w:sz="4" w:space="0"/>
                    <w:bottom w:val="single" w:color="000000" w:sz="4" w:space="0"/>
                  </w:tcBorders>
                  <w:noWrap w:val="0"/>
                  <w:tcMar>
                    <w:top w:w="8" w:type="dxa"/>
                    <w:left w:w="8" w:type="dxa"/>
                    <w:right w:w="8" w:type="dxa"/>
                  </w:tcMar>
                  <w:vAlign w:val="center"/>
                </w:tcPr>
                <w:p w14:paraId="2545728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排放方式</w:t>
                  </w:r>
                </w:p>
              </w:tc>
            </w:tr>
            <w:tr w14:paraId="271376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256" w:hRule="atLeast"/>
                <w:jc w:val="center"/>
              </w:trPr>
              <w:tc>
                <w:tcPr>
                  <w:tcW w:w="361" w:type="pct"/>
                  <w:vMerge w:val="continue"/>
                  <w:tcBorders>
                    <w:top w:val="single" w:color="000000" w:sz="4" w:space="0"/>
                    <w:bottom w:val="single" w:color="000000" w:sz="4" w:space="0"/>
                    <w:right w:val="single" w:color="000000" w:sz="4" w:space="0"/>
                  </w:tcBorders>
                  <w:noWrap w:val="0"/>
                  <w:tcMar>
                    <w:top w:w="8" w:type="dxa"/>
                    <w:left w:w="8" w:type="dxa"/>
                    <w:right w:w="8" w:type="dxa"/>
                  </w:tcMar>
                  <w:vAlign w:val="center"/>
                </w:tcPr>
                <w:p w14:paraId="4C97D2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213"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1CF36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195"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25EF0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221"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DCD16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390"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F0FDC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BCD4609">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kern w:val="0"/>
                      <w:sz w:val="18"/>
                      <w:szCs w:val="18"/>
                      <w:highlight w:val="none"/>
                      <w:lang w:bidi="ar"/>
                    </w:rPr>
                    <w:t>产生量</w:t>
                  </w:r>
                  <w:r>
                    <w:rPr>
                      <w:rFonts w:hint="eastAsia" w:ascii="Times New Roman" w:hAnsi="Times New Roman" w:eastAsia="宋体" w:cs="Times New Roman"/>
                      <w:b/>
                      <w:color w:val="auto"/>
                      <w:kern w:val="0"/>
                      <w:sz w:val="18"/>
                      <w:szCs w:val="18"/>
                      <w:highlight w:val="none"/>
                      <w:lang w:val="en-US" w:eastAsia="zh-CN" w:bidi="ar"/>
                    </w:rPr>
                    <w:t>(</w:t>
                  </w:r>
                  <w:r>
                    <w:rPr>
                      <w:rFonts w:hint="default" w:ascii="Times New Roman" w:hAnsi="Times New Roman" w:eastAsia="宋体" w:cs="Times New Roman"/>
                      <w:b/>
                      <w:color w:val="auto"/>
                      <w:kern w:val="0"/>
                      <w:sz w:val="18"/>
                      <w:szCs w:val="18"/>
                      <w:highlight w:val="none"/>
                      <w:lang w:bidi="ar"/>
                    </w:rPr>
                    <w:t>kg/次</w:t>
                  </w:r>
                  <w:r>
                    <w:rPr>
                      <w:rFonts w:hint="eastAsia" w:ascii="Times New Roman" w:hAnsi="Times New Roman" w:eastAsia="宋体" w:cs="Times New Roman"/>
                      <w:b/>
                      <w:color w:val="auto"/>
                      <w:kern w:val="0"/>
                      <w:sz w:val="18"/>
                      <w:szCs w:val="18"/>
                      <w:highlight w:val="none"/>
                      <w:lang w:val="en-US" w:eastAsia="zh-CN" w:bidi="ar"/>
                    </w:rPr>
                    <w:t>)</w:t>
                  </w:r>
                </w:p>
              </w:tc>
              <w:tc>
                <w:tcPr>
                  <w:tcW w:w="43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8E758F8">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auto"/>
                      <w:kern w:val="0"/>
                      <w:sz w:val="18"/>
                      <w:szCs w:val="18"/>
                      <w:highlight w:val="none"/>
                      <w:lang w:val="en-US" w:eastAsia="zh-CN" w:bidi="ar"/>
                    </w:rPr>
                  </w:pPr>
                  <w:r>
                    <w:rPr>
                      <w:rFonts w:hint="eastAsia" w:cs="Times New Roman"/>
                      <w:b/>
                      <w:color w:val="auto"/>
                      <w:kern w:val="0"/>
                      <w:sz w:val="18"/>
                      <w:szCs w:val="18"/>
                      <w:highlight w:val="none"/>
                      <w:lang w:val="en-US" w:eastAsia="zh-CN" w:bidi="ar"/>
                    </w:rPr>
                    <w:t>浓度</w:t>
                  </w:r>
                  <w:r>
                    <w:rPr>
                      <w:rFonts w:hint="default"/>
                      <w:b/>
                      <w:color w:val="auto"/>
                      <w:kern w:val="0"/>
                      <w:sz w:val="21"/>
                      <w:szCs w:val="21"/>
                      <w:highlight w:val="none"/>
                      <w:lang w:bidi="ar"/>
                    </w:rPr>
                    <w:t>(mg/m</w:t>
                  </w:r>
                  <w:r>
                    <w:rPr>
                      <w:rFonts w:hint="default"/>
                      <w:b/>
                      <w:color w:val="auto"/>
                      <w:kern w:val="0"/>
                      <w:sz w:val="21"/>
                      <w:szCs w:val="21"/>
                      <w:highlight w:val="none"/>
                      <w:vertAlign w:val="superscript"/>
                      <w:lang w:bidi="ar"/>
                    </w:rPr>
                    <w:t>3</w:t>
                  </w:r>
                  <w:r>
                    <w:rPr>
                      <w:rStyle w:val="51"/>
                      <w:color w:val="auto"/>
                      <w:sz w:val="21"/>
                      <w:szCs w:val="21"/>
                      <w:highlight w:val="none"/>
                      <w:lang w:bidi="ar"/>
                    </w:rPr>
                    <w:t>)</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2B3891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速率</w:t>
                  </w:r>
                </w:p>
                <w:p w14:paraId="67635C7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(kg/h)</w:t>
                  </w:r>
                </w:p>
              </w:tc>
              <w:tc>
                <w:tcPr>
                  <w:tcW w:w="594"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04356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c>
                <w:tcPr>
                  <w:tcW w:w="346"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E34462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p>
              </w:tc>
              <w:tc>
                <w:tcPr>
                  <w:tcW w:w="42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C7370DF">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kern w:val="0"/>
                      <w:sz w:val="18"/>
                      <w:szCs w:val="18"/>
                      <w:highlight w:val="none"/>
                      <w:lang w:bidi="ar"/>
                    </w:rPr>
                    <w:t>排放量</w:t>
                  </w:r>
                  <w:r>
                    <w:rPr>
                      <w:rFonts w:hint="eastAsia" w:ascii="Times New Roman" w:hAnsi="Times New Roman" w:eastAsia="宋体" w:cs="Times New Roman"/>
                      <w:b/>
                      <w:color w:val="auto"/>
                      <w:kern w:val="0"/>
                      <w:sz w:val="18"/>
                      <w:szCs w:val="18"/>
                      <w:highlight w:val="none"/>
                      <w:lang w:val="en-US" w:eastAsia="zh-CN" w:bidi="ar"/>
                    </w:rPr>
                    <w:t>(</w:t>
                  </w:r>
                  <w:r>
                    <w:rPr>
                      <w:rFonts w:hint="default" w:ascii="Times New Roman" w:hAnsi="Times New Roman" w:eastAsia="宋体" w:cs="Times New Roman"/>
                      <w:b/>
                      <w:color w:val="auto"/>
                      <w:kern w:val="0"/>
                      <w:sz w:val="18"/>
                      <w:szCs w:val="18"/>
                      <w:highlight w:val="none"/>
                      <w:lang w:bidi="ar"/>
                    </w:rPr>
                    <w:t>kg/次</w:t>
                  </w:r>
                  <w:r>
                    <w:rPr>
                      <w:rFonts w:hint="eastAsia" w:ascii="Times New Roman" w:hAnsi="Times New Roman" w:eastAsia="宋体" w:cs="Times New Roman"/>
                      <w:b/>
                      <w:color w:val="auto"/>
                      <w:kern w:val="0"/>
                      <w:sz w:val="18"/>
                      <w:szCs w:val="18"/>
                      <w:highlight w:val="none"/>
                      <w:lang w:val="en-US" w:eastAsia="zh-CN" w:bidi="ar"/>
                    </w:rPr>
                    <w:t>)</w:t>
                  </w:r>
                </w:p>
              </w:tc>
              <w:tc>
                <w:tcPr>
                  <w:tcW w:w="47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B7F8B63">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b/>
                      <w:color w:val="auto"/>
                      <w:kern w:val="0"/>
                      <w:sz w:val="18"/>
                      <w:szCs w:val="18"/>
                      <w:highlight w:val="none"/>
                      <w:lang w:eastAsia="zh-CN" w:bidi="ar"/>
                    </w:rPr>
                  </w:pPr>
                  <w:r>
                    <w:rPr>
                      <w:rFonts w:hint="eastAsia" w:cs="Times New Roman"/>
                      <w:b/>
                      <w:color w:val="auto"/>
                      <w:kern w:val="0"/>
                      <w:sz w:val="18"/>
                      <w:szCs w:val="18"/>
                      <w:highlight w:val="none"/>
                      <w:lang w:val="en-US" w:eastAsia="zh-CN" w:bidi="ar"/>
                    </w:rPr>
                    <w:t>浓度</w:t>
                  </w:r>
                  <w:r>
                    <w:rPr>
                      <w:rFonts w:hint="default"/>
                      <w:b/>
                      <w:color w:val="auto"/>
                      <w:kern w:val="0"/>
                      <w:sz w:val="21"/>
                      <w:szCs w:val="21"/>
                      <w:highlight w:val="none"/>
                      <w:lang w:bidi="ar"/>
                    </w:rPr>
                    <w:t>(mg/m</w:t>
                  </w:r>
                  <w:r>
                    <w:rPr>
                      <w:rFonts w:hint="default"/>
                      <w:b/>
                      <w:color w:val="auto"/>
                      <w:kern w:val="0"/>
                      <w:sz w:val="21"/>
                      <w:szCs w:val="21"/>
                      <w:highlight w:val="none"/>
                      <w:vertAlign w:val="superscript"/>
                      <w:lang w:bidi="ar"/>
                    </w:rPr>
                    <w:t>3</w:t>
                  </w:r>
                  <w:r>
                    <w:rPr>
                      <w:rFonts w:hint="eastAsia"/>
                      <w:b/>
                      <w:color w:val="auto"/>
                      <w:kern w:val="0"/>
                      <w:sz w:val="21"/>
                      <w:szCs w:val="21"/>
                      <w:highlight w:val="none"/>
                      <w:vertAlign w:val="baseline"/>
                      <w:lang w:eastAsia="zh-CN" w:bidi="ar"/>
                    </w:rPr>
                    <w:t>）</w:t>
                  </w:r>
                </w:p>
              </w:tc>
              <w:tc>
                <w:tcPr>
                  <w:tcW w:w="33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183162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kern w:val="0"/>
                      <w:sz w:val="18"/>
                      <w:szCs w:val="18"/>
                      <w:highlight w:val="none"/>
                      <w:lang w:bidi="ar"/>
                    </w:rPr>
                  </w:pPr>
                  <w:r>
                    <w:rPr>
                      <w:rFonts w:hint="default" w:ascii="Times New Roman" w:hAnsi="Times New Roman" w:eastAsia="宋体" w:cs="Times New Roman"/>
                      <w:b/>
                      <w:color w:val="auto"/>
                      <w:kern w:val="0"/>
                      <w:sz w:val="18"/>
                      <w:szCs w:val="18"/>
                      <w:highlight w:val="none"/>
                      <w:lang w:bidi="ar"/>
                    </w:rPr>
                    <w:t>速率</w:t>
                  </w:r>
                </w:p>
                <w:p w14:paraId="4CD3ECE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kern w:val="0"/>
                      <w:sz w:val="18"/>
                      <w:szCs w:val="18"/>
                      <w:highlight w:val="none"/>
                      <w:lang w:bidi="ar"/>
                    </w:rPr>
                    <w:t>(kg/h)</w:t>
                  </w:r>
                </w:p>
              </w:tc>
              <w:tc>
                <w:tcPr>
                  <w:tcW w:w="287" w:type="pct"/>
                  <w:vMerge w:val="continue"/>
                  <w:tcBorders>
                    <w:top w:val="single" w:color="000000" w:sz="4" w:space="0"/>
                    <w:left w:val="single" w:color="000000" w:sz="4" w:space="0"/>
                    <w:bottom w:val="single" w:color="000000" w:sz="4" w:space="0"/>
                  </w:tcBorders>
                  <w:noWrap w:val="0"/>
                  <w:tcMar>
                    <w:top w:w="8" w:type="dxa"/>
                    <w:left w:w="8" w:type="dxa"/>
                    <w:right w:w="8" w:type="dxa"/>
                  </w:tcMar>
                  <w:vAlign w:val="center"/>
                </w:tcPr>
                <w:p w14:paraId="4B8493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p>
              </w:tc>
            </w:tr>
            <w:tr w14:paraId="5D19C4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62" w:hRule="atLeast"/>
                <w:jc w:val="center"/>
              </w:trPr>
              <w:tc>
                <w:tcPr>
                  <w:tcW w:w="361" w:type="pct"/>
                  <w:tcBorders>
                    <w:top w:val="single" w:color="000000" w:sz="4" w:space="0"/>
                    <w:bottom w:val="single" w:color="000000" w:sz="4" w:space="0"/>
                    <w:right w:val="single" w:color="000000" w:sz="4" w:space="0"/>
                  </w:tcBorders>
                  <w:noWrap w:val="0"/>
                  <w:tcMar>
                    <w:top w:w="8" w:type="dxa"/>
                    <w:left w:w="8" w:type="dxa"/>
                    <w:right w:w="8" w:type="dxa"/>
                  </w:tcMar>
                  <w:vAlign w:val="center"/>
                </w:tcPr>
                <w:p w14:paraId="018D07D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3号楼喷涂硅油-脱模剂</w:t>
                  </w:r>
                </w:p>
              </w:tc>
              <w:tc>
                <w:tcPr>
                  <w:tcW w:w="213" w:type="pct"/>
                  <w:vMerge w:val="restar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D9A39A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处理设施或风机故障、检修状况</w:t>
                  </w:r>
                </w:p>
              </w:tc>
              <w:tc>
                <w:tcPr>
                  <w:tcW w:w="195"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851E3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84252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90"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A51D89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53326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0.09565</w:t>
                  </w:r>
                </w:p>
              </w:tc>
              <w:tc>
                <w:tcPr>
                  <w:tcW w:w="43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F30EC8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10.93</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B2A245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0.1913</w:t>
                  </w:r>
                </w:p>
              </w:tc>
              <w:tc>
                <w:tcPr>
                  <w:tcW w:w="59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0D19541">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ascii="Times New Roman" w:hAnsi="Times New Roman" w:eastAsia="宋体"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FAC7C1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42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F4BFF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kern w:val="0"/>
                      <w:sz w:val="18"/>
                      <w:szCs w:val="18"/>
                      <w:highlight w:val="none"/>
                      <w:lang w:val="en-US" w:eastAsia="zh-CN" w:bidi="ar"/>
                    </w:rPr>
                    <w:t>0.09565</w:t>
                  </w:r>
                </w:p>
              </w:tc>
              <w:tc>
                <w:tcPr>
                  <w:tcW w:w="47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33AFE0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10.93</w:t>
                  </w:r>
                </w:p>
              </w:tc>
              <w:tc>
                <w:tcPr>
                  <w:tcW w:w="33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9F6D81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cs="Times New Roman"/>
                      <w:color w:val="auto"/>
                      <w:sz w:val="18"/>
                      <w:szCs w:val="18"/>
                      <w:highlight w:val="none"/>
                      <w:lang w:val="en-US" w:eastAsia="zh-CN"/>
                    </w:rPr>
                    <w:t>0.1913</w:t>
                  </w:r>
                </w:p>
              </w:tc>
              <w:tc>
                <w:tcPr>
                  <w:tcW w:w="287" w:type="pct"/>
                  <w:tcBorders>
                    <w:top w:val="single" w:color="000000" w:sz="4" w:space="0"/>
                    <w:left w:val="single" w:color="000000" w:sz="4" w:space="0"/>
                    <w:bottom w:val="single" w:color="000000" w:sz="4" w:space="0"/>
                  </w:tcBorders>
                  <w:noWrap w:val="0"/>
                  <w:tcMar>
                    <w:top w:w="8" w:type="dxa"/>
                    <w:left w:w="8" w:type="dxa"/>
                    <w:right w:w="8" w:type="dxa"/>
                  </w:tcMar>
                  <w:vAlign w:val="center"/>
                </w:tcPr>
                <w:p w14:paraId="782F20D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FQ</w:t>
                  </w:r>
                  <w:r>
                    <w:rPr>
                      <w:rFonts w:hint="eastAsia" w:ascii="Times New Roman" w:hAnsi="Times New Roman" w:eastAsia="宋体" w:cs="Times New Roman"/>
                      <w:color w:val="auto"/>
                      <w:kern w:val="0"/>
                      <w:sz w:val="18"/>
                      <w:szCs w:val="18"/>
                      <w:highlight w:val="none"/>
                      <w:lang w:val="en-US" w:eastAsia="zh-CN" w:bidi="ar"/>
                    </w:rPr>
                    <w:t>07</w:t>
                  </w:r>
                </w:p>
              </w:tc>
            </w:tr>
            <w:tr w14:paraId="7F8463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82" w:hRule="atLeast"/>
                <w:jc w:val="center"/>
              </w:trPr>
              <w:tc>
                <w:tcPr>
                  <w:tcW w:w="361" w:type="pct"/>
                  <w:tcBorders>
                    <w:top w:val="single" w:color="000000" w:sz="4" w:space="0"/>
                    <w:bottom w:val="single" w:color="000000" w:sz="4" w:space="0"/>
                    <w:right w:val="single" w:color="000000" w:sz="4" w:space="0"/>
                  </w:tcBorders>
                  <w:noWrap w:val="0"/>
                  <w:tcMar>
                    <w:top w:w="8" w:type="dxa"/>
                    <w:left w:w="8" w:type="dxa"/>
                    <w:right w:w="8" w:type="dxa"/>
                  </w:tcMar>
                  <w:vAlign w:val="center"/>
                </w:tcPr>
                <w:p w14:paraId="0C228CB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1号楼喷涂硅油-脱模剂</w:t>
                  </w:r>
                </w:p>
              </w:tc>
              <w:tc>
                <w:tcPr>
                  <w:tcW w:w="213"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C93DD6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p>
              </w:tc>
              <w:tc>
                <w:tcPr>
                  <w:tcW w:w="195"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16029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86F20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90"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69DD086">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146BB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0.09565</w:t>
                  </w:r>
                </w:p>
              </w:tc>
              <w:tc>
                <w:tcPr>
                  <w:tcW w:w="43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D6FC28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25.51</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05FA27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0.1913</w:t>
                  </w:r>
                </w:p>
              </w:tc>
              <w:tc>
                <w:tcPr>
                  <w:tcW w:w="59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DA2C6A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ascii="Times New Roman" w:hAnsi="Times New Roman" w:eastAsia="宋体"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FDCFAE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42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B48C54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0.09565</w:t>
                  </w:r>
                </w:p>
              </w:tc>
              <w:tc>
                <w:tcPr>
                  <w:tcW w:w="47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AF58E9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25.51</w:t>
                  </w:r>
                </w:p>
              </w:tc>
              <w:tc>
                <w:tcPr>
                  <w:tcW w:w="33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9D2061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0.1913</w:t>
                  </w:r>
                </w:p>
              </w:tc>
              <w:tc>
                <w:tcPr>
                  <w:tcW w:w="287" w:type="pct"/>
                  <w:tcBorders>
                    <w:top w:val="single" w:color="000000" w:sz="4" w:space="0"/>
                    <w:left w:val="single" w:color="000000" w:sz="4" w:space="0"/>
                    <w:bottom w:val="single" w:color="000000" w:sz="4" w:space="0"/>
                  </w:tcBorders>
                  <w:noWrap w:val="0"/>
                  <w:tcMar>
                    <w:top w:w="8" w:type="dxa"/>
                    <w:left w:w="8" w:type="dxa"/>
                    <w:right w:w="8" w:type="dxa"/>
                  </w:tcMar>
                  <w:vAlign w:val="center"/>
                </w:tcPr>
                <w:p w14:paraId="68A71C4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FQ</w:t>
                  </w:r>
                  <w:r>
                    <w:rPr>
                      <w:rFonts w:hint="eastAsia" w:ascii="Times New Roman" w:hAnsi="Times New Roman" w:eastAsia="宋体" w:cs="Times New Roman"/>
                      <w:color w:val="auto"/>
                      <w:kern w:val="0"/>
                      <w:sz w:val="18"/>
                      <w:szCs w:val="18"/>
                      <w:highlight w:val="none"/>
                      <w:lang w:val="en-US" w:eastAsia="zh-CN" w:bidi="ar"/>
                    </w:rPr>
                    <w:t>09</w:t>
                  </w:r>
                </w:p>
              </w:tc>
            </w:tr>
            <w:tr w14:paraId="1AB6ED5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82" w:hRule="atLeast"/>
                <w:jc w:val="center"/>
              </w:trPr>
              <w:tc>
                <w:tcPr>
                  <w:tcW w:w="361" w:type="pct"/>
                  <w:tcBorders>
                    <w:top w:val="single" w:color="000000" w:sz="4" w:space="0"/>
                    <w:bottom w:val="single" w:color="000000" w:sz="4" w:space="0"/>
                    <w:right w:val="single" w:color="000000" w:sz="4" w:space="0"/>
                  </w:tcBorders>
                  <w:noWrap w:val="0"/>
                  <w:tcMar>
                    <w:top w:w="8" w:type="dxa"/>
                    <w:left w:w="8" w:type="dxa"/>
                    <w:right w:w="8" w:type="dxa"/>
                  </w:tcMar>
                  <w:vAlign w:val="center"/>
                </w:tcPr>
                <w:p w14:paraId="74418B3C">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2号楼喷涂硅油-脱模剂</w:t>
                  </w:r>
                </w:p>
              </w:tc>
              <w:tc>
                <w:tcPr>
                  <w:tcW w:w="213"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3D765A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p>
              </w:tc>
              <w:tc>
                <w:tcPr>
                  <w:tcW w:w="195"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D356FC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C746A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90"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A17D0C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B5E0A8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0.09565</w:t>
                  </w:r>
                </w:p>
              </w:tc>
              <w:tc>
                <w:tcPr>
                  <w:tcW w:w="43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E8EBA6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25.51</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6BD4A3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0.1913</w:t>
                  </w:r>
                </w:p>
              </w:tc>
              <w:tc>
                <w:tcPr>
                  <w:tcW w:w="59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EF6CF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ascii="Times New Roman" w:hAnsi="Times New Roman" w:eastAsia="宋体"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17B9FD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42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F2C0A4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0.09565</w:t>
                  </w:r>
                </w:p>
              </w:tc>
              <w:tc>
                <w:tcPr>
                  <w:tcW w:w="47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992E6F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25.51</w:t>
                  </w:r>
                </w:p>
              </w:tc>
              <w:tc>
                <w:tcPr>
                  <w:tcW w:w="33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5C575C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0.1913</w:t>
                  </w:r>
                </w:p>
              </w:tc>
              <w:tc>
                <w:tcPr>
                  <w:tcW w:w="287" w:type="pct"/>
                  <w:tcBorders>
                    <w:top w:val="single" w:color="000000" w:sz="4" w:space="0"/>
                    <w:left w:val="single" w:color="000000" w:sz="4" w:space="0"/>
                    <w:bottom w:val="single" w:color="000000" w:sz="4" w:space="0"/>
                  </w:tcBorders>
                  <w:noWrap w:val="0"/>
                  <w:tcMar>
                    <w:top w:w="8" w:type="dxa"/>
                    <w:left w:w="8" w:type="dxa"/>
                    <w:right w:w="8" w:type="dxa"/>
                  </w:tcMar>
                  <w:vAlign w:val="center"/>
                </w:tcPr>
                <w:p w14:paraId="5915456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bidi="ar"/>
                    </w:rPr>
                    <w:t>FQ</w:t>
                  </w:r>
                  <w:r>
                    <w:rPr>
                      <w:rFonts w:hint="eastAsia" w:ascii="Times New Roman" w:hAnsi="Times New Roman" w:eastAsia="宋体" w:cs="Times New Roman"/>
                      <w:color w:val="auto"/>
                      <w:kern w:val="0"/>
                      <w:sz w:val="18"/>
                      <w:szCs w:val="18"/>
                      <w:highlight w:val="none"/>
                      <w:lang w:val="en-US" w:eastAsia="zh-CN" w:bidi="ar"/>
                    </w:rPr>
                    <w:t>10</w:t>
                  </w:r>
                </w:p>
              </w:tc>
            </w:tr>
            <w:tr w14:paraId="4DA84E7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42" w:hRule="atLeast"/>
                <w:jc w:val="center"/>
              </w:trPr>
              <w:tc>
                <w:tcPr>
                  <w:tcW w:w="361" w:type="pct"/>
                  <w:tcBorders>
                    <w:top w:val="single" w:color="000000" w:sz="4" w:space="0"/>
                    <w:bottom w:val="single" w:color="000000" w:sz="4" w:space="0"/>
                    <w:right w:val="single" w:color="000000" w:sz="4" w:space="0"/>
                  </w:tcBorders>
                  <w:noWrap w:val="0"/>
                  <w:tcMar>
                    <w:top w:w="8" w:type="dxa"/>
                    <w:left w:w="8" w:type="dxa"/>
                    <w:right w:w="8" w:type="dxa"/>
                  </w:tcMar>
                  <w:vAlign w:val="center"/>
                </w:tcPr>
                <w:p w14:paraId="0DE9401F">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4号楼喷涂硅油-脱模剂</w:t>
                  </w:r>
                </w:p>
              </w:tc>
              <w:tc>
                <w:tcPr>
                  <w:tcW w:w="213"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FFAD2C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p>
              </w:tc>
              <w:tc>
                <w:tcPr>
                  <w:tcW w:w="195"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C0628A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F32C4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90"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55479F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非甲烷总烃</w:t>
                  </w: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67749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0.09565</w:t>
                  </w:r>
                </w:p>
              </w:tc>
              <w:tc>
                <w:tcPr>
                  <w:tcW w:w="43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9591E1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25.51</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569D2A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0.1913</w:t>
                  </w:r>
                </w:p>
              </w:tc>
              <w:tc>
                <w:tcPr>
                  <w:tcW w:w="59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915D40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一级碱喷淋+一级水喷淋+</w:t>
                  </w:r>
                  <w:r>
                    <w:rPr>
                      <w:rFonts w:hint="eastAsia" w:ascii="Times New Roman" w:hAnsi="Times New Roman" w:eastAsia="宋体" w:cs="Times New Roman"/>
                      <w:color w:val="auto"/>
                      <w:sz w:val="18"/>
                      <w:szCs w:val="18"/>
                      <w:highlight w:val="none"/>
                      <w:lang w:val="en-US" w:eastAsia="zh-CN"/>
                    </w:rPr>
                    <w:t>除雾器+</w:t>
                  </w:r>
                  <w:r>
                    <w:rPr>
                      <w:rFonts w:hint="default" w:ascii="Times New Roman" w:hAnsi="Times New Roman" w:eastAsia="宋体" w:cs="Times New Roman"/>
                      <w:color w:val="auto"/>
                      <w:sz w:val="18"/>
                      <w:szCs w:val="18"/>
                      <w:highlight w:val="none"/>
                      <w:lang w:val="en-US" w:eastAsia="zh-CN"/>
                    </w:rPr>
                    <w:t>二级活性炭</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E105E4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42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45B64C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0.09565</w:t>
                  </w:r>
                </w:p>
              </w:tc>
              <w:tc>
                <w:tcPr>
                  <w:tcW w:w="47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4F0B8D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25.51</w:t>
                  </w:r>
                </w:p>
              </w:tc>
              <w:tc>
                <w:tcPr>
                  <w:tcW w:w="33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8DD832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cs="Times New Roman"/>
                      <w:color w:val="auto"/>
                      <w:sz w:val="18"/>
                      <w:szCs w:val="18"/>
                      <w:highlight w:val="none"/>
                      <w:lang w:val="en-US" w:eastAsia="zh-CN"/>
                    </w:rPr>
                    <w:t>0.1913</w:t>
                  </w:r>
                </w:p>
              </w:tc>
              <w:tc>
                <w:tcPr>
                  <w:tcW w:w="287" w:type="pct"/>
                  <w:tcBorders>
                    <w:top w:val="single" w:color="000000" w:sz="4" w:space="0"/>
                    <w:left w:val="single" w:color="000000" w:sz="4" w:space="0"/>
                    <w:bottom w:val="single" w:color="000000" w:sz="4" w:space="0"/>
                  </w:tcBorders>
                  <w:noWrap w:val="0"/>
                  <w:tcMar>
                    <w:top w:w="8" w:type="dxa"/>
                    <w:left w:w="8" w:type="dxa"/>
                    <w:right w:w="8" w:type="dxa"/>
                  </w:tcMar>
                  <w:vAlign w:val="center"/>
                </w:tcPr>
                <w:p w14:paraId="1906E7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sz w:val="18"/>
                      <w:szCs w:val="18"/>
                      <w:highlight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FQ</w:t>
                  </w:r>
                  <w:r>
                    <w:rPr>
                      <w:rFonts w:hint="eastAsia" w:ascii="Times New Roman" w:hAnsi="Times New Roman" w:eastAsia="宋体" w:cs="Times New Roman"/>
                      <w:i w:val="0"/>
                      <w:iCs w:val="0"/>
                      <w:color w:val="auto"/>
                      <w:kern w:val="0"/>
                      <w:sz w:val="18"/>
                      <w:szCs w:val="18"/>
                      <w:highlight w:val="none"/>
                      <w:u w:val="none"/>
                      <w:lang w:val="en-US" w:eastAsia="zh-CN" w:bidi="ar"/>
                    </w:rPr>
                    <w:t>11</w:t>
                  </w:r>
                </w:p>
              </w:tc>
            </w:tr>
            <w:tr w14:paraId="369FFB7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361" w:type="pct"/>
                  <w:tcBorders>
                    <w:top w:val="single" w:color="000000" w:sz="4" w:space="0"/>
                    <w:bottom w:val="single" w:color="000000" w:sz="4" w:space="0"/>
                    <w:right w:val="single" w:color="000000" w:sz="4" w:space="0"/>
                  </w:tcBorders>
                  <w:noWrap w:val="0"/>
                  <w:tcMar>
                    <w:top w:w="8" w:type="dxa"/>
                    <w:left w:w="8" w:type="dxa"/>
                    <w:right w:w="8" w:type="dxa"/>
                  </w:tcMar>
                  <w:vAlign w:val="center"/>
                </w:tcPr>
                <w:p w14:paraId="1D06387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1号楼精细抛光废气</w:t>
                  </w:r>
                </w:p>
              </w:tc>
              <w:tc>
                <w:tcPr>
                  <w:tcW w:w="213"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1BD084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p>
              </w:tc>
              <w:tc>
                <w:tcPr>
                  <w:tcW w:w="195"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6B6B5F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408BF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90"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CE7D50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颗粒物</w:t>
                  </w: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36D6B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0.5255</w:t>
                  </w:r>
                </w:p>
              </w:tc>
              <w:tc>
                <w:tcPr>
                  <w:tcW w:w="43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BE2374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65.67</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4E54A3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1.051</w:t>
                  </w:r>
                </w:p>
              </w:tc>
              <w:tc>
                <w:tcPr>
                  <w:tcW w:w="59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F1BCC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布袋除尘装置</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8D89AE4">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42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1E4C9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0.5255</w:t>
                  </w:r>
                </w:p>
              </w:tc>
              <w:tc>
                <w:tcPr>
                  <w:tcW w:w="47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922123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65.67</w:t>
                  </w:r>
                </w:p>
              </w:tc>
              <w:tc>
                <w:tcPr>
                  <w:tcW w:w="33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A08E1A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1.051</w:t>
                  </w:r>
                </w:p>
              </w:tc>
              <w:tc>
                <w:tcPr>
                  <w:tcW w:w="287" w:type="pct"/>
                  <w:tcBorders>
                    <w:top w:val="single" w:color="000000" w:sz="4" w:space="0"/>
                    <w:left w:val="single" w:color="000000" w:sz="4" w:space="0"/>
                    <w:bottom w:val="single" w:color="000000" w:sz="4" w:space="0"/>
                  </w:tcBorders>
                  <w:noWrap w:val="0"/>
                  <w:tcMar>
                    <w:top w:w="8" w:type="dxa"/>
                    <w:left w:w="8" w:type="dxa"/>
                    <w:right w:w="8" w:type="dxa"/>
                  </w:tcMar>
                  <w:vAlign w:val="center"/>
                </w:tcPr>
                <w:p w14:paraId="3A7702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FQ08</w:t>
                  </w:r>
                </w:p>
              </w:tc>
            </w:tr>
            <w:tr w14:paraId="70DAE4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361" w:type="pct"/>
                  <w:tcBorders>
                    <w:top w:val="single" w:color="000000" w:sz="4" w:space="0"/>
                    <w:bottom w:val="single" w:color="000000" w:sz="4" w:space="0"/>
                    <w:right w:val="single" w:color="000000" w:sz="4" w:space="0"/>
                  </w:tcBorders>
                  <w:noWrap w:val="0"/>
                  <w:tcMar>
                    <w:top w:w="8" w:type="dxa"/>
                    <w:left w:w="8" w:type="dxa"/>
                    <w:right w:w="8" w:type="dxa"/>
                  </w:tcMar>
                  <w:vAlign w:val="center"/>
                </w:tcPr>
                <w:p w14:paraId="4D94EED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2号楼精细抛光废气</w:t>
                  </w:r>
                </w:p>
              </w:tc>
              <w:tc>
                <w:tcPr>
                  <w:tcW w:w="213"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ED3B1B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p>
              </w:tc>
              <w:tc>
                <w:tcPr>
                  <w:tcW w:w="195"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0A5889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A5DE0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90"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4141869">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颗粒物</w:t>
                  </w: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51403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0.5255</w:t>
                  </w:r>
                </w:p>
              </w:tc>
              <w:tc>
                <w:tcPr>
                  <w:tcW w:w="43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E91032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65.67</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B70563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1.051</w:t>
                  </w:r>
                </w:p>
              </w:tc>
              <w:tc>
                <w:tcPr>
                  <w:tcW w:w="59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C3B591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布袋除尘装置</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697A6D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0</w:t>
                  </w:r>
                </w:p>
              </w:tc>
              <w:tc>
                <w:tcPr>
                  <w:tcW w:w="42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E8D04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0.5255</w:t>
                  </w:r>
                </w:p>
              </w:tc>
              <w:tc>
                <w:tcPr>
                  <w:tcW w:w="47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6AC547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65.67</w:t>
                  </w:r>
                </w:p>
              </w:tc>
              <w:tc>
                <w:tcPr>
                  <w:tcW w:w="33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7AD1F9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1.051</w:t>
                  </w:r>
                </w:p>
              </w:tc>
              <w:tc>
                <w:tcPr>
                  <w:tcW w:w="287" w:type="pct"/>
                  <w:tcBorders>
                    <w:top w:val="single" w:color="000000" w:sz="4" w:space="0"/>
                    <w:left w:val="single" w:color="000000" w:sz="4" w:space="0"/>
                    <w:bottom w:val="single" w:color="000000" w:sz="4" w:space="0"/>
                  </w:tcBorders>
                  <w:noWrap w:val="0"/>
                  <w:tcMar>
                    <w:top w:w="8" w:type="dxa"/>
                    <w:left w:w="8" w:type="dxa"/>
                    <w:right w:w="8" w:type="dxa"/>
                  </w:tcMar>
                  <w:vAlign w:val="center"/>
                </w:tcPr>
                <w:p w14:paraId="0C45CB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FQ12</w:t>
                  </w:r>
                </w:p>
              </w:tc>
            </w:tr>
            <w:tr w14:paraId="4F4B72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74" w:hRule="atLeast"/>
                <w:jc w:val="center"/>
              </w:trPr>
              <w:tc>
                <w:tcPr>
                  <w:tcW w:w="361" w:type="pct"/>
                  <w:tcBorders>
                    <w:top w:val="single" w:color="000000" w:sz="4" w:space="0"/>
                    <w:bottom w:val="single" w:color="000000" w:sz="4" w:space="0"/>
                    <w:right w:val="single" w:color="000000" w:sz="4" w:space="0"/>
                  </w:tcBorders>
                  <w:noWrap w:val="0"/>
                  <w:tcMar>
                    <w:top w:w="8" w:type="dxa"/>
                    <w:left w:w="8" w:type="dxa"/>
                    <w:right w:w="8" w:type="dxa"/>
                  </w:tcMar>
                  <w:vAlign w:val="center"/>
                </w:tcPr>
                <w:p w14:paraId="5D42912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3号楼精细抛光废气</w:t>
                  </w:r>
                </w:p>
              </w:tc>
              <w:tc>
                <w:tcPr>
                  <w:tcW w:w="213" w:type="pct"/>
                  <w:vMerge w:val="continue"/>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D2FE20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p>
              </w:tc>
              <w:tc>
                <w:tcPr>
                  <w:tcW w:w="195"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02FF3F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FBE3E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90"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0442FE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颗粒物</w:t>
                  </w:r>
                </w:p>
              </w:tc>
              <w:tc>
                <w:tcPr>
                  <w:tcW w:w="363"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19F50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0.4819</w:t>
                  </w:r>
                </w:p>
              </w:tc>
              <w:tc>
                <w:tcPr>
                  <w:tcW w:w="43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02CD69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60.24</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339BC7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0.9638</w:t>
                  </w:r>
                </w:p>
              </w:tc>
              <w:tc>
                <w:tcPr>
                  <w:tcW w:w="594"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EF7496D">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布袋除尘装置</w:t>
                  </w:r>
                </w:p>
              </w:tc>
              <w:tc>
                <w:tcPr>
                  <w:tcW w:w="34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CDE121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0</w:t>
                  </w:r>
                </w:p>
              </w:tc>
              <w:tc>
                <w:tcPr>
                  <w:tcW w:w="426"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73A99D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0.4819</w:t>
                  </w:r>
                </w:p>
              </w:tc>
              <w:tc>
                <w:tcPr>
                  <w:tcW w:w="47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5B6D7E5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60.24</w:t>
                  </w:r>
                </w:p>
              </w:tc>
              <w:tc>
                <w:tcPr>
                  <w:tcW w:w="339" w:type="pct"/>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155C4F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0.9638</w:t>
                  </w:r>
                </w:p>
              </w:tc>
              <w:tc>
                <w:tcPr>
                  <w:tcW w:w="287" w:type="pct"/>
                  <w:tcBorders>
                    <w:top w:val="single" w:color="000000" w:sz="4" w:space="0"/>
                    <w:left w:val="single" w:color="000000" w:sz="4" w:space="0"/>
                    <w:bottom w:val="single" w:color="000000" w:sz="4" w:space="0"/>
                  </w:tcBorders>
                  <w:noWrap w:val="0"/>
                  <w:tcMar>
                    <w:top w:w="8" w:type="dxa"/>
                    <w:left w:w="8" w:type="dxa"/>
                    <w:right w:w="8" w:type="dxa"/>
                  </w:tcMar>
                  <w:vAlign w:val="center"/>
                </w:tcPr>
                <w:p w14:paraId="5A84D3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FQ13</w:t>
                  </w:r>
                </w:p>
              </w:tc>
            </w:tr>
            <w:tr w14:paraId="1EE89EE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74" w:hRule="atLeast"/>
                <w:jc w:val="center"/>
              </w:trPr>
              <w:tc>
                <w:tcPr>
                  <w:tcW w:w="361" w:type="pct"/>
                  <w:tcBorders>
                    <w:top w:val="single" w:color="000000" w:sz="4" w:space="0"/>
                    <w:bottom w:val="single" w:color="000000" w:sz="12" w:space="0"/>
                    <w:right w:val="single" w:color="000000" w:sz="4" w:space="0"/>
                  </w:tcBorders>
                  <w:noWrap w:val="0"/>
                  <w:tcMar>
                    <w:top w:w="8" w:type="dxa"/>
                    <w:left w:w="8" w:type="dxa"/>
                    <w:right w:w="8" w:type="dxa"/>
                  </w:tcMar>
                  <w:vAlign w:val="center"/>
                </w:tcPr>
                <w:p w14:paraId="5AF9EFE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4号楼精细抛光废气</w:t>
                  </w:r>
                </w:p>
              </w:tc>
              <w:tc>
                <w:tcPr>
                  <w:tcW w:w="213"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57C238D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18"/>
                      <w:szCs w:val="18"/>
                      <w:highlight w:val="none"/>
                    </w:rPr>
                  </w:pPr>
                </w:p>
              </w:tc>
              <w:tc>
                <w:tcPr>
                  <w:tcW w:w="195"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3B6B941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w:t>
                  </w:r>
                </w:p>
              </w:tc>
              <w:tc>
                <w:tcPr>
                  <w:tcW w:w="221"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15E357D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0.5</w:t>
                  </w:r>
                </w:p>
              </w:tc>
              <w:tc>
                <w:tcPr>
                  <w:tcW w:w="390"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1EFCC3D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颗粒物</w:t>
                  </w:r>
                </w:p>
              </w:tc>
              <w:tc>
                <w:tcPr>
                  <w:tcW w:w="363"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0B620BBE">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0.5255</w:t>
                  </w:r>
                </w:p>
              </w:tc>
              <w:tc>
                <w:tcPr>
                  <w:tcW w:w="434"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727D0BF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65.67</w:t>
                  </w:r>
                </w:p>
              </w:tc>
              <w:tc>
                <w:tcPr>
                  <w:tcW w:w="346"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0D1C9CB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1.051</w:t>
                  </w:r>
                </w:p>
              </w:tc>
              <w:tc>
                <w:tcPr>
                  <w:tcW w:w="594"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6485409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布袋除尘装置</w:t>
                  </w:r>
                </w:p>
              </w:tc>
              <w:tc>
                <w:tcPr>
                  <w:tcW w:w="346"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0FFBA1E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426"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065DA898">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0.5255</w:t>
                  </w:r>
                </w:p>
              </w:tc>
              <w:tc>
                <w:tcPr>
                  <w:tcW w:w="479"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74B2816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65.67</w:t>
                  </w:r>
                </w:p>
              </w:tc>
              <w:tc>
                <w:tcPr>
                  <w:tcW w:w="339" w:type="pct"/>
                  <w:tcBorders>
                    <w:top w:val="single" w:color="000000" w:sz="4" w:space="0"/>
                    <w:left w:val="single" w:color="000000" w:sz="4" w:space="0"/>
                    <w:bottom w:val="single" w:color="000000" w:sz="12" w:space="0"/>
                    <w:right w:val="single" w:color="000000" w:sz="4" w:space="0"/>
                  </w:tcBorders>
                  <w:noWrap w:val="0"/>
                  <w:tcMar>
                    <w:top w:w="8" w:type="dxa"/>
                    <w:left w:w="8" w:type="dxa"/>
                    <w:right w:w="8" w:type="dxa"/>
                  </w:tcMar>
                  <w:vAlign w:val="center"/>
                </w:tcPr>
                <w:p w14:paraId="17A0670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1.051</w:t>
                  </w:r>
                </w:p>
              </w:tc>
              <w:tc>
                <w:tcPr>
                  <w:tcW w:w="287" w:type="pct"/>
                  <w:tcBorders>
                    <w:top w:val="single" w:color="000000" w:sz="4" w:space="0"/>
                    <w:left w:val="single" w:color="000000" w:sz="4" w:space="0"/>
                    <w:bottom w:val="single" w:color="000000" w:sz="12" w:space="0"/>
                  </w:tcBorders>
                  <w:noWrap w:val="0"/>
                  <w:tcMar>
                    <w:top w:w="8" w:type="dxa"/>
                    <w:left w:w="8" w:type="dxa"/>
                    <w:right w:w="8" w:type="dxa"/>
                  </w:tcMar>
                  <w:vAlign w:val="center"/>
                </w:tcPr>
                <w:p w14:paraId="2E893F4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FQ14</w:t>
                  </w:r>
                </w:p>
              </w:tc>
            </w:tr>
          </w:tbl>
          <w:p w14:paraId="5F05AF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本环评拟从下面几个方面建议建设单位做好防范工作：</w:t>
            </w:r>
          </w:p>
          <w:p w14:paraId="2F869B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a.平时注意废气处理设施的维护，及时发现处理设备的隐患，确保废气处理系统正常运行；开、停、检修要有预案，有严密周全的计划，确保不发生非正常排放，或使影响最小。</w:t>
            </w:r>
          </w:p>
          <w:p w14:paraId="3B5A3D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b.应设有备用电源和备用处理设备和零件，以备停电或设备出现故障时保障及时更换使废气全部做到达标排放。</w:t>
            </w:r>
          </w:p>
          <w:p w14:paraId="1E3634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c.对员工进行岗位培训。做好值班记录，实行岗位责任制。</w:t>
            </w:r>
          </w:p>
          <w:p w14:paraId="0B43E3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baseline"/>
              <w:rPr>
                <w:rFonts w:hint="eastAsia"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本项目投产后，需加强环保管理，杜绝废气的不正常排放的发生</w:t>
            </w:r>
            <w:r>
              <w:rPr>
                <w:rFonts w:hint="eastAsia" w:ascii="Times New Roman" w:hAnsi="Times New Roman" w:eastAsia="宋体" w:cs="Times New Roman"/>
                <w:color w:val="auto"/>
                <w:sz w:val="24"/>
                <w:highlight w:val="none"/>
              </w:rPr>
              <w:t>。</w:t>
            </w:r>
          </w:p>
          <w:p w14:paraId="4C53C190">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0"/>
                <w:sz w:val="24"/>
                <w:highlight w:val="none"/>
              </w:rPr>
            </w:pPr>
            <w:r>
              <w:rPr>
                <w:rFonts w:hint="eastAsia" w:ascii="Times New Roman" w:hAnsi="Times New Roman" w:eastAsia="宋体" w:cs="Times New Roman"/>
                <w:b/>
                <w:bCs/>
                <w:color w:val="auto"/>
                <w:kern w:val="0"/>
                <w:sz w:val="24"/>
                <w:highlight w:val="none"/>
              </w:rPr>
              <w:t>（</w:t>
            </w:r>
            <w:r>
              <w:rPr>
                <w:rFonts w:hint="eastAsia" w:ascii="Times New Roman" w:hAnsi="Times New Roman" w:eastAsia="宋体" w:cs="Times New Roman"/>
                <w:b/>
                <w:bCs/>
                <w:color w:val="auto"/>
                <w:kern w:val="0"/>
                <w:sz w:val="24"/>
                <w:highlight w:val="none"/>
                <w:lang w:val="en-US" w:eastAsia="zh-CN"/>
              </w:rPr>
              <w:t>9</w:t>
            </w:r>
            <w:r>
              <w:rPr>
                <w:rFonts w:hint="eastAsia" w:ascii="Times New Roman" w:hAnsi="Times New Roman" w:eastAsia="宋体" w:cs="Times New Roman"/>
                <w:b/>
                <w:bCs/>
                <w:color w:val="auto"/>
                <w:kern w:val="0"/>
                <w:sz w:val="24"/>
                <w:highlight w:val="none"/>
              </w:rPr>
              <w:t>）</w:t>
            </w:r>
            <w:r>
              <w:rPr>
                <w:rFonts w:hint="default" w:ascii="Times New Roman" w:hAnsi="Times New Roman" w:eastAsia="宋体" w:cs="Times New Roman"/>
                <w:b/>
                <w:bCs/>
                <w:color w:val="auto"/>
                <w:kern w:val="0"/>
                <w:sz w:val="24"/>
                <w:highlight w:val="none"/>
              </w:rPr>
              <w:t>大气环境影响分析结论</w:t>
            </w:r>
          </w:p>
          <w:p w14:paraId="7122B487">
            <w:pPr>
              <w:pStyle w:val="12"/>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建设项目位于</w:t>
            </w:r>
            <w:r>
              <w:rPr>
                <w:rFonts w:hint="eastAsia" w:ascii="Times New Roman" w:hAnsi="Times New Roman" w:eastAsia="宋体" w:cs="Times New Roman"/>
                <w:color w:val="auto"/>
                <w:sz w:val="24"/>
                <w:highlight w:val="none"/>
                <w:lang w:val="en-US" w:eastAsia="zh-CN"/>
              </w:rPr>
              <w:t>无锡市新吴区观山路36号</w:t>
            </w:r>
            <w:r>
              <w:rPr>
                <w:rFonts w:hint="default" w:ascii="Times New Roman" w:hAnsi="Times New Roman" w:eastAsia="宋体" w:cs="Times New Roman"/>
                <w:color w:val="auto"/>
                <w:sz w:val="24"/>
                <w:highlight w:val="none"/>
              </w:rPr>
              <w:t>，项目周边500m范围内</w:t>
            </w:r>
            <w:r>
              <w:rPr>
                <w:rFonts w:hint="eastAsia" w:ascii="Times New Roman" w:hAnsi="Times New Roman" w:eastAsia="宋体" w:cs="Times New Roman"/>
                <w:color w:val="auto"/>
                <w:sz w:val="24"/>
                <w:highlight w:val="none"/>
              </w:rPr>
              <w:t>无</w:t>
            </w:r>
            <w:r>
              <w:rPr>
                <w:rFonts w:hint="default" w:ascii="Times New Roman" w:hAnsi="Times New Roman" w:eastAsia="宋体" w:cs="Times New Roman"/>
                <w:color w:val="auto"/>
                <w:sz w:val="24"/>
                <w:highlight w:val="none"/>
              </w:rPr>
              <w:t>大气环境保护目标</w:t>
            </w:r>
            <w:r>
              <w:rPr>
                <w:rFonts w:hint="eastAsia" w:ascii="Times New Roman" w:hAnsi="Times New Roman" w:eastAsia="宋体" w:cs="Times New Roman"/>
                <w:color w:val="auto"/>
                <w:sz w:val="24"/>
                <w:highlight w:val="none"/>
              </w:rPr>
              <w:t>。</w:t>
            </w:r>
            <w:r>
              <w:rPr>
                <w:rFonts w:hint="eastAsia"/>
                <w:color w:val="auto"/>
                <w:sz w:val="24"/>
                <w:szCs w:val="24"/>
                <w:highlight w:val="none"/>
              </w:rPr>
              <w:t>根据</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无锡市生态环境状况公报（202</w:t>
            </w:r>
            <w:r>
              <w:rPr>
                <w:rFonts w:hint="eastAsia"/>
                <w:color w:val="auto"/>
                <w:sz w:val="24"/>
                <w:szCs w:val="24"/>
                <w:highlight w:val="none"/>
                <w:lang w:val="en-US" w:eastAsia="zh-CN"/>
              </w:rPr>
              <w:t>4</w:t>
            </w:r>
            <w:r>
              <w:rPr>
                <w:rFonts w:hint="eastAsia" w:ascii="Times New Roman" w:hAnsi="Times New Roman" w:eastAsia="宋体"/>
                <w:color w:val="auto"/>
                <w:sz w:val="24"/>
                <w:szCs w:val="24"/>
                <w:highlight w:val="none"/>
                <w:lang w:val="en-US" w:eastAsia="zh-CN"/>
              </w:rPr>
              <w:t>年度）</w:t>
            </w:r>
            <w:r>
              <w:rPr>
                <w:rFonts w:hint="eastAsia" w:ascii="Times New Roman" w:hAnsi="Times New Roman" w:eastAsia="宋体"/>
                <w:color w:val="auto"/>
                <w:sz w:val="24"/>
                <w:szCs w:val="24"/>
                <w:highlight w:val="none"/>
                <w:lang w:eastAsia="zh-CN"/>
              </w:rPr>
              <w:t>》</w:t>
            </w:r>
            <w:r>
              <w:rPr>
                <w:rFonts w:hint="eastAsia"/>
                <w:color w:val="auto"/>
                <w:sz w:val="24"/>
                <w:szCs w:val="24"/>
                <w:highlight w:val="none"/>
              </w:rPr>
              <w:t>，</w:t>
            </w:r>
            <w:r>
              <w:rPr>
                <w:rFonts w:hint="eastAsia"/>
                <w:color w:val="auto"/>
                <w:sz w:val="24"/>
                <w:szCs w:val="24"/>
                <w:highlight w:val="none"/>
                <w:lang w:val="en-US" w:eastAsia="zh-CN"/>
              </w:rPr>
              <w:t>新吴区为不达标区</w:t>
            </w:r>
            <w:r>
              <w:rPr>
                <w:rFonts w:hint="eastAsia"/>
                <w:color w:val="auto"/>
                <w:sz w:val="24"/>
                <w:szCs w:val="24"/>
                <w:highlight w:val="none"/>
                <w:lang w:eastAsia="zh-CN"/>
              </w:rPr>
              <w:t>。</w:t>
            </w:r>
            <w:r>
              <w:rPr>
                <w:rFonts w:hint="eastAsia" w:ascii="Times New Roman" w:hAnsi="Times New Roman" w:eastAsia="宋体" w:cs="Times New Roman"/>
                <w:color w:val="auto"/>
                <w:sz w:val="24"/>
                <w:highlight w:val="none"/>
              </w:rPr>
              <w:t>无锡市已按</w:t>
            </w:r>
            <w:r>
              <w:rPr>
                <w:rFonts w:hint="default" w:ascii="Times New Roman" w:hAnsi="Times New Roman" w:eastAsia="宋体" w:cs="Times New Roman"/>
                <w:color w:val="auto"/>
                <w:sz w:val="24"/>
                <w:highlight w:val="none"/>
              </w:rPr>
              <w:t>《中华人民共和国大气污染防治法》的要求</w:t>
            </w:r>
            <w:r>
              <w:rPr>
                <w:rFonts w:hint="eastAsia" w:ascii="Times New Roman" w:hAnsi="Times New Roman" w:eastAsia="宋体" w:cs="Times New Roman"/>
                <w:color w:val="auto"/>
                <w:sz w:val="24"/>
                <w:highlight w:val="none"/>
              </w:rPr>
              <w:t>开展限期达标规划，预计在2025年环境控制质量全面达标</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本项目产生的废气均</w:t>
            </w:r>
            <w:r>
              <w:rPr>
                <w:rFonts w:hint="default" w:ascii="Times New Roman" w:hAnsi="Times New Roman" w:eastAsia="宋体" w:cs="Times New Roman"/>
                <w:color w:val="auto"/>
                <w:sz w:val="24"/>
                <w:highlight w:val="none"/>
              </w:rPr>
              <w:t>经</w:t>
            </w:r>
            <w:r>
              <w:rPr>
                <w:rFonts w:hint="eastAsia" w:ascii="Times New Roman" w:hAnsi="Times New Roman" w:eastAsia="宋体" w:cs="Times New Roman"/>
                <w:color w:val="auto"/>
                <w:sz w:val="24"/>
                <w:highlight w:val="none"/>
              </w:rPr>
              <w:t>合理可行的</w:t>
            </w:r>
            <w:r>
              <w:rPr>
                <w:rFonts w:hint="default" w:ascii="Times New Roman" w:hAnsi="Times New Roman" w:eastAsia="宋体" w:cs="Times New Roman"/>
                <w:color w:val="auto"/>
                <w:sz w:val="24"/>
                <w:highlight w:val="none"/>
              </w:rPr>
              <w:t>污染治理措施处理后</w:t>
            </w:r>
            <w:r>
              <w:rPr>
                <w:rFonts w:hint="eastAsia" w:ascii="Times New Roman" w:hAnsi="Times New Roman" w:eastAsia="宋体" w:cs="Times New Roman"/>
                <w:color w:val="auto"/>
                <w:sz w:val="24"/>
                <w:highlight w:val="none"/>
                <w:lang w:eastAsia="zh-CN"/>
              </w:rPr>
              <w:t>达到江苏省地方标准《大气污染物综合排放标准》（DB32/4041—2021）表1及表3相应标准</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卫</w:t>
            </w:r>
            <w:r>
              <w:rPr>
                <w:rFonts w:hint="default" w:ascii="Times New Roman" w:hAnsi="Times New Roman" w:eastAsia="宋体" w:cs="Times New Roman"/>
                <w:color w:val="auto"/>
                <w:sz w:val="24"/>
                <w:highlight w:val="none"/>
              </w:rPr>
              <w:t>生防护距离内无环境敏感目标，项目废气对周围大气环境影响较小。</w:t>
            </w:r>
          </w:p>
          <w:p w14:paraId="262100DE">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sz w:val="24"/>
                <w:highlight w:val="none"/>
              </w:rPr>
              <w:t>废水</w:t>
            </w:r>
          </w:p>
          <w:p w14:paraId="6BE71376">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不新增员工，</w:t>
            </w:r>
            <w:r>
              <w:rPr>
                <w:rFonts w:hint="default" w:ascii="Times New Roman" w:hAnsi="Times New Roman" w:eastAsia="宋体" w:cs="Times New Roman"/>
                <w:color w:val="auto"/>
                <w:sz w:val="24"/>
                <w:highlight w:val="none"/>
                <w:lang w:val="en-US" w:eastAsia="zh-CN"/>
              </w:rPr>
              <w:t>无废水产生及排放</w:t>
            </w:r>
            <w:r>
              <w:rPr>
                <w:rFonts w:hint="eastAsia" w:ascii="Times New Roman" w:hAnsi="Times New Roman" w:eastAsia="宋体" w:cs="Times New Roman"/>
                <w:color w:val="auto"/>
                <w:sz w:val="24"/>
                <w:highlight w:val="none"/>
                <w:lang w:val="en-US" w:eastAsia="zh-CN"/>
              </w:rPr>
              <w:t>。</w:t>
            </w:r>
          </w:p>
          <w:p w14:paraId="6EE1B9AC">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sz w:val="24"/>
                <w:highlight w:val="none"/>
              </w:rPr>
              <w:t>噪声</w:t>
            </w:r>
          </w:p>
          <w:p w14:paraId="2527E823">
            <w:pPr>
              <w:keepNext w:val="0"/>
              <w:keepLines w:val="0"/>
              <w:pageBreakBefore w:val="0"/>
              <w:widowControl w:val="0"/>
              <w:numPr>
                <w:ilvl w:val="0"/>
                <w:numId w:val="0"/>
              </w:numPr>
              <w:suppressLineNumbers w:val="0"/>
              <w:kinsoku/>
              <w:wordWrap/>
              <w:overflowPunct/>
              <w:topLinePunct w:val="0"/>
              <w:autoSpaceDE w:val="0"/>
              <w:autoSpaceDN/>
              <w:bidi w:val="0"/>
              <w:spacing w:before="0" w:beforeAutospacing="0" w:after="0" w:afterAutospacing="0" w:line="360" w:lineRule="auto"/>
              <w:ind w:left="0" w:right="0" w:firstLine="482" w:firstLineChars="200"/>
              <w:rPr>
                <w:rFonts w:hint="eastAsia"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噪声源及降噪情况</w:t>
            </w:r>
          </w:p>
          <w:p w14:paraId="62FB841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rPr>
              <w:t>针对本项目主要噪声源，</w:t>
            </w:r>
            <w:r>
              <w:rPr>
                <w:rFonts w:hint="default" w:ascii="Times New Roman" w:hAnsi="Times New Roman" w:eastAsia="宋体"/>
                <w:color w:val="auto"/>
                <w:sz w:val="24"/>
                <w:szCs w:val="24"/>
                <w:highlight w:val="none"/>
              </w:rPr>
              <w:t>建设单位拟采取以下降噪措施</w:t>
            </w:r>
            <w:r>
              <w:rPr>
                <w:rFonts w:hint="eastAsia" w:ascii="Times New Roman" w:hAnsi="Times New Roman" w:eastAsia="宋体"/>
                <w:color w:val="auto"/>
                <w:sz w:val="24"/>
                <w:szCs w:val="24"/>
                <w:highlight w:val="none"/>
                <w:lang w:eastAsia="zh-CN"/>
              </w:rPr>
              <w:t>：</w:t>
            </w:r>
          </w:p>
          <w:p w14:paraId="20262F7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①控制设备噪声</w:t>
            </w:r>
          </w:p>
          <w:p w14:paraId="0DB4DE7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在设备选型时选用先进的低噪声设备</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在满足工艺设计的前提下，尽量选用满足国际标准的低噪声、低振动型号的设备，降低噪声源强。</w:t>
            </w:r>
          </w:p>
          <w:p w14:paraId="5EC24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sz w:val="24"/>
                <w:szCs w:val="24"/>
                <w:highlight w:val="none"/>
              </w:rPr>
            </w:pPr>
            <w:r>
              <w:rPr>
                <w:rFonts w:hint="eastAsia" w:ascii="Times New Roman" w:hAnsi="Times New Roman" w:eastAsia="宋体" w:cs="宋体"/>
                <w:color w:val="auto"/>
                <w:sz w:val="24"/>
                <w:szCs w:val="24"/>
                <w:highlight w:val="none"/>
              </w:rPr>
              <w:t>②</w:t>
            </w:r>
            <w:r>
              <w:rPr>
                <w:rFonts w:hint="eastAsia" w:ascii="Times New Roman" w:hAnsi="Times New Roman" w:eastAsia="宋体" w:cs="宋体"/>
                <w:color w:val="auto"/>
                <w:sz w:val="24"/>
                <w:szCs w:val="24"/>
                <w:highlight w:val="none"/>
                <w:lang w:eastAsia="zh-CN"/>
              </w:rPr>
              <w:t>厂房隔声</w:t>
            </w:r>
            <w:r>
              <w:rPr>
                <w:rFonts w:hint="default" w:ascii="Times New Roman" w:hAnsi="Times New Roman" w:eastAsia="宋体"/>
                <w:color w:val="auto"/>
                <w:sz w:val="24"/>
                <w:szCs w:val="24"/>
                <w:highlight w:val="none"/>
              </w:rPr>
              <w:t>设备减振、消声器</w:t>
            </w:r>
          </w:p>
          <w:p w14:paraId="29F15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highlight w:val="none"/>
                <w:lang w:eastAsia="zh-CN"/>
              </w:rPr>
            </w:pPr>
            <w:r>
              <w:rPr>
                <w:rFonts w:hint="default" w:ascii="Times New Roman" w:hAnsi="Times New Roman" w:eastAsia="宋体"/>
                <w:color w:val="auto"/>
                <w:sz w:val="24"/>
                <w:szCs w:val="24"/>
                <w:highlight w:val="none"/>
              </w:rPr>
              <w:t>车间墙体隔声为本项目主要噪声防治措施，一般性的生产性厂房隔音量为2</w:t>
            </w:r>
            <w:r>
              <w:rPr>
                <w:rFonts w:hint="eastAsia" w:ascii="Times New Roman" w:hAnsi="Times New Roman" w:eastAsia="宋体"/>
                <w:color w:val="auto"/>
                <w:sz w:val="24"/>
                <w:szCs w:val="24"/>
                <w:highlight w:val="none"/>
                <w:lang w:val="en-US" w:eastAsia="zh-CN"/>
              </w:rPr>
              <w:t>0</w:t>
            </w:r>
            <w:r>
              <w:rPr>
                <w:rFonts w:hint="default" w:ascii="Times New Roman" w:hAnsi="Times New Roman" w:eastAsia="宋体"/>
                <w:color w:val="auto"/>
                <w:sz w:val="24"/>
                <w:szCs w:val="24"/>
                <w:highlight w:val="none"/>
              </w:rPr>
              <w:t>dB(A)。</w:t>
            </w:r>
            <w:r>
              <w:rPr>
                <w:rFonts w:hint="eastAsia"/>
                <w:color w:val="auto"/>
                <w:sz w:val="24"/>
                <w:szCs w:val="24"/>
                <w:highlight w:val="none"/>
                <w:lang w:eastAsia="zh-CN"/>
              </w:rPr>
              <w:t>废气处理</w:t>
            </w:r>
            <w:r>
              <w:rPr>
                <w:rFonts w:hint="eastAsia"/>
                <w:color w:val="auto"/>
                <w:sz w:val="24"/>
                <w:szCs w:val="24"/>
                <w:highlight w:val="none"/>
              </w:rPr>
              <w:t>风机</w:t>
            </w:r>
            <w:r>
              <w:rPr>
                <w:rFonts w:hint="default"/>
                <w:color w:val="auto"/>
                <w:sz w:val="24"/>
                <w:szCs w:val="24"/>
                <w:highlight w:val="none"/>
              </w:rPr>
              <w:t>安装减震底座</w:t>
            </w:r>
            <w:r>
              <w:rPr>
                <w:rFonts w:hint="eastAsia"/>
                <w:color w:val="auto"/>
                <w:sz w:val="24"/>
                <w:szCs w:val="24"/>
                <w:highlight w:val="none"/>
                <w:lang w:eastAsia="zh-CN"/>
              </w:rPr>
              <w:t>，一般降噪</w:t>
            </w:r>
            <w:r>
              <w:rPr>
                <w:rFonts w:hint="eastAsia"/>
                <w:color w:val="auto"/>
                <w:sz w:val="24"/>
                <w:szCs w:val="24"/>
                <w:highlight w:val="none"/>
                <w:lang w:val="en-US" w:eastAsia="zh-CN"/>
              </w:rPr>
              <w:t>25</w:t>
            </w:r>
            <w:r>
              <w:rPr>
                <w:rFonts w:hint="default" w:ascii="Times New Roman" w:hAnsi="Times New Roman"/>
                <w:color w:val="auto"/>
                <w:sz w:val="24"/>
                <w:szCs w:val="24"/>
                <w:highlight w:val="none"/>
              </w:rPr>
              <w:t>dB(A)</w:t>
            </w:r>
            <w:r>
              <w:rPr>
                <w:rFonts w:hint="eastAsia" w:ascii="Times New Roman" w:hAnsi="Times New Roman"/>
                <w:color w:val="auto"/>
                <w:sz w:val="24"/>
                <w:szCs w:val="24"/>
                <w:highlight w:val="none"/>
                <w:lang w:eastAsia="zh-CN"/>
              </w:rPr>
              <w:t>。</w:t>
            </w:r>
          </w:p>
          <w:p w14:paraId="0EE39919">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eastAsia" w:ascii="Times New Roman" w:hAnsi="Times New Roman" w:eastAsia="宋体" w:cs="宋体"/>
                <w:color w:val="auto"/>
                <w:sz w:val="24"/>
                <w:szCs w:val="24"/>
                <w:highlight w:val="none"/>
              </w:rPr>
              <w:t>③</w:t>
            </w:r>
            <w:r>
              <w:rPr>
                <w:rFonts w:hint="default" w:ascii="Times New Roman" w:hAnsi="Times New Roman" w:eastAsia="宋体"/>
                <w:color w:val="auto"/>
                <w:sz w:val="24"/>
                <w:szCs w:val="24"/>
                <w:highlight w:val="none"/>
              </w:rPr>
              <w:t>强化生产管理</w:t>
            </w:r>
          </w:p>
          <w:p w14:paraId="4559CDCD">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确保各类防治措施有效运行，各设备均保持良好运行状态，防止突发噪声。</w:t>
            </w:r>
          </w:p>
          <w:p w14:paraId="1EB8BE90">
            <w:pPr>
              <w:pStyle w:val="12"/>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olor w:val="auto"/>
                <w:sz w:val="24"/>
                <w:szCs w:val="24"/>
                <w:highlight w:val="none"/>
              </w:rPr>
              <w:t>综上所述，</w:t>
            </w:r>
            <w:r>
              <w:rPr>
                <w:rFonts w:hint="eastAsia" w:ascii="Times New Roman" w:hAnsi="Times New Roman" w:eastAsia="宋体"/>
                <w:color w:val="auto"/>
                <w:sz w:val="24"/>
                <w:szCs w:val="24"/>
                <w:highlight w:val="none"/>
              </w:rPr>
              <w:t>本项目噪声源</w:t>
            </w:r>
            <w:r>
              <w:rPr>
                <w:rFonts w:hint="default" w:ascii="Times New Roman" w:hAnsi="Times New Roman" w:eastAsia="宋体"/>
                <w:color w:val="auto"/>
                <w:sz w:val="24"/>
                <w:szCs w:val="24"/>
                <w:highlight w:val="none"/>
              </w:rPr>
              <w:t>采取上述降噪措施后，设计降噪量达</w:t>
            </w:r>
            <w:r>
              <w:rPr>
                <w:rFonts w:hint="eastAsia" w:ascii="Times New Roman" w:hAnsi="Times New Roman" w:eastAsia="宋体"/>
                <w:color w:val="auto"/>
                <w:sz w:val="24"/>
                <w:szCs w:val="24"/>
                <w:highlight w:val="none"/>
                <w:lang w:val="en-US" w:eastAsia="zh-CN"/>
              </w:rPr>
              <w:t>25</w:t>
            </w:r>
            <w:r>
              <w:rPr>
                <w:rFonts w:hint="default" w:ascii="Times New Roman" w:hAnsi="Times New Roman" w:eastAsia="宋体"/>
                <w:color w:val="auto"/>
                <w:sz w:val="24"/>
                <w:szCs w:val="24"/>
                <w:highlight w:val="none"/>
              </w:rPr>
              <w:t>dB(A)。建设项目</w:t>
            </w:r>
            <w:r>
              <w:rPr>
                <w:rFonts w:hint="eastAsia" w:ascii="Times New Roman" w:hAnsi="Times New Roman" w:eastAsia="宋体"/>
                <w:color w:val="auto"/>
                <w:sz w:val="24"/>
                <w:szCs w:val="24"/>
                <w:highlight w:val="none"/>
              </w:rPr>
              <w:t>主要噪声源强</w:t>
            </w:r>
            <w:r>
              <w:rPr>
                <w:rFonts w:hint="default" w:ascii="Times New Roman" w:hAnsi="Times New Roman" w:eastAsia="宋体"/>
                <w:color w:val="auto"/>
                <w:sz w:val="24"/>
                <w:szCs w:val="24"/>
                <w:highlight w:val="none"/>
              </w:rPr>
              <w:t>情况见表4-</w:t>
            </w:r>
            <w:r>
              <w:rPr>
                <w:rFonts w:hint="eastAsia" w:ascii="Times New Roman" w:hAnsi="Times New Roman" w:eastAsia="宋体"/>
                <w:color w:val="auto"/>
                <w:sz w:val="24"/>
                <w:szCs w:val="24"/>
                <w:highlight w:val="none"/>
                <w:lang w:val="en-US" w:eastAsia="zh-CN"/>
              </w:rPr>
              <w:t>1</w:t>
            </w:r>
            <w:r>
              <w:rPr>
                <w:rFonts w:hint="eastAsia"/>
                <w:color w:val="auto"/>
                <w:sz w:val="24"/>
                <w:szCs w:val="24"/>
                <w:highlight w:val="none"/>
                <w:lang w:val="en-US" w:eastAsia="zh-CN"/>
              </w:rPr>
              <w:t>6</w:t>
            </w:r>
            <w:r>
              <w:rPr>
                <w:rFonts w:hint="default" w:ascii="Times New Roman" w:hAnsi="Times New Roman" w:eastAsia="宋体"/>
                <w:color w:val="auto"/>
                <w:sz w:val="24"/>
                <w:szCs w:val="24"/>
                <w:highlight w:val="none"/>
              </w:rPr>
              <w:t>。</w:t>
            </w:r>
          </w:p>
        </w:tc>
      </w:tr>
    </w:tbl>
    <w:p w14:paraId="5D3ED2BF">
      <w:pPr>
        <w:pStyle w:val="12"/>
        <w:numPr>
          <w:ilvl w:val="0"/>
          <w:numId w:val="0"/>
        </w:numPr>
        <w:tabs>
          <w:tab w:val="clear" w:pos="2040"/>
        </w:tabs>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14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
        <w:gridCol w:w="13831"/>
      </w:tblGrid>
      <w:tr w14:paraId="0396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9" w:hRule="atLeast"/>
        </w:trPr>
        <w:tc>
          <w:tcPr>
            <w:tcW w:w="369" w:type="dxa"/>
          </w:tcPr>
          <w:p w14:paraId="04D6E7C8">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p>
        </w:tc>
        <w:tc>
          <w:tcPr>
            <w:tcW w:w="13831" w:type="dxa"/>
          </w:tcPr>
          <w:p w14:paraId="28C399EA">
            <w:pPr>
              <w:pStyle w:val="4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16  </w:t>
            </w:r>
            <w:r>
              <w:rPr>
                <w:rFonts w:hint="eastAsia" w:ascii="Times New Roman" w:hAnsi="Times New Roman" w:eastAsia="宋体" w:cs="Times New Roman"/>
                <w:b/>
                <w:bCs/>
                <w:color w:val="auto"/>
                <w:sz w:val="24"/>
                <w:szCs w:val="24"/>
                <w:highlight w:val="none"/>
                <w:lang w:val="en-US" w:eastAsia="zh-CN"/>
              </w:rPr>
              <w:t>工业企业噪声源强调查清单（室内声源）</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69"/>
              <w:gridCol w:w="604"/>
              <w:gridCol w:w="606"/>
              <w:gridCol w:w="473"/>
              <w:gridCol w:w="645"/>
              <w:gridCol w:w="1094"/>
              <w:gridCol w:w="953"/>
              <w:gridCol w:w="582"/>
              <w:gridCol w:w="535"/>
              <w:gridCol w:w="364"/>
              <w:gridCol w:w="963"/>
              <w:gridCol w:w="963"/>
              <w:gridCol w:w="741"/>
              <w:gridCol w:w="1347"/>
              <w:gridCol w:w="427"/>
              <w:gridCol w:w="823"/>
              <w:gridCol w:w="428"/>
              <w:gridCol w:w="944"/>
              <w:gridCol w:w="654"/>
            </w:tblGrid>
            <w:tr w14:paraId="519BE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0" w:type="auto"/>
                  <w:vMerge w:val="restart"/>
                  <w:tcBorders>
                    <w:bottom w:val="single" w:color="000000" w:sz="4" w:space="0"/>
                  </w:tcBorders>
                  <w:noWrap w:val="0"/>
                  <w:vAlign w:val="center"/>
                </w:tcPr>
                <w:p w14:paraId="3146F9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0" w:type="auto"/>
                  <w:vMerge w:val="restart"/>
                  <w:tcBorders>
                    <w:bottom w:val="single" w:color="000000" w:sz="4" w:space="0"/>
                  </w:tcBorders>
                  <w:noWrap w:val="0"/>
                  <w:vAlign w:val="center"/>
                </w:tcPr>
                <w:p w14:paraId="24D26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建筑物名称</w:t>
                  </w:r>
                </w:p>
              </w:tc>
              <w:tc>
                <w:tcPr>
                  <w:tcW w:w="0" w:type="auto"/>
                  <w:vMerge w:val="restart"/>
                  <w:tcBorders>
                    <w:bottom w:val="single" w:color="000000" w:sz="4" w:space="0"/>
                  </w:tcBorders>
                  <w:noWrap w:val="0"/>
                  <w:vAlign w:val="center"/>
                </w:tcPr>
                <w:p w14:paraId="2E192D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w:t>
                  </w:r>
                </w:p>
                <w:p w14:paraId="4886CB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名称</w:t>
                  </w:r>
                </w:p>
              </w:tc>
              <w:tc>
                <w:tcPr>
                  <w:tcW w:w="0" w:type="auto"/>
                  <w:vMerge w:val="restart"/>
                  <w:tcBorders>
                    <w:bottom w:val="single" w:color="000000" w:sz="4" w:space="0"/>
                  </w:tcBorders>
                  <w:noWrap w:val="0"/>
                  <w:vAlign w:val="center"/>
                </w:tcPr>
                <w:p w14:paraId="37BD10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w:t>
                  </w:r>
                </w:p>
              </w:tc>
              <w:tc>
                <w:tcPr>
                  <w:tcW w:w="0" w:type="auto"/>
                  <w:vMerge w:val="restart"/>
                  <w:tcBorders>
                    <w:bottom w:val="single" w:color="000000" w:sz="4" w:space="0"/>
                  </w:tcBorders>
                  <w:noWrap w:val="0"/>
                  <w:vAlign w:val="center"/>
                </w:tcPr>
                <w:p w14:paraId="190BC5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设备数量</w:t>
                  </w:r>
                </w:p>
              </w:tc>
              <w:tc>
                <w:tcPr>
                  <w:tcW w:w="0" w:type="auto"/>
                  <w:vMerge w:val="restart"/>
                  <w:tcBorders>
                    <w:bottom w:val="single" w:color="000000" w:sz="4" w:space="0"/>
                  </w:tcBorders>
                  <w:noWrap w:val="0"/>
                  <w:vAlign w:val="center"/>
                </w:tcPr>
                <w:p w14:paraId="1F6E65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单台声功率级/dB(A)</w:t>
                  </w:r>
                </w:p>
              </w:tc>
              <w:tc>
                <w:tcPr>
                  <w:tcW w:w="0" w:type="auto"/>
                  <w:vMerge w:val="restart"/>
                  <w:tcBorders>
                    <w:bottom w:val="single" w:color="000000" w:sz="4" w:space="0"/>
                  </w:tcBorders>
                  <w:noWrap w:val="0"/>
                  <w:vAlign w:val="center"/>
                </w:tcPr>
                <w:p w14:paraId="43DE8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声源控制措施</w:t>
                  </w:r>
                </w:p>
              </w:tc>
              <w:tc>
                <w:tcPr>
                  <w:tcW w:w="0" w:type="auto"/>
                  <w:gridSpan w:val="3"/>
                  <w:tcBorders>
                    <w:bottom w:val="single" w:color="000000" w:sz="4" w:space="0"/>
                  </w:tcBorders>
                  <w:noWrap w:val="0"/>
                  <w:vAlign w:val="center"/>
                </w:tcPr>
                <w:p w14:paraId="354CF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空间相对位置</w:t>
                  </w:r>
                </w:p>
              </w:tc>
              <w:tc>
                <w:tcPr>
                  <w:tcW w:w="0" w:type="auto"/>
                  <w:gridSpan w:val="2"/>
                  <w:tcBorders>
                    <w:bottom w:val="single" w:color="000000" w:sz="4" w:space="0"/>
                  </w:tcBorders>
                  <w:noWrap w:val="0"/>
                  <w:vAlign w:val="center"/>
                </w:tcPr>
                <w:p w14:paraId="5C47F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距室内边界距离/m</w:t>
                  </w:r>
                </w:p>
              </w:tc>
              <w:tc>
                <w:tcPr>
                  <w:tcW w:w="0" w:type="auto"/>
                  <w:gridSpan w:val="2"/>
                  <w:tcBorders>
                    <w:bottom w:val="single" w:color="000000" w:sz="4" w:space="0"/>
                  </w:tcBorders>
                  <w:noWrap/>
                  <w:vAlign w:val="center"/>
                </w:tcPr>
                <w:p w14:paraId="31DD24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室内边界声级/dB(A)</w:t>
                  </w:r>
                </w:p>
              </w:tc>
              <w:tc>
                <w:tcPr>
                  <w:tcW w:w="0" w:type="auto"/>
                  <w:vMerge w:val="restart"/>
                  <w:tcBorders>
                    <w:bottom w:val="single" w:color="000000" w:sz="4" w:space="0"/>
                  </w:tcBorders>
                  <w:noWrap w:val="0"/>
                  <w:vAlign w:val="center"/>
                </w:tcPr>
                <w:p w14:paraId="0049E1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运行</w:t>
                  </w:r>
                </w:p>
                <w:p w14:paraId="28991D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时段</w:t>
                  </w:r>
                </w:p>
              </w:tc>
              <w:tc>
                <w:tcPr>
                  <w:tcW w:w="0" w:type="auto"/>
                  <w:vMerge w:val="restart"/>
                  <w:tcBorders>
                    <w:bottom w:val="single" w:color="000000" w:sz="4" w:space="0"/>
                  </w:tcBorders>
                  <w:noWrap w:val="0"/>
                  <w:vAlign w:val="center"/>
                </w:tcPr>
                <w:p w14:paraId="7E216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建筑物插入损失/dB(A)</w:t>
                  </w:r>
                </w:p>
              </w:tc>
              <w:tc>
                <w:tcPr>
                  <w:tcW w:w="0" w:type="auto"/>
                  <w:gridSpan w:val="3"/>
                  <w:tcBorders>
                    <w:bottom w:val="single" w:color="000000" w:sz="4" w:space="0"/>
                  </w:tcBorders>
                  <w:noWrap w:val="0"/>
                  <w:vAlign w:val="center"/>
                </w:tcPr>
                <w:p w14:paraId="238286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建筑物外噪声</w:t>
                  </w:r>
                </w:p>
              </w:tc>
            </w:tr>
            <w:tr w14:paraId="54B44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000000" w:sz="4" w:space="0"/>
                    <w:bottom w:val="single" w:color="000000" w:sz="4" w:space="0"/>
                  </w:tcBorders>
                  <w:noWrap w:val="0"/>
                  <w:vAlign w:val="center"/>
                </w:tcPr>
                <w:p w14:paraId="12E359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op w:val="single" w:color="000000" w:sz="4" w:space="0"/>
                    <w:bottom w:val="single" w:color="000000" w:sz="4" w:space="0"/>
                  </w:tcBorders>
                  <w:noWrap w:val="0"/>
                  <w:vAlign w:val="center"/>
                </w:tcPr>
                <w:p w14:paraId="19AA23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op w:val="single" w:color="000000" w:sz="4" w:space="0"/>
                    <w:bottom w:val="single" w:color="000000" w:sz="4" w:space="0"/>
                  </w:tcBorders>
                  <w:noWrap w:val="0"/>
                  <w:vAlign w:val="center"/>
                </w:tcPr>
                <w:p w14:paraId="321A9C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op w:val="single" w:color="000000" w:sz="4" w:space="0"/>
                    <w:bottom w:val="single" w:color="000000" w:sz="4" w:space="0"/>
                  </w:tcBorders>
                  <w:noWrap w:val="0"/>
                  <w:vAlign w:val="center"/>
                </w:tcPr>
                <w:p w14:paraId="79E497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op w:val="single" w:color="000000" w:sz="4" w:space="0"/>
                    <w:bottom w:val="single" w:color="000000" w:sz="4" w:space="0"/>
                  </w:tcBorders>
                  <w:noWrap w:val="0"/>
                  <w:vAlign w:val="center"/>
                </w:tcPr>
                <w:p w14:paraId="798D80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op w:val="single" w:color="000000" w:sz="4" w:space="0"/>
                    <w:bottom w:val="single" w:color="000000" w:sz="4" w:space="0"/>
                  </w:tcBorders>
                  <w:noWrap w:val="0"/>
                  <w:vAlign w:val="center"/>
                </w:tcPr>
                <w:p w14:paraId="1BDB50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op w:val="single" w:color="000000" w:sz="4" w:space="0"/>
                    <w:bottom w:val="single" w:color="000000" w:sz="4" w:space="0"/>
                  </w:tcBorders>
                  <w:noWrap w:val="0"/>
                  <w:vAlign w:val="center"/>
                </w:tcPr>
                <w:p w14:paraId="48CB6F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p>
              </w:tc>
              <w:tc>
                <w:tcPr>
                  <w:tcW w:w="0" w:type="auto"/>
                  <w:tcBorders>
                    <w:top w:val="single" w:color="000000" w:sz="4" w:space="0"/>
                    <w:bottom w:val="single" w:color="000000" w:sz="4" w:space="0"/>
                  </w:tcBorders>
                  <w:noWrap w:val="0"/>
                  <w:vAlign w:val="center"/>
                </w:tcPr>
                <w:p w14:paraId="221AAC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X</w:t>
                  </w:r>
                </w:p>
              </w:tc>
              <w:tc>
                <w:tcPr>
                  <w:tcW w:w="0" w:type="auto"/>
                  <w:tcBorders>
                    <w:top w:val="single" w:color="000000" w:sz="4" w:space="0"/>
                    <w:bottom w:val="single" w:color="000000" w:sz="4" w:space="0"/>
                  </w:tcBorders>
                  <w:noWrap w:val="0"/>
                  <w:vAlign w:val="center"/>
                </w:tcPr>
                <w:p w14:paraId="5EEC5F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Y</w:t>
                  </w:r>
                </w:p>
              </w:tc>
              <w:tc>
                <w:tcPr>
                  <w:tcW w:w="0" w:type="auto"/>
                  <w:tcBorders>
                    <w:top w:val="single" w:color="000000" w:sz="4" w:space="0"/>
                    <w:bottom w:val="single" w:color="000000" w:sz="4" w:space="0"/>
                  </w:tcBorders>
                  <w:noWrap w:val="0"/>
                  <w:vAlign w:val="center"/>
                </w:tcPr>
                <w:p w14:paraId="7C2E4B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Z</w:t>
                  </w:r>
                </w:p>
              </w:tc>
              <w:tc>
                <w:tcPr>
                  <w:tcW w:w="0" w:type="auto"/>
                  <w:tcBorders>
                    <w:top w:val="single" w:color="000000" w:sz="4" w:space="0"/>
                    <w:bottom w:val="single" w:color="000000" w:sz="4" w:space="0"/>
                  </w:tcBorders>
                  <w:noWrap w:val="0"/>
                  <w:vAlign w:val="center"/>
                </w:tcPr>
                <w:p w14:paraId="040D5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方向</w:t>
                  </w:r>
                </w:p>
              </w:tc>
              <w:tc>
                <w:tcPr>
                  <w:tcW w:w="0" w:type="auto"/>
                  <w:tcBorders>
                    <w:top w:val="single" w:color="000000" w:sz="4" w:space="0"/>
                    <w:bottom w:val="single" w:color="000000" w:sz="4" w:space="0"/>
                  </w:tcBorders>
                  <w:noWrap w:val="0"/>
                  <w:vAlign w:val="center"/>
                </w:tcPr>
                <w:p w14:paraId="12B8F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距离</w:t>
                  </w:r>
                </w:p>
              </w:tc>
              <w:tc>
                <w:tcPr>
                  <w:tcW w:w="0" w:type="auto"/>
                  <w:tcBorders>
                    <w:top w:val="single" w:color="000000" w:sz="4" w:space="0"/>
                    <w:bottom w:val="single" w:color="000000" w:sz="4" w:space="0"/>
                  </w:tcBorders>
                  <w:noWrap w:val="0"/>
                  <w:vAlign w:val="center"/>
                </w:tcPr>
                <w:p w14:paraId="7410B9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方向</w:t>
                  </w:r>
                </w:p>
              </w:tc>
              <w:tc>
                <w:tcPr>
                  <w:tcW w:w="0" w:type="auto"/>
                  <w:tcBorders>
                    <w:top w:val="single" w:color="000000" w:sz="4" w:space="0"/>
                    <w:bottom w:val="single" w:color="000000" w:sz="4" w:space="0"/>
                  </w:tcBorders>
                  <w:noWrap w:val="0"/>
                  <w:vAlign w:val="center"/>
                </w:tcPr>
                <w:p w14:paraId="2D8CBD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声级</w:t>
                  </w:r>
                </w:p>
              </w:tc>
              <w:tc>
                <w:tcPr>
                  <w:tcW w:w="0" w:type="auto"/>
                  <w:vMerge w:val="continue"/>
                  <w:tcBorders>
                    <w:top w:val="single" w:color="000000" w:sz="4" w:space="0"/>
                    <w:bottom w:val="single" w:color="000000" w:sz="4" w:space="0"/>
                  </w:tcBorders>
                  <w:noWrap w:val="0"/>
                  <w:vAlign w:val="center"/>
                </w:tcPr>
                <w:p w14:paraId="3FD4F6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p>
              </w:tc>
              <w:tc>
                <w:tcPr>
                  <w:tcW w:w="0" w:type="auto"/>
                  <w:vMerge w:val="continue"/>
                  <w:tcBorders>
                    <w:top w:val="single" w:color="000000" w:sz="4" w:space="0"/>
                    <w:bottom w:val="single" w:color="000000" w:sz="4" w:space="0"/>
                  </w:tcBorders>
                  <w:noWrap w:val="0"/>
                  <w:vAlign w:val="center"/>
                </w:tcPr>
                <w:p w14:paraId="019E70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b/>
                      <w:bCs/>
                      <w:i w:val="0"/>
                      <w:iCs w:val="0"/>
                      <w:color w:val="auto"/>
                      <w:sz w:val="21"/>
                      <w:szCs w:val="21"/>
                      <w:highlight w:val="none"/>
                      <w:u w:val="none"/>
                    </w:rPr>
                  </w:pPr>
                </w:p>
              </w:tc>
              <w:tc>
                <w:tcPr>
                  <w:tcW w:w="428" w:type="dxa"/>
                  <w:tcBorders>
                    <w:top w:val="single" w:color="000000" w:sz="4" w:space="0"/>
                    <w:bottom w:val="single" w:color="000000" w:sz="4" w:space="0"/>
                  </w:tcBorders>
                  <w:noWrap w:val="0"/>
                  <w:vAlign w:val="center"/>
                </w:tcPr>
                <w:p w14:paraId="49AF99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方向</w:t>
                  </w:r>
                </w:p>
              </w:tc>
              <w:tc>
                <w:tcPr>
                  <w:tcW w:w="944" w:type="dxa"/>
                  <w:tcBorders>
                    <w:top w:val="single" w:color="000000" w:sz="4" w:space="0"/>
                    <w:bottom w:val="single" w:color="000000" w:sz="4" w:space="0"/>
                  </w:tcBorders>
                  <w:noWrap w:val="0"/>
                  <w:vAlign w:val="center"/>
                </w:tcPr>
                <w:p w14:paraId="161D56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声压级/dB(A)</w:t>
                  </w:r>
                </w:p>
              </w:tc>
              <w:tc>
                <w:tcPr>
                  <w:tcW w:w="0" w:type="auto"/>
                  <w:tcBorders>
                    <w:top w:val="single" w:color="000000" w:sz="4" w:space="0"/>
                    <w:bottom w:val="single" w:color="000000" w:sz="4" w:space="0"/>
                  </w:tcBorders>
                  <w:noWrap w:val="0"/>
                  <w:vAlign w:val="center"/>
                </w:tcPr>
                <w:p w14:paraId="7076AB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建筑外距离/m</w:t>
                  </w:r>
                </w:p>
              </w:tc>
            </w:tr>
            <w:tr w14:paraId="24176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0" w:type="auto"/>
                  <w:vMerge w:val="restart"/>
                  <w:tcBorders>
                    <w:top w:val="single" w:color="000000" w:sz="4" w:space="0"/>
                    <w:bottom w:val="single" w:color="000000" w:sz="4" w:space="0"/>
                  </w:tcBorders>
                  <w:noWrap w:val="0"/>
                  <w:vAlign w:val="center"/>
                </w:tcPr>
                <w:p w14:paraId="05C6B21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1</w:t>
                  </w:r>
                </w:p>
              </w:tc>
              <w:tc>
                <w:tcPr>
                  <w:tcW w:w="605" w:type="dxa"/>
                  <w:vMerge w:val="restart"/>
                  <w:tcBorders>
                    <w:top w:val="single" w:color="000000" w:sz="4" w:space="0"/>
                  </w:tcBorders>
                  <w:noWrap w:val="0"/>
                  <w:vAlign w:val="center"/>
                </w:tcPr>
                <w:p w14:paraId="236B1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生产</w:t>
                  </w:r>
                  <w:r>
                    <w:rPr>
                      <w:rFonts w:hint="default" w:ascii="Times New Roman" w:hAnsi="Times New Roman" w:eastAsia="宋体" w:cs="Times New Roman"/>
                      <w:i w:val="0"/>
                      <w:iCs w:val="0"/>
                      <w:color w:val="auto"/>
                      <w:kern w:val="0"/>
                      <w:sz w:val="21"/>
                      <w:szCs w:val="21"/>
                      <w:highlight w:val="none"/>
                      <w:u w:val="none"/>
                      <w:lang w:val="en-US" w:eastAsia="zh-CN" w:bidi="ar"/>
                    </w:rPr>
                    <w:t>车间</w:t>
                  </w:r>
                </w:p>
              </w:tc>
              <w:tc>
                <w:tcPr>
                  <w:tcW w:w="0" w:type="auto"/>
                  <w:vMerge w:val="restart"/>
                  <w:tcBorders>
                    <w:top w:val="single" w:color="000000" w:sz="4" w:space="0"/>
                    <w:bottom w:val="single" w:color="000000" w:sz="4" w:space="0"/>
                  </w:tcBorders>
                  <w:noWrap w:val="0"/>
                  <w:vAlign w:val="center"/>
                </w:tcPr>
                <w:p w14:paraId="2F74CD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搅拌机</w:t>
                  </w:r>
                </w:p>
              </w:tc>
              <w:tc>
                <w:tcPr>
                  <w:tcW w:w="0" w:type="auto"/>
                  <w:vMerge w:val="restart"/>
                  <w:tcBorders>
                    <w:top w:val="single" w:color="000000" w:sz="4" w:space="0"/>
                    <w:bottom w:val="single" w:color="000000" w:sz="4" w:space="0"/>
                  </w:tcBorders>
                  <w:noWrap w:val="0"/>
                  <w:vAlign w:val="center"/>
                </w:tcPr>
                <w:p w14:paraId="034DF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0" w:type="auto"/>
                  <w:vMerge w:val="restart"/>
                  <w:tcBorders>
                    <w:top w:val="single" w:color="000000" w:sz="4" w:space="0"/>
                    <w:bottom w:val="single" w:color="000000" w:sz="4" w:space="0"/>
                  </w:tcBorders>
                  <w:noWrap w:val="0"/>
                  <w:vAlign w:val="center"/>
                </w:tcPr>
                <w:p w14:paraId="1EF202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0" w:type="auto"/>
                  <w:vMerge w:val="restart"/>
                  <w:tcBorders>
                    <w:top w:val="single" w:color="000000" w:sz="4" w:space="0"/>
                    <w:bottom w:val="single" w:color="000000" w:sz="4" w:space="0"/>
                  </w:tcBorders>
                  <w:noWrap w:val="0"/>
                  <w:vAlign w:val="center"/>
                </w:tcPr>
                <w:p w14:paraId="7E55A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80</w:t>
                  </w:r>
                </w:p>
              </w:tc>
              <w:tc>
                <w:tcPr>
                  <w:tcW w:w="953" w:type="dxa"/>
                  <w:vMerge w:val="restart"/>
                  <w:tcBorders>
                    <w:top w:val="single" w:color="000000" w:sz="4" w:space="0"/>
                  </w:tcBorders>
                  <w:noWrap w:val="0"/>
                  <w:vAlign w:val="center"/>
                </w:tcPr>
                <w:p w14:paraId="2D9FA6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厂房隔声、距离衰减</w:t>
                  </w:r>
                </w:p>
              </w:tc>
              <w:tc>
                <w:tcPr>
                  <w:tcW w:w="0" w:type="auto"/>
                  <w:vMerge w:val="restart"/>
                  <w:tcBorders>
                    <w:top w:val="single" w:color="000000" w:sz="4" w:space="0"/>
                    <w:bottom w:val="single" w:color="000000" w:sz="4" w:space="0"/>
                  </w:tcBorders>
                  <w:noWrap w:val="0"/>
                  <w:vAlign w:val="center"/>
                </w:tcPr>
                <w:p w14:paraId="52BD63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0" w:type="auto"/>
                  <w:vMerge w:val="restart"/>
                  <w:tcBorders>
                    <w:top w:val="single" w:color="000000" w:sz="4" w:space="0"/>
                    <w:bottom w:val="single" w:color="000000" w:sz="4" w:space="0"/>
                  </w:tcBorders>
                  <w:noWrap w:val="0"/>
                  <w:vAlign w:val="center"/>
                </w:tcPr>
                <w:p w14:paraId="1A1DE6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0" w:type="auto"/>
                  <w:vMerge w:val="restart"/>
                  <w:tcBorders>
                    <w:top w:val="single" w:color="000000" w:sz="4" w:space="0"/>
                    <w:bottom w:val="single" w:color="000000" w:sz="4" w:space="0"/>
                  </w:tcBorders>
                  <w:noWrap w:val="0"/>
                  <w:vAlign w:val="center"/>
                </w:tcPr>
                <w:p w14:paraId="7EB3A5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0" w:type="auto"/>
                  <w:tcBorders>
                    <w:top w:val="single" w:color="000000" w:sz="4" w:space="0"/>
                    <w:bottom w:val="single" w:color="000000" w:sz="4" w:space="0"/>
                  </w:tcBorders>
                  <w:noWrap w:val="0"/>
                  <w:vAlign w:val="center"/>
                </w:tcPr>
                <w:p w14:paraId="6FB14F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0" w:type="auto"/>
                  <w:tcBorders>
                    <w:top w:val="single" w:color="000000" w:sz="4" w:space="0"/>
                    <w:bottom w:val="single" w:color="000000" w:sz="4" w:space="0"/>
                  </w:tcBorders>
                  <w:noWrap w:val="0"/>
                  <w:vAlign w:val="center"/>
                </w:tcPr>
                <w:p w14:paraId="0362DFB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36</w:t>
                  </w:r>
                </w:p>
              </w:tc>
              <w:tc>
                <w:tcPr>
                  <w:tcW w:w="0" w:type="auto"/>
                  <w:tcBorders>
                    <w:top w:val="single" w:color="000000" w:sz="4" w:space="0"/>
                    <w:bottom w:val="single" w:color="000000" w:sz="4" w:space="0"/>
                  </w:tcBorders>
                  <w:noWrap w:val="0"/>
                  <w:vAlign w:val="center"/>
                </w:tcPr>
                <w:p w14:paraId="3592FC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347" w:type="dxa"/>
                  <w:tcBorders>
                    <w:top w:val="single" w:color="000000" w:sz="4" w:space="0"/>
                    <w:bottom w:val="single" w:color="000000" w:sz="4" w:space="0"/>
                  </w:tcBorders>
                  <w:noWrap w:val="0"/>
                  <w:vAlign w:val="center"/>
                </w:tcPr>
                <w:p w14:paraId="34A9A77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50.5 </w:t>
                  </w:r>
                </w:p>
              </w:tc>
              <w:tc>
                <w:tcPr>
                  <w:tcW w:w="0" w:type="auto"/>
                  <w:vMerge w:val="restart"/>
                  <w:tcBorders>
                    <w:top w:val="single" w:color="000000" w:sz="4" w:space="0"/>
                    <w:bottom w:val="single" w:color="000000" w:sz="4" w:space="0"/>
                  </w:tcBorders>
                  <w:noWrap w:val="0"/>
                  <w:vAlign w:val="center"/>
                </w:tcPr>
                <w:p w14:paraId="37D7B6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昼间</w:t>
                  </w:r>
                </w:p>
              </w:tc>
              <w:tc>
                <w:tcPr>
                  <w:tcW w:w="823" w:type="dxa"/>
                  <w:vMerge w:val="restart"/>
                  <w:tcBorders>
                    <w:top w:val="single" w:color="000000" w:sz="4" w:space="0"/>
                  </w:tcBorders>
                  <w:noWrap w:val="0"/>
                  <w:vAlign w:val="center"/>
                </w:tcPr>
                <w:p w14:paraId="7E47C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25</w:t>
                  </w:r>
                </w:p>
              </w:tc>
              <w:tc>
                <w:tcPr>
                  <w:tcW w:w="428" w:type="dxa"/>
                  <w:vMerge w:val="restart"/>
                  <w:tcBorders>
                    <w:top w:val="single" w:color="000000" w:sz="4" w:space="0"/>
                    <w:bottom w:val="single" w:color="000000" w:sz="4" w:space="0"/>
                  </w:tcBorders>
                  <w:noWrap w:val="0"/>
                  <w:vAlign w:val="center"/>
                </w:tcPr>
                <w:p w14:paraId="7AC760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东</w:t>
                  </w:r>
                </w:p>
              </w:tc>
              <w:tc>
                <w:tcPr>
                  <w:tcW w:w="944" w:type="dxa"/>
                  <w:vMerge w:val="restart"/>
                  <w:tcBorders>
                    <w:top w:val="single" w:color="000000" w:sz="4" w:space="0"/>
                    <w:bottom w:val="single" w:color="000000" w:sz="4" w:space="0"/>
                  </w:tcBorders>
                  <w:shd w:val="clear" w:color="auto" w:fill="auto"/>
                  <w:noWrap w:val="0"/>
                  <w:vAlign w:val="center"/>
                </w:tcPr>
                <w:p w14:paraId="71195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60.9</w:t>
                  </w:r>
                </w:p>
              </w:tc>
              <w:tc>
                <w:tcPr>
                  <w:tcW w:w="654" w:type="dxa"/>
                  <w:vMerge w:val="restart"/>
                  <w:tcBorders>
                    <w:top w:val="single" w:color="000000" w:sz="4" w:space="0"/>
                    <w:bottom w:val="single" w:color="000000" w:sz="4" w:space="0"/>
                  </w:tcBorders>
                  <w:shd w:val="clear" w:color="auto" w:fill="auto"/>
                  <w:noWrap w:val="0"/>
                  <w:vAlign w:val="center"/>
                </w:tcPr>
                <w:p w14:paraId="3A4F82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2A2956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000000" w:sz="4" w:space="0"/>
                    <w:bottom w:val="single" w:color="000000" w:sz="4" w:space="0"/>
                  </w:tcBorders>
                  <w:noWrap w:val="0"/>
                  <w:vAlign w:val="center"/>
                </w:tcPr>
                <w:p w14:paraId="6736A1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noWrap w:val="0"/>
                  <w:vAlign w:val="center"/>
                </w:tcPr>
                <w:p w14:paraId="19CE9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40BD75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251A2B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4C899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2CEC5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noWrap w:val="0"/>
                  <w:vAlign w:val="center"/>
                </w:tcPr>
                <w:p w14:paraId="2B03F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6C2715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7DE0BF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47BD4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op w:val="single" w:color="000000" w:sz="4" w:space="0"/>
                    <w:bottom w:val="single" w:color="000000" w:sz="4" w:space="0"/>
                  </w:tcBorders>
                  <w:noWrap w:val="0"/>
                  <w:vAlign w:val="center"/>
                </w:tcPr>
                <w:p w14:paraId="0A8762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0" w:type="auto"/>
                  <w:tcBorders>
                    <w:top w:val="single" w:color="000000" w:sz="4" w:space="0"/>
                    <w:bottom w:val="single" w:color="000000" w:sz="4" w:space="0"/>
                  </w:tcBorders>
                  <w:noWrap w:val="0"/>
                  <w:vAlign w:val="center"/>
                </w:tcPr>
                <w:p w14:paraId="3E791F2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0" w:type="auto"/>
                  <w:tcBorders>
                    <w:top w:val="single" w:color="000000" w:sz="4" w:space="0"/>
                    <w:bottom w:val="single" w:color="000000" w:sz="4" w:space="0"/>
                  </w:tcBorders>
                  <w:noWrap w:val="0"/>
                  <w:vAlign w:val="center"/>
                </w:tcPr>
                <w:p w14:paraId="370EF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347" w:type="dxa"/>
                  <w:tcBorders>
                    <w:top w:val="single" w:color="000000" w:sz="4" w:space="0"/>
                    <w:bottom w:val="single" w:color="000000" w:sz="4" w:space="0"/>
                  </w:tcBorders>
                  <w:noWrap w:val="0"/>
                  <w:vAlign w:val="center"/>
                </w:tcPr>
                <w:p w14:paraId="3CED5C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50.5 </w:t>
                  </w:r>
                </w:p>
              </w:tc>
              <w:tc>
                <w:tcPr>
                  <w:tcW w:w="0" w:type="auto"/>
                  <w:vMerge w:val="continue"/>
                  <w:tcBorders>
                    <w:top w:val="single" w:color="000000" w:sz="4" w:space="0"/>
                    <w:bottom w:val="single" w:color="000000" w:sz="4" w:space="0"/>
                  </w:tcBorders>
                  <w:noWrap w:val="0"/>
                  <w:vAlign w:val="center"/>
                </w:tcPr>
                <w:p w14:paraId="52C5D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noWrap w:val="0"/>
                  <w:vAlign w:val="center"/>
                </w:tcPr>
                <w:p w14:paraId="65BBE5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continue"/>
                  <w:tcBorders>
                    <w:top w:val="single" w:color="000000" w:sz="4" w:space="0"/>
                    <w:bottom w:val="single" w:color="000000" w:sz="4" w:space="0"/>
                  </w:tcBorders>
                  <w:noWrap w:val="0"/>
                  <w:vAlign w:val="center"/>
                </w:tcPr>
                <w:p w14:paraId="47D60A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44" w:type="dxa"/>
                  <w:vMerge w:val="continue"/>
                  <w:tcBorders>
                    <w:top w:val="single" w:color="000000" w:sz="4" w:space="0"/>
                    <w:bottom w:val="single" w:color="000000" w:sz="4" w:space="0"/>
                  </w:tcBorders>
                  <w:noWrap w:val="0"/>
                  <w:vAlign w:val="center"/>
                </w:tcPr>
                <w:p w14:paraId="087CDC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dxa"/>
                  <w:vMerge w:val="continue"/>
                  <w:tcBorders>
                    <w:top w:val="single" w:color="000000" w:sz="4" w:space="0"/>
                    <w:bottom w:val="single" w:color="000000" w:sz="4" w:space="0"/>
                  </w:tcBorders>
                  <w:noWrap w:val="0"/>
                  <w:vAlign w:val="center"/>
                </w:tcPr>
                <w:p w14:paraId="38CE21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268B0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000000" w:sz="4" w:space="0"/>
                    <w:bottom w:val="single" w:color="000000" w:sz="4" w:space="0"/>
                  </w:tcBorders>
                  <w:noWrap w:val="0"/>
                  <w:vAlign w:val="center"/>
                </w:tcPr>
                <w:p w14:paraId="4582C5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noWrap w:val="0"/>
                  <w:vAlign w:val="center"/>
                </w:tcPr>
                <w:p w14:paraId="5952B1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6EB655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5581C1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52B84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07623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noWrap w:val="0"/>
                  <w:vAlign w:val="center"/>
                </w:tcPr>
                <w:p w14:paraId="3E1F74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329DC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6AA848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3CB8D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restart"/>
                  <w:tcBorders>
                    <w:top w:val="single" w:color="000000" w:sz="4" w:space="0"/>
                    <w:bottom w:val="single" w:color="000000" w:sz="4" w:space="0"/>
                  </w:tcBorders>
                  <w:noWrap w:val="0"/>
                  <w:vAlign w:val="center"/>
                </w:tcPr>
                <w:p w14:paraId="7DBA61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0" w:type="auto"/>
                  <w:vMerge w:val="restart"/>
                  <w:tcBorders>
                    <w:top w:val="single" w:color="000000" w:sz="4" w:space="0"/>
                    <w:bottom w:val="single" w:color="000000" w:sz="4" w:space="0"/>
                  </w:tcBorders>
                  <w:noWrap w:val="0"/>
                  <w:vAlign w:val="center"/>
                </w:tcPr>
                <w:p w14:paraId="42EB2A3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0" w:type="auto"/>
                  <w:vMerge w:val="restart"/>
                  <w:tcBorders>
                    <w:top w:val="single" w:color="000000" w:sz="4" w:space="0"/>
                    <w:bottom w:val="single" w:color="000000" w:sz="4" w:space="0"/>
                  </w:tcBorders>
                  <w:noWrap w:val="0"/>
                  <w:vAlign w:val="center"/>
                </w:tcPr>
                <w:p w14:paraId="4B839D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347" w:type="dxa"/>
                  <w:vMerge w:val="restart"/>
                  <w:tcBorders>
                    <w:top w:val="single" w:color="000000" w:sz="4" w:space="0"/>
                    <w:bottom w:val="single" w:color="000000" w:sz="4" w:space="0"/>
                  </w:tcBorders>
                  <w:noWrap w:val="0"/>
                  <w:vAlign w:val="center"/>
                </w:tcPr>
                <w:p w14:paraId="0089025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50.5 </w:t>
                  </w:r>
                </w:p>
              </w:tc>
              <w:tc>
                <w:tcPr>
                  <w:tcW w:w="0" w:type="auto"/>
                  <w:vMerge w:val="continue"/>
                  <w:tcBorders>
                    <w:top w:val="single" w:color="000000" w:sz="4" w:space="0"/>
                    <w:bottom w:val="single" w:color="000000" w:sz="4" w:space="0"/>
                  </w:tcBorders>
                  <w:noWrap w:val="0"/>
                  <w:vAlign w:val="center"/>
                </w:tcPr>
                <w:p w14:paraId="3B6F25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noWrap w:val="0"/>
                  <w:vAlign w:val="center"/>
                </w:tcPr>
                <w:p w14:paraId="0FDB7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continue"/>
                  <w:tcBorders>
                    <w:top w:val="single" w:color="000000" w:sz="4" w:space="0"/>
                    <w:bottom w:val="single" w:color="000000" w:sz="4" w:space="0"/>
                  </w:tcBorders>
                  <w:noWrap w:val="0"/>
                  <w:vAlign w:val="center"/>
                </w:tcPr>
                <w:p w14:paraId="26CC2C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44" w:type="dxa"/>
                  <w:vMerge w:val="continue"/>
                  <w:tcBorders>
                    <w:top w:val="single" w:color="000000" w:sz="4" w:space="0"/>
                    <w:bottom w:val="single" w:color="000000" w:sz="4" w:space="0"/>
                  </w:tcBorders>
                  <w:noWrap w:val="0"/>
                  <w:vAlign w:val="center"/>
                </w:tcPr>
                <w:p w14:paraId="498BAC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dxa"/>
                  <w:vMerge w:val="continue"/>
                  <w:tcBorders>
                    <w:top w:val="single" w:color="000000" w:sz="4" w:space="0"/>
                    <w:bottom w:val="single" w:color="000000" w:sz="4" w:space="0"/>
                  </w:tcBorders>
                  <w:noWrap w:val="0"/>
                  <w:vAlign w:val="center"/>
                </w:tcPr>
                <w:p w14:paraId="001EC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5332E7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0" w:type="auto"/>
                  <w:vMerge w:val="continue"/>
                  <w:tcBorders>
                    <w:top w:val="single" w:color="000000" w:sz="4" w:space="0"/>
                    <w:bottom w:val="single" w:color="000000" w:sz="4" w:space="0"/>
                  </w:tcBorders>
                  <w:noWrap w:val="0"/>
                  <w:vAlign w:val="center"/>
                </w:tcPr>
                <w:p w14:paraId="00E608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noWrap w:val="0"/>
                  <w:vAlign w:val="center"/>
                </w:tcPr>
                <w:p w14:paraId="5F6493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1724AE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276845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0B20D9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1D683B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noWrap w:val="0"/>
                  <w:vAlign w:val="center"/>
                </w:tcPr>
                <w:p w14:paraId="121143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2B3C65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3CFD01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6B458C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61FAAA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53677AF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13B8E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4147984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63B7EF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noWrap w:val="0"/>
                  <w:vAlign w:val="center"/>
                </w:tcPr>
                <w:p w14:paraId="26E258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restart"/>
                  <w:tcBorders>
                    <w:top w:val="single" w:color="000000" w:sz="4" w:space="0"/>
                    <w:bottom w:val="single" w:color="000000" w:sz="4" w:space="0"/>
                  </w:tcBorders>
                  <w:noWrap w:val="0"/>
                  <w:vAlign w:val="center"/>
                </w:tcPr>
                <w:p w14:paraId="1A002C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南</w:t>
                  </w:r>
                </w:p>
              </w:tc>
              <w:tc>
                <w:tcPr>
                  <w:tcW w:w="944" w:type="dxa"/>
                  <w:vMerge w:val="restart"/>
                  <w:tcBorders>
                    <w:top w:val="single" w:color="000000" w:sz="4" w:space="0"/>
                    <w:bottom w:val="single" w:color="000000" w:sz="4" w:space="0"/>
                  </w:tcBorders>
                  <w:noWrap w:val="0"/>
                  <w:vAlign w:val="center"/>
                </w:tcPr>
                <w:p w14:paraId="3101E0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49.0</w:t>
                  </w:r>
                </w:p>
              </w:tc>
              <w:tc>
                <w:tcPr>
                  <w:tcW w:w="654" w:type="dxa"/>
                  <w:vMerge w:val="restart"/>
                  <w:tcBorders>
                    <w:top w:val="single" w:color="000000" w:sz="4" w:space="0"/>
                    <w:bottom w:val="single" w:color="000000" w:sz="4" w:space="0"/>
                  </w:tcBorders>
                  <w:noWrap w:val="0"/>
                  <w:vAlign w:val="center"/>
                </w:tcPr>
                <w:p w14:paraId="5A848F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73147F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000000" w:sz="4" w:space="0"/>
                    <w:bottom w:val="single" w:color="000000" w:sz="4" w:space="0"/>
                  </w:tcBorders>
                  <w:noWrap w:val="0"/>
                  <w:vAlign w:val="center"/>
                </w:tcPr>
                <w:p w14:paraId="40BB4C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noWrap w:val="0"/>
                  <w:vAlign w:val="center"/>
                </w:tcPr>
                <w:p w14:paraId="1EA4DB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15A2EF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2CD842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22FC3D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60C65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noWrap w:val="0"/>
                  <w:vAlign w:val="center"/>
                </w:tcPr>
                <w:p w14:paraId="3ED1B2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1EE3D3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6180D2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4258DA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op w:val="single" w:color="000000" w:sz="4" w:space="0"/>
                    <w:bottom w:val="single" w:color="000000" w:sz="4" w:space="0"/>
                  </w:tcBorders>
                  <w:noWrap w:val="0"/>
                  <w:vAlign w:val="center"/>
                </w:tcPr>
                <w:p w14:paraId="515BCA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0" w:type="auto"/>
                  <w:tcBorders>
                    <w:top w:val="single" w:color="000000" w:sz="4" w:space="0"/>
                    <w:bottom w:val="single" w:color="000000" w:sz="4" w:space="0"/>
                  </w:tcBorders>
                  <w:noWrap w:val="0"/>
                  <w:vAlign w:val="center"/>
                </w:tcPr>
                <w:p w14:paraId="769FEB0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0" w:type="auto"/>
                  <w:tcBorders>
                    <w:top w:val="single" w:color="000000" w:sz="4" w:space="0"/>
                    <w:bottom w:val="single" w:color="000000" w:sz="4" w:space="0"/>
                  </w:tcBorders>
                  <w:noWrap w:val="0"/>
                  <w:vAlign w:val="center"/>
                </w:tcPr>
                <w:p w14:paraId="38CB8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347" w:type="dxa"/>
                  <w:tcBorders>
                    <w:top w:val="single" w:color="000000" w:sz="4" w:space="0"/>
                    <w:bottom w:val="single" w:color="000000" w:sz="4" w:space="0"/>
                  </w:tcBorders>
                  <w:noWrap w:val="0"/>
                  <w:vAlign w:val="center"/>
                </w:tcPr>
                <w:p w14:paraId="61BFDD3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50.5 </w:t>
                  </w:r>
                </w:p>
              </w:tc>
              <w:tc>
                <w:tcPr>
                  <w:tcW w:w="0" w:type="auto"/>
                  <w:vMerge w:val="continue"/>
                  <w:tcBorders>
                    <w:top w:val="single" w:color="000000" w:sz="4" w:space="0"/>
                    <w:bottom w:val="single" w:color="000000" w:sz="4" w:space="0"/>
                  </w:tcBorders>
                  <w:noWrap w:val="0"/>
                  <w:vAlign w:val="center"/>
                </w:tcPr>
                <w:p w14:paraId="0D311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noWrap w:val="0"/>
                  <w:vAlign w:val="center"/>
                </w:tcPr>
                <w:p w14:paraId="6F5E27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continue"/>
                  <w:tcBorders>
                    <w:top w:val="single" w:color="000000" w:sz="4" w:space="0"/>
                    <w:bottom w:val="single" w:color="000000" w:sz="4" w:space="0"/>
                  </w:tcBorders>
                  <w:noWrap w:val="0"/>
                  <w:vAlign w:val="center"/>
                </w:tcPr>
                <w:p w14:paraId="282EB0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44" w:type="dxa"/>
                  <w:vMerge w:val="continue"/>
                  <w:tcBorders>
                    <w:top w:val="single" w:color="000000" w:sz="4" w:space="0"/>
                    <w:bottom w:val="single" w:color="000000" w:sz="4" w:space="0"/>
                  </w:tcBorders>
                  <w:noWrap w:val="0"/>
                  <w:vAlign w:val="center"/>
                </w:tcPr>
                <w:p w14:paraId="36AAA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dxa"/>
                  <w:vMerge w:val="continue"/>
                  <w:tcBorders>
                    <w:top w:val="single" w:color="000000" w:sz="4" w:space="0"/>
                    <w:bottom w:val="single" w:color="000000" w:sz="4" w:space="0"/>
                  </w:tcBorders>
                  <w:noWrap w:val="0"/>
                  <w:vAlign w:val="center"/>
                </w:tcPr>
                <w:p w14:paraId="2F57D4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0004A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0" w:type="auto"/>
                  <w:vMerge w:val="restart"/>
                  <w:tcBorders>
                    <w:top w:val="single" w:color="000000" w:sz="4" w:space="0"/>
                    <w:bottom w:val="single" w:color="000000" w:sz="4" w:space="0"/>
                  </w:tcBorders>
                  <w:noWrap w:val="0"/>
                  <w:vAlign w:val="center"/>
                </w:tcPr>
                <w:p w14:paraId="4CF7BA6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2</w:t>
                  </w:r>
                </w:p>
              </w:tc>
              <w:tc>
                <w:tcPr>
                  <w:tcW w:w="605" w:type="dxa"/>
                  <w:vMerge w:val="continue"/>
                  <w:noWrap w:val="0"/>
                  <w:vAlign w:val="center"/>
                </w:tcPr>
                <w:p w14:paraId="3913D8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restart"/>
                  <w:tcBorders>
                    <w:top w:val="single" w:color="000000" w:sz="4" w:space="0"/>
                    <w:bottom w:val="single" w:color="000000" w:sz="4" w:space="0"/>
                  </w:tcBorders>
                  <w:noWrap w:val="0"/>
                  <w:vAlign w:val="center"/>
                </w:tcPr>
                <w:p w14:paraId="4AD31B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后处理线</w:t>
                  </w:r>
                </w:p>
              </w:tc>
              <w:tc>
                <w:tcPr>
                  <w:tcW w:w="0" w:type="auto"/>
                  <w:vMerge w:val="restart"/>
                  <w:tcBorders>
                    <w:top w:val="single" w:color="000000" w:sz="4" w:space="0"/>
                    <w:bottom w:val="single" w:color="000000" w:sz="4" w:space="0"/>
                  </w:tcBorders>
                  <w:noWrap w:val="0"/>
                  <w:vAlign w:val="center"/>
                </w:tcPr>
                <w:p w14:paraId="6292BD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定制</w:t>
                  </w:r>
                </w:p>
              </w:tc>
              <w:tc>
                <w:tcPr>
                  <w:tcW w:w="0" w:type="auto"/>
                  <w:vMerge w:val="restart"/>
                  <w:tcBorders>
                    <w:top w:val="single" w:color="000000" w:sz="4" w:space="0"/>
                    <w:bottom w:val="single" w:color="000000" w:sz="4" w:space="0"/>
                  </w:tcBorders>
                  <w:noWrap w:val="0"/>
                  <w:vAlign w:val="center"/>
                </w:tcPr>
                <w:p w14:paraId="4B9E42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60</w:t>
                  </w:r>
                </w:p>
              </w:tc>
              <w:tc>
                <w:tcPr>
                  <w:tcW w:w="0" w:type="auto"/>
                  <w:vMerge w:val="restart"/>
                  <w:tcBorders>
                    <w:top w:val="single" w:color="000000" w:sz="4" w:space="0"/>
                    <w:bottom w:val="single" w:color="000000" w:sz="4" w:space="0"/>
                  </w:tcBorders>
                  <w:noWrap w:val="0"/>
                  <w:vAlign w:val="center"/>
                </w:tcPr>
                <w:p w14:paraId="226429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70</w:t>
                  </w:r>
                </w:p>
              </w:tc>
              <w:tc>
                <w:tcPr>
                  <w:tcW w:w="953" w:type="dxa"/>
                  <w:vMerge w:val="continue"/>
                  <w:noWrap w:val="0"/>
                  <w:vAlign w:val="center"/>
                </w:tcPr>
                <w:p w14:paraId="03869A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restart"/>
                  <w:tcBorders>
                    <w:top w:val="single" w:color="000000" w:sz="4" w:space="0"/>
                    <w:bottom w:val="single" w:color="000000" w:sz="4" w:space="0"/>
                  </w:tcBorders>
                  <w:noWrap w:val="0"/>
                  <w:vAlign w:val="center"/>
                </w:tcPr>
                <w:p w14:paraId="463700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0" w:type="auto"/>
                  <w:vMerge w:val="restart"/>
                  <w:tcBorders>
                    <w:top w:val="single" w:color="000000" w:sz="4" w:space="0"/>
                    <w:bottom w:val="single" w:color="000000" w:sz="4" w:space="0"/>
                  </w:tcBorders>
                  <w:noWrap w:val="0"/>
                  <w:vAlign w:val="center"/>
                </w:tcPr>
                <w:p w14:paraId="6A5674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0" w:type="auto"/>
                  <w:vMerge w:val="restart"/>
                  <w:tcBorders>
                    <w:top w:val="single" w:color="000000" w:sz="4" w:space="0"/>
                    <w:bottom w:val="single" w:color="000000" w:sz="4" w:space="0"/>
                  </w:tcBorders>
                  <w:noWrap w:val="0"/>
                  <w:vAlign w:val="center"/>
                </w:tcPr>
                <w:p w14:paraId="3D7C8B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0" w:type="auto"/>
                  <w:tcBorders>
                    <w:top w:val="single" w:color="000000" w:sz="4" w:space="0"/>
                    <w:bottom w:val="single" w:color="000000" w:sz="4" w:space="0"/>
                  </w:tcBorders>
                  <w:shd w:val="clear" w:color="auto" w:fill="auto"/>
                  <w:noWrap w:val="0"/>
                  <w:vAlign w:val="center"/>
                </w:tcPr>
                <w:p w14:paraId="7D3812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0" w:type="auto"/>
                  <w:tcBorders>
                    <w:top w:val="single" w:color="000000" w:sz="4" w:space="0"/>
                    <w:bottom w:val="single" w:color="000000" w:sz="4" w:space="0"/>
                  </w:tcBorders>
                  <w:noWrap w:val="0"/>
                  <w:vAlign w:val="center"/>
                </w:tcPr>
                <w:p w14:paraId="35403FC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24</w:t>
                  </w:r>
                </w:p>
              </w:tc>
              <w:tc>
                <w:tcPr>
                  <w:tcW w:w="0" w:type="auto"/>
                  <w:tcBorders>
                    <w:top w:val="single" w:color="000000" w:sz="4" w:space="0"/>
                    <w:bottom w:val="single" w:color="000000" w:sz="4" w:space="0"/>
                  </w:tcBorders>
                  <w:shd w:val="clear" w:color="auto" w:fill="auto"/>
                  <w:noWrap w:val="0"/>
                  <w:vAlign w:val="center"/>
                </w:tcPr>
                <w:p w14:paraId="2891F3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347" w:type="dxa"/>
                  <w:tcBorders>
                    <w:top w:val="single" w:color="000000" w:sz="4" w:space="0"/>
                    <w:bottom w:val="single" w:color="000000" w:sz="4" w:space="0"/>
                  </w:tcBorders>
                  <w:noWrap w:val="0"/>
                  <w:vAlign w:val="center"/>
                </w:tcPr>
                <w:p w14:paraId="7CBC444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43.5 </w:t>
                  </w:r>
                </w:p>
              </w:tc>
              <w:tc>
                <w:tcPr>
                  <w:tcW w:w="0" w:type="auto"/>
                  <w:vMerge w:val="restart"/>
                  <w:tcBorders>
                    <w:top w:val="single" w:color="000000" w:sz="4" w:space="0"/>
                    <w:bottom w:val="single" w:color="000000" w:sz="4" w:space="0"/>
                  </w:tcBorders>
                  <w:noWrap w:val="0"/>
                  <w:vAlign w:val="center"/>
                </w:tcPr>
                <w:p w14:paraId="0B1633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昼间</w:t>
                  </w:r>
                </w:p>
              </w:tc>
              <w:tc>
                <w:tcPr>
                  <w:tcW w:w="823" w:type="dxa"/>
                  <w:vMerge w:val="continue"/>
                  <w:noWrap w:val="0"/>
                  <w:vAlign w:val="center"/>
                </w:tcPr>
                <w:p w14:paraId="4EB1E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continue"/>
                  <w:tcBorders>
                    <w:top w:val="single" w:color="000000" w:sz="4" w:space="0"/>
                    <w:bottom w:val="single" w:color="000000" w:sz="4" w:space="0"/>
                  </w:tcBorders>
                  <w:noWrap w:val="0"/>
                  <w:vAlign w:val="center"/>
                </w:tcPr>
                <w:p w14:paraId="73BE01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44" w:type="dxa"/>
                  <w:vMerge w:val="continue"/>
                  <w:tcBorders>
                    <w:top w:val="single" w:color="000000" w:sz="4" w:space="0"/>
                    <w:bottom w:val="single" w:color="000000" w:sz="4" w:space="0"/>
                  </w:tcBorders>
                  <w:noWrap w:val="0"/>
                  <w:vAlign w:val="center"/>
                </w:tcPr>
                <w:p w14:paraId="7BEB6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dxa"/>
                  <w:vMerge w:val="continue"/>
                  <w:tcBorders>
                    <w:top w:val="single" w:color="000000" w:sz="4" w:space="0"/>
                    <w:bottom w:val="single" w:color="000000" w:sz="4" w:space="0"/>
                  </w:tcBorders>
                  <w:noWrap w:val="0"/>
                  <w:vAlign w:val="center"/>
                </w:tcPr>
                <w:p w14:paraId="2F04D4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AC09A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000000" w:sz="4" w:space="0"/>
                    <w:bottom w:val="single" w:color="000000" w:sz="4" w:space="0"/>
                  </w:tcBorders>
                  <w:noWrap w:val="0"/>
                  <w:vAlign w:val="center"/>
                </w:tcPr>
                <w:p w14:paraId="1E814B10">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exact"/>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noWrap w:val="0"/>
                  <w:vAlign w:val="center"/>
                </w:tcPr>
                <w:p w14:paraId="07607A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0B40E0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77817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4F4EE6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0F0CB0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noWrap w:val="0"/>
                  <w:vAlign w:val="center"/>
                </w:tcPr>
                <w:p w14:paraId="172FE1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519241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10A532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3F6DD1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op w:val="single" w:color="000000" w:sz="4" w:space="0"/>
                    <w:bottom w:val="single" w:color="000000" w:sz="4" w:space="0"/>
                  </w:tcBorders>
                  <w:shd w:val="clear" w:color="auto" w:fill="auto"/>
                  <w:noWrap w:val="0"/>
                  <w:vAlign w:val="center"/>
                </w:tcPr>
                <w:p w14:paraId="4303E4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0" w:type="auto"/>
                  <w:tcBorders>
                    <w:top w:val="single" w:color="000000" w:sz="4" w:space="0"/>
                    <w:bottom w:val="single" w:color="000000" w:sz="4" w:space="0"/>
                  </w:tcBorders>
                  <w:noWrap w:val="0"/>
                  <w:vAlign w:val="center"/>
                </w:tcPr>
                <w:p w14:paraId="39488A4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53</w:t>
                  </w:r>
                </w:p>
              </w:tc>
              <w:tc>
                <w:tcPr>
                  <w:tcW w:w="0" w:type="auto"/>
                  <w:tcBorders>
                    <w:top w:val="single" w:color="000000" w:sz="4" w:space="0"/>
                    <w:bottom w:val="single" w:color="000000" w:sz="4" w:space="0"/>
                  </w:tcBorders>
                  <w:shd w:val="clear" w:color="auto" w:fill="auto"/>
                  <w:noWrap w:val="0"/>
                  <w:vAlign w:val="center"/>
                </w:tcPr>
                <w:p w14:paraId="2E6FED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347" w:type="dxa"/>
                  <w:tcBorders>
                    <w:top w:val="single" w:color="000000" w:sz="4" w:space="0"/>
                    <w:bottom w:val="single" w:color="000000" w:sz="4" w:space="0"/>
                  </w:tcBorders>
                  <w:noWrap w:val="0"/>
                  <w:vAlign w:val="center"/>
                </w:tcPr>
                <w:p w14:paraId="7B360193">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43.5 </w:t>
                  </w:r>
                </w:p>
              </w:tc>
              <w:tc>
                <w:tcPr>
                  <w:tcW w:w="0" w:type="auto"/>
                  <w:vMerge w:val="continue"/>
                  <w:tcBorders>
                    <w:top w:val="single" w:color="000000" w:sz="4" w:space="0"/>
                    <w:bottom w:val="single" w:color="000000" w:sz="4" w:space="0"/>
                  </w:tcBorders>
                  <w:noWrap w:val="0"/>
                  <w:vAlign w:val="center"/>
                </w:tcPr>
                <w:p w14:paraId="3C22ED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noWrap w:val="0"/>
                  <w:vAlign w:val="center"/>
                </w:tcPr>
                <w:p w14:paraId="192C94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continue"/>
                  <w:tcBorders>
                    <w:top w:val="single" w:color="000000" w:sz="4" w:space="0"/>
                    <w:bottom w:val="single" w:color="000000" w:sz="4" w:space="0"/>
                  </w:tcBorders>
                  <w:noWrap w:val="0"/>
                  <w:vAlign w:val="center"/>
                </w:tcPr>
                <w:p w14:paraId="36C17D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44" w:type="dxa"/>
                  <w:vMerge w:val="continue"/>
                  <w:tcBorders>
                    <w:top w:val="single" w:color="000000" w:sz="4" w:space="0"/>
                    <w:bottom w:val="single" w:color="000000" w:sz="4" w:space="0"/>
                  </w:tcBorders>
                  <w:noWrap w:val="0"/>
                  <w:vAlign w:val="center"/>
                </w:tcPr>
                <w:p w14:paraId="729CE7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dxa"/>
                  <w:vMerge w:val="continue"/>
                  <w:tcBorders>
                    <w:top w:val="single" w:color="000000" w:sz="4" w:space="0"/>
                    <w:bottom w:val="single" w:color="000000" w:sz="4" w:space="0"/>
                  </w:tcBorders>
                  <w:noWrap w:val="0"/>
                  <w:vAlign w:val="center"/>
                </w:tcPr>
                <w:p w14:paraId="5161E4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12FDFD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0" w:type="auto"/>
                  <w:vMerge w:val="continue"/>
                  <w:tcBorders>
                    <w:top w:val="single" w:color="000000" w:sz="4" w:space="0"/>
                    <w:bottom w:val="single" w:color="000000" w:sz="4" w:space="0"/>
                  </w:tcBorders>
                  <w:noWrap w:val="0"/>
                  <w:vAlign w:val="center"/>
                </w:tcPr>
                <w:p w14:paraId="401BAAB6">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exact"/>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noWrap w:val="0"/>
                  <w:vAlign w:val="center"/>
                </w:tcPr>
                <w:p w14:paraId="4E54CD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790F9E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5A7CB4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1E0629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6440E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noWrap w:val="0"/>
                  <w:vAlign w:val="center"/>
                </w:tcPr>
                <w:p w14:paraId="5A901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76DC5D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257B02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1D1FF3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op w:val="single" w:color="000000" w:sz="4" w:space="0"/>
                    <w:bottom w:val="single" w:color="000000" w:sz="4" w:space="0"/>
                  </w:tcBorders>
                  <w:shd w:val="clear" w:color="auto" w:fill="auto"/>
                  <w:noWrap w:val="0"/>
                  <w:vAlign w:val="center"/>
                </w:tcPr>
                <w:p w14:paraId="6525DD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0" w:type="auto"/>
                  <w:tcBorders>
                    <w:top w:val="single" w:color="000000" w:sz="4" w:space="0"/>
                    <w:bottom w:val="single" w:color="000000" w:sz="4" w:space="0"/>
                  </w:tcBorders>
                  <w:noWrap w:val="0"/>
                  <w:vAlign w:val="center"/>
                </w:tcPr>
                <w:p w14:paraId="145F4B5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w:t>
                  </w:r>
                </w:p>
              </w:tc>
              <w:tc>
                <w:tcPr>
                  <w:tcW w:w="0" w:type="auto"/>
                  <w:tcBorders>
                    <w:top w:val="single" w:color="000000" w:sz="4" w:space="0"/>
                    <w:bottom w:val="single" w:color="000000" w:sz="4" w:space="0"/>
                  </w:tcBorders>
                  <w:shd w:val="clear" w:color="auto" w:fill="auto"/>
                  <w:noWrap w:val="0"/>
                  <w:vAlign w:val="center"/>
                </w:tcPr>
                <w:p w14:paraId="27873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347" w:type="dxa"/>
                  <w:tcBorders>
                    <w:top w:val="single" w:color="000000" w:sz="4" w:space="0"/>
                    <w:bottom w:val="single" w:color="000000" w:sz="4" w:space="0"/>
                  </w:tcBorders>
                  <w:noWrap w:val="0"/>
                  <w:vAlign w:val="center"/>
                </w:tcPr>
                <w:p w14:paraId="7BD9987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43.5 </w:t>
                  </w:r>
                </w:p>
              </w:tc>
              <w:tc>
                <w:tcPr>
                  <w:tcW w:w="0" w:type="auto"/>
                  <w:vMerge w:val="continue"/>
                  <w:tcBorders>
                    <w:top w:val="single" w:color="000000" w:sz="4" w:space="0"/>
                    <w:bottom w:val="single" w:color="000000" w:sz="4" w:space="0"/>
                  </w:tcBorders>
                  <w:noWrap w:val="0"/>
                  <w:vAlign w:val="center"/>
                </w:tcPr>
                <w:p w14:paraId="53C76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noWrap w:val="0"/>
                  <w:vAlign w:val="center"/>
                </w:tcPr>
                <w:p w14:paraId="67DC6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continue"/>
                  <w:tcBorders>
                    <w:top w:val="single" w:color="000000" w:sz="4" w:space="0"/>
                    <w:bottom w:val="single" w:color="000000" w:sz="4" w:space="0"/>
                  </w:tcBorders>
                  <w:noWrap w:val="0"/>
                  <w:vAlign w:val="center"/>
                </w:tcPr>
                <w:p w14:paraId="2A966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44" w:type="dxa"/>
                  <w:vMerge w:val="continue"/>
                  <w:tcBorders>
                    <w:top w:val="single" w:color="000000" w:sz="4" w:space="0"/>
                    <w:bottom w:val="single" w:color="000000" w:sz="4" w:space="0"/>
                  </w:tcBorders>
                  <w:noWrap w:val="0"/>
                  <w:vAlign w:val="center"/>
                </w:tcPr>
                <w:p w14:paraId="67B1E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dxa"/>
                  <w:vMerge w:val="continue"/>
                  <w:tcBorders>
                    <w:top w:val="single" w:color="000000" w:sz="4" w:space="0"/>
                    <w:bottom w:val="single" w:color="000000" w:sz="4" w:space="0"/>
                  </w:tcBorders>
                  <w:noWrap w:val="0"/>
                  <w:vAlign w:val="center"/>
                </w:tcPr>
                <w:p w14:paraId="3E6555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F4582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000000" w:sz="4" w:space="0"/>
                    <w:bottom w:val="single" w:color="000000" w:sz="4" w:space="0"/>
                  </w:tcBorders>
                  <w:noWrap w:val="0"/>
                  <w:vAlign w:val="center"/>
                </w:tcPr>
                <w:p w14:paraId="5106F16A">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exact"/>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noWrap w:val="0"/>
                  <w:vAlign w:val="center"/>
                </w:tcPr>
                <w:p w14:paraId="5E5074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011494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3A5C42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1937A9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vMerge w:val="continue"/>
                  <w:tcBorders>
                    <w:top w:val="single" w:color="000000" w:sz="4" w:space="0"/>
                    <w:bottom w:val="single" w:color="000000" w:sz="4" w:space="0"/>
                  </w:tcBorders>
                  <w:noWrap w:val="0"/>
                  <w:vAlign w:val="center"/>
                </w:tcPr>
                <w:p w14:paraId="144A48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noWrap w:val="0"/>
                  <w:vAlign w:val="center"/>
                </w:tcPr>
                <w:p w14:paraId="2786F7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0" w:type="auto"/>
                  <w:vMerge w:val="continue"/>
                  <w:tcBorders>
                    <w:top w:val="single" w:color="000000" w:sz="4" w:space="0"/>
                    <w:bottom w:val="single" w:color="000000" w:sz="4" w:space="0"/>
                  </w:tcBorders>
                  <w:noWrap w:val="0"/>
                  <w:vAlign w:val="center"/>
                </w:tcPr>
                <w:p w14:paraId="54DDD3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18EB9F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0" w:type="auto"/>
                  <w:vMerge w:val="continue"/>
                  <w:tcBorders>
                    <w:top w:val="single" w:color="000000" w:sz="4" w:space="0"/>
                    <w:bottom w:val="single" w:color="000000" w:sz="4" w:space="0"/>
                  </w:tcBorders>
                  <w:noWrap w:val="0"/>
                  <w:vAlign w:val="center"/>
                </w:tcPr>
                <w:p w14:paraId="6B35F4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op w:val="single" w:color="000000" w:sz="4" w:space="0"/>
                    <w:bottom w:val="single" w:color="000000" w:sz="4" w:space="0"/>
                  </w:tcBorders>
                  <w:shd w:val="clear" w:color="auto" w:fill="auto"/>
                  <w:noWrap w:val="0"/>
                  <w:vAlign w:val="center"/>
                </w:tcPr>
                <w:p w14:paraId="462347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0" w:type="auto"/>
                  <w:tcBorders>
                    <w:top w:val="single" w:color="000000" w:sz="4" w:space="0"/>
                    <w:bottom w:val="single" w:color="000000" w:sz="4" w:space="0"/>
                  </w:tcBorders>
                  <w:noWrap w:val="0"/>
                  <w:vAlign w:val="center"/>
                </w:tcPr>
                <w:p w14:paraId="705428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32</w:t>
                  </w:r>
                </w:p>
              </w:tc>
              <w:tc>
                <w:tcPr>
                  <w:tcW w:w="0" w:type="auto"/>
                  <w:tcBorders>
                    <w:top w:val="single" w:color="000000" w:sz="4" w:space="0"/>
                    <w:bottom w:val="single" w:color="000000" w:sz="4" w:space="0"/>
                  </w:tcBorders>
                  <w:shd w:val="clear" w:color="auto" w:fill="auto"/>
                  <w:noWrap w:val="0"/>
                  <w:vAlign w:val="center"/>
                </w:tcPr>
                <w:p w14:paraId="458DA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347" w:type="dxa"/>
                  <w:tcBorders>
                    <w:top w:val="single" w:color="000000" w:sz="4" w:space="0"/>
                    <w:bottom w:val="single" w:color="000000" w:sz="4" w:space="0"/>
                  </w:tcBorders>
                  <w:noWrap w:val="0"/>
                  <w:vAlign w:val="center"/>
                </w:tcPr>
                <w:p w14:paraId="679A062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43.5 </w:t>
                  </w:r>
                </w:p>
              </w:tc>
              <w:tc>
                <w:tcPr>
                  <w:tcW w:w="0" w:type="auto"/>
                  <w:vMerge w:val="continue"/>
                  <w:tcBorders>
                    <w:top w:val="single" w:color="000000" w:sz="4" w:space="0"/>
                    <w:bottom w:val="single" w:color="000000" w:sz="4" w:space="0"/>
                  </w:tcBorders>
                  <w:noWrap w:val="0"/>
                  <w:vAlign w:val="center"/>
                </w:tcPr>
                <w:p w14:paraId="3C8E2D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noWrap w:val="0"/>
                  <w:vAlign w:val="center"/>
                </w:tcPr>
                <w:p w14:paraId="1D95D4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restart"/>
                  <w:tcBorders>
                    <w:top w:val="single" w:color="000000" w:sz="4" w:space="0"/>
                    <w:bottom w:val="single" w:color="000000" w:sz="4" w:space="0"/>
                  </w:tcBorders>
                  <w:noWrap w:val="0"/>
                  <w:vAlign w:val="center"/>
                </w:tcPr>
                <w:p w14:paraId="48AE9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西</w:t>
                  </w:r>
                </w:p>
              </w:tc>
              <w:tc>
                <w:tcPr>
                  <w:tcW w:w="944" w:type="dxa"/>
                  <w:vMerge w:val="restart"/>
                  <w:tcBorders>
                    <w:top w:val="single" w:color="000000" w:sz="4" w:space="0"/>
                    <w:bottom w:val="single" w:color="000000" w:sz="4" w:space="0"/>
                  </w:tcBorders>
                  <w:noWrap w:val="0"/>
                  <w:vAlign w:val="center"/>
                </w:tcPr>
                <w:p w14:paraId="217B46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48.5</w:t>
                  </w:r>
                </w:p>
              </w:tc>
              <w:tc>
                <w:tcPr>
                  <w:tcW w:w="654" w:type="dxa"/>
                  <w:vMerge w:val="restart"/>
                  <w:tcBorders>
                    <w:top w:val="single" w:color="000000" w:sz="4" w:space="0"/>
                    <w:bottom w:val="single" w:color="000000" w:sz="4" w:space="0"/>
                  </w:tcBorders>
                  <w:noWrap w:val="0"/>
                  <w:vAlign w:val="center"/>
                </w:tcPr>
                <w:p w14:paraId="7F517F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1B2618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470" w:type="dxa"/>
                  <w:vMerge w:val="restart"/>
                  <w:tcBorders>
                    <w:top w:val="single" w:color="000000" w:sz="4" w:space="0"/>
                  </w:tcBorders>
                  <w:noWrap w:val="0"/>
                  <w:vAlign w:val="center"/>
                </w:tcPr>
                <w:p w14:paraId="68CEC65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exact"/>
                    <w:ind w:left="425" w:leftChars="0" w:right="0" w:rightChars="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3</w:t>
                  </w:r>
                </w:p>
              </w:tc>
              <w:tc>
                <w:tcPr>
                  <w:tcW w:w="605" w:type="dxa"/>
                  <w:vMerge w:val="continue"/>
                  <w:noWrap w:val="0"/>
                  <w:vAlign w:val="center"/>
                </w:tcPr>
                <w:p w14:paraId="020893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6" w:type="dxa"/>
                  <w:vMerge w:val="restart"/>
                  <w:tcBorders>
                    <w:top w:val="single" w:color="000000" w:sz="4" w:space="0"/>
                  </w:tcBorders>
                  <w:noWrap w:val="0"/>
                  <w:vAlign w:val="center"/>
                </w:tcPr>
                <w:p w14:paraId="2272A9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新型抛光机</w:t>
                  </w:r>
                </w:p>
              </w:tc>
              <w:tc>
                <w:tcPr>
                  <w:tcW w:w="473" w:type="dxa"/>
                  <w:vMerge w:val="restart"/>
                  <w:tcBorders>
                    <w:top w:val="single" w:color="000000" w:sz="4" w:space="0"/>
                  </w:tcBorders>
                  <w:noWrap w:val="0"/>
                  <w:vAlign w:val="center"/>
                </w:tcPr>
                <w:p w14:paraId="305BEF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w:t>
                  </w:r>
                </w:p>
              </w:tc>
              <w:tc>
                <w:tcPr>
                  <w:tcW w:w="645" w:type="dxa"/>
                  <w:vMerge w:val="restart"/>
                  <w:tcBorders>
                    <w:top w:val="single" w:color="000000" w:sz="4" w:space="0"/>
                  </w:tcBorders>
                  <w:noWrap w:val="0"/>
                  <w:vAlign w:val="center"/>
                </w:tcPr>
                <w:p w14:paraId="725AE2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150</w:t>
                  </w:r>
                </w:p>
              </w:tc>
              <w:tc>
                <w:tcPr>
                  <w:tcW w:w="1094" w:type="dxa"/>
                  <w:vMerge w:val="restart"/>
                  <w:tcBorders>
                    <w:top w:val="single" w:color="000000" w:sz="4" w:space="0"/>
                  </w:tcBorders>
                  <w:noWrap w:val="0"/>
                  <w:vAlign w:val="center"/>
                </w:tcPr>
                <w:p w14:paraId="1E5C2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75</w:t>
                  </w:r>
                </w:p>
              </w:tc>
              <w:tc>
                <w:tcPr>
                  <w:tcW w:w="953" w:type="dxa"/>
                  <w:vMerge w:val="continue"/>
                  <w:noWrap w:val="0"/>
                  <w:vAlign w:val="center"/>
                </w:tcPr>
                <w:p w14:paraId="0B833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82" w:type="dxa"/>
                  <w:vMerge w:val="restart"/>
                  <w:tcBorders>
                    <w:top w:val="single" w:color="000000" w:sz="4" w:space="0"/>
                  </w:tcBorders>
                  <w:noWrap w:val="0"/>
                  <w:vAlign w:val="center"/>
                </w:tcPr>
                <w:p w14:paraId="0CBC01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535" w:type="dxa"/>
                  <w:vMerge w:val="restart"/>
                  <w:tcBorders>
                    <w:top w:val="single" w:color="000000" w:sz="4" w:space="0"/>
                  </w:tcBorders>
                  <w:noWrap w:val="0"/>
                  <w:vAlign w:val="center"/>
                </w:tcPr>
                <w:p w14:paraId="3AED13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364" w:type="dxa"/>
                  <w:vMerge w:val="restart"/>
                  <w:tcBorders>
                    <w:top w:val="single" w:color="000000" w:sz="4" w:space="0"/>
                  </w:tcBorders>
                  <w:noWrap w:val="0"/>
                  <w:vAlign w:val="center"/>
                </w:tcPr>
                <w:p w14:paraId="41F7A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0" w:type="auto"/>
                  <w:tcBorders>
                    <w:top w:val="single" w:color="000000" w:sz="4" w:space="0"/>
                    <w:bottom w:val="single" w:color="000000" w:sz="4" w:space="0"/>
                  </w:tcBorders>
                  <w:shd w:val="clear" w:color="auto" w:fill="auto"/>
                  <w:noWrap w:val="0"/>
                  <w:vAlign w:val="center"/>
                </w:tcPr>
                <w:p w14:paraId="0E8B3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0" w:type="auto"/>
                  <w:tcBorders>
                    <w:top w:val="single" w:color="000000" w:sz="4" w:space="0"/>
                    <w:bottom w:val="single" w:color="000000" w:sz="4" w:space="0"/>
                  </w:tcBorders>
                  <w:noWrap w:val="0"/>
                  <w:vAlign w:val="center"/>
                </w:tcPr>
                <w:p w14:paraId="2FE4E4A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11</w:t>
                  </w:r>
                </w:p>
              </w:tc>
              <w:tc>
                <w:tcPr>
                  <w:tcW w:w="0" w:type="auto"/>
                  <w:tcBorders>
                    <w:top w:val="single" w:color="000000" w:sz="4" w:space="0"/>
                    <w:bottom w:val="single" w:color="000000" w:sz="4" w:space="0"/>
                  </w:tcBorders>
                  <w:shd w:val="clear" w:color="auto" w:fill="auto"/>
                  <w:noWrap w:val="0"/>
                  <w:vAlign w:val="center"/>
                </w:tcPr>
                <w:p w14:paraId="07846B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东</w:t>
                  </w:r>
                </w:p>
              </w:tc>
              <w:tc>
                <w:tcPr>
                  <w:tcW w:w="1347" w:type="dxa"/>
                  <w:tcBorders>
                    <w:top w:val="single" w:color="000000" w:sz="4" w:space="0"/>
                    <w:bottom w:val="single" w:color="000000" w:sz="4" w:space="0"/>
                  </w:tcBorders>
                  <w:noWrap w:val="0"/>
                  <w:vAlign w:val="center"/>
                </w:tcPr>
                <w:p w14:paraId="610ECD3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45.5 </w:t>
                  </w:r>
                </w:p>
              </w:tc>
              <w:tc>
                <w:tcPr>
                  <w:tcW w:w="427" w:type="dxa"/>
                  <w:vMerge w:val="restart"/>
                  <w:tcBorders>
                    <w:top w:val="single" w:color="000000" w:sz="4" w:space="0"/>
                  </w:tcBorders>
                  <w:noWrap w:val="0"/>
                  <w:vAlign w:val="center"/>
                </w:tcPr>
                <w:p w14:paraId="6684AE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昼间</w:t>
                  </w:r>
                </w:p>
              </w:tc>
              <w:tc>
                <w:tcPr>
                  <w:tcW w:w="823" w:type="dxa"/>
                  <w:vMerge w:val="continue"/>
                  <w:noWrap w:val="0"/>
                  <w:vAlign w:val="center"/>
                </w:tcPr>
                <w:p w14:paraId="6A4C5B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continue"/>
                  <w:tcBorders>
                    <w:top w:val="single" w:color="000000" w:sz="4" w:space="0"/>
                    <w:bottom w:val="single" w:color="000000" w:sz="4" w:space="0"/>
                  </w:tcBorders>
                  <w:noWrap w:val="0"/>
                  <w:vAlign w:val="center"/>
                </w:tcPr>
                <w:p w14:paraId="10E621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44" w:type="dxa"/>
                  <w:vMerge w:val="continue"/>
                  <w:tcBorders>
                    <w:top w:val="single" w:color="000000" w:sz="4" w:space="0"/>
                    <w:bottom w:val="single" w:color="000000" w:sz="4" w:space="0"/>
                  </w:tcBorders>
                  <w:noWrap w:val="0"/>
                  <w:vAlign w:val="center"/>
                </w:tcPr>
                <w:p w14:paraId="09202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dxa"/>
                  <w:vMerge w:val="continue"/>
                  <w:tcBorders>
                    <w:top w:val="single" w:color="000000" w:sz="4" w:space="0"/>
                    <w:bottom w:val="single" w:color="000000" w:sz="4" w:space="0"/>
                  </w:tcBorders>
                  <w:noWrap w:val="0"/>
                  <w:vAlign w:val="center"/>
                </w:tcPr>
                <w:p w14:paraId="26439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7ED9AC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dxa"/>
                  <w:vMerge w:val="continue"/>
                  <w:noWrap w:val="0"/>
                  <w:vAlign w:val="center"/>
                </w:tcPr>
                <w:p w14:paraId="55FC33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noWrap w:val="0"/>
                  <w:vAlign w:val="center"/>
                </w:tcPr>
                <w:p w14:paraId="3F1274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6" w:type="dxa"/>
                  <w:vMerge w:val="continue"/>
                  <w:noWrap w:val="0"/>
                  <w:vAlign w:val="center"/>
                </w:tcPr>
                <w:p w14:paraId="2F07C3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473" w:type="dxa"/>
                  <w:vMerge w:val="continue"/>
                  <w:noWrap w:val="0"/>
                  <w:vAlign w:val="center"/>
                </w:tcPr>
                <w:p w14:paraId="207A4F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645" w:type="dxa"/>
                  <w:vMerge w:val="continue"/>
                  <w:noWrap w:val="0"/>
                  <w:vAlign w:val="center"/>
                </w:tcPr>
                <w:p w14:paraId="32E9E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94" w:type="dxa"/>
                  <w:vMerge w:val="continue"/>
                  <w:noWrap w:val="0"/>
                  <w:vAlign w:val="center"/>
                </w:tcPr>
                <w:p w14:paraId="706288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noWrap w:val="0"/>
                  <w:vAlign w:val="center"/>
                </w:tcPr>
                <w:p w14:paraId="3E1860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82" w:type="dxa"/>
                  <w:vMerge w:val="continue"/>
                  <w:noWrap w:val="0"/>
                  <w:vAlign w:val="center"/>
                </w:tcPr>
                <w:p w14:paraId="72C701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535" w:type="dxa"/>
                  <w:vMerge w:val="continue"/>
                  <w:noWrap w:val="0"/>
                  <w:vAlign w:val="center"/>
                </w:tcPr>
                <w:p w14:paraId="130975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p>
              </w:tc>
              <w:tc>
                <w:tcPr>
                  <w:tcW w:w="364" w:type="dxa"/>
                  <w:vMerge w:val="continue"/>
                  <w:noWrap w:val="0"/>
                  <w:vAlign w:val="center"/>
                </w:tcPr>
                <w:p w14:paraId="24660C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op w:val="single" w:color="000000" w:sz="4" w:space="0"/>
                    <w:bottom w:val="single" w:color="000000" w:sz="4" w:space="0"/>
                  </w:tcBorders>
                  <w:shd w:val="clear" w:color="auto" w:fill="auto"/>
                  <w:noWrap w:val="0"/>
                  <w:vAlign w:val="center"/>
                </w:tcPr>
                <w:p w14:paraId="24B025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0" w:type="auto"/>
                  <w:tcBorders>
                    <w:top w:val="single" w:color="000000" w:sz="4" w:space="0"/>
                    <w:bottom w:val="single" w:color="000000" w:sz="4" w:space="0"/>
                  </w:tcBorders>
                  <w:noWrap w:val="0"/>
                  <w:vAlign w:val="center"/>
                </w:tcPr>
                <w:p w14:paraId="5C6330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63</w:t>
                  </w:r>
                </w:p>
              </w:tc>
              <w:tc>
                <w:tcPr>
                  <w:tcW w:w="0" w:type="auto"/>
                  <w:tcBorders>
                    <w:top w:val="single" w:color="000000" w:sz="4" w:space="0"/>
                    <w:bottom w:val="single" w:color="000000" w:sz="4" w:space="0"/>
                  </w:tcBorders>
                  <w:shd w:val="clear" w:color="auto" w:fill="auto"/>
                  <w:noWrap w:val="0"/>
                  <w:vAlign w:val="center"/>
                </w:tcPr>
                <w:p w14:paraId="4AF7CC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南</w:t>
                  </w:r>
                </w:p>
              </w:tc>
              <w:tc>
                <w:tcPr>
                  <w:tcW w:w="1347" w:type="dxa"/>
                  <w:tcBorders>
                    <w:top w:val="single" w:color="000000" w:sz="4" w:space="0"/>
                    <w:bottom w:val="single" w:color="000000" w:sz="4" w:space="0"/>
                  </w:tcBorders>
                  <w:noWrap w:val="0"/>
                  <w:vAlign w:val="center"/>
                </w:tcPr>
                <w:p w14:paraId="5C728D2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45.5 </w:t>
                  </w:r>
                </w:p>
              </w:tc>
              <w:tc>
                <w:tcPr>
                  <w:tcW w:w="427" w:type="dxa"/>
                  <w:vMerge w:val="continue"/>
                  <w:noWrap w:val="0"/>
                  <w:vAlign w:val="center"/>
                </w:tcPr>
                <w:p w14:paraId="57524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noWrap w:val="0"/>
                  <w:vAlign w:val="center"/>
                </w:tcPr>
                <w:p w14:paraId="39340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restart"/>
                  <w:tcBorders>
                    <w:top w:val="single" w:color="000000" w:sz="4" w:space="0"/>
                  </w:tcBorders>
                  <w:noWrap w:val="0"/>
                  <w:vAlign w:val="center"/>
                </w:tcPr>
                <w:p w14:paraId="2A58E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北</w:t>
                  </w:r>
                </w:p>
              </w:tc>
              <w:tc>
                <w:tcPr>
                  <w:tcW w:w="944" w:type="dxa"/>
                  <w:vMerge w:val="restart"/>
                  <w:tcBorders>
                    <w:top w:val="single" w:color="000000" w:sz="4" w:space="0"/>
                  </w:tcBorders>
                  <w:noWrap w:val="0"/>
                  <w:vAlign w:val="center"/>
                </w:tcPr>
                <w:p w14:paraId="0FB8B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49.0</w:t>
                  </w:r>
                </w:p>
              </w:tc>
              <w:tc>
                <w:tcPr>
                  <w:tcW w:w="654" w:type="dxa"/>
                  <w:vMerge w:val="restart"/>
                  <w:tcBorders>
                    <w:top w:val="single" w:color="000000" w:sz="4" w:space="0"/>
                  </w:tcBorders>
                  <w:noWrap w:val="0"/>
                  <w:vAlign w:val="center"/>
                </w:tcPr>
                <w:p w14:paraId="41D4A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23460D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70" w:type="dxa"/>
                  <w:vMerge w:val="continue"/>
                  <w:noWrap w:val="0"/>
                  <w:vAlign w:val="center"/>
                </w:tcPr>
                <w:p w14:paraId="409B0A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noWrap w:val="0"/>
                  <w:vAlign w:val="center"/>
                </w:tcPr>
                <w:p w14:paraId="488BC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6" w:type="dxa"/>
                  <w:vMerge w:val="continue"/>
                  <w:noWrap w:val="0"/>
                  <w:vAlign w:val="center"/>
                </w:tcPr>
                <w:p w14:paraId="4ADE38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473" w:type="dxa"/>
                  <w:vMerge w:val="continue"/>
                  <w:noWrap w:val="0"/>
                  <w:vAlign w:val="center"/>
                </w:tcPr>
                <w:p w14:paraId="67B671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645" w:type="dxa"/>
                  <w:vMerge w:val="continue"/>
                  <w:noWrap w:val="0"/>
                  <w:vAlign w:val="center"/>
                </w:tcPr>
                <w:p w14:paraId="2B781D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94" w:type="dxa"/>
                  <w:vMerge w:val="continue"/>
                  <w:noWrap w:val="0"/>
                  <w:vAlign w:val="center"/>
                </w:tcPr>
                <w:p w14:paraId="66B541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noWrap w:val="0"/>
                  <w:vAlign w:val="center"/>
                </w:tcPr>
                <w:p w14:paraId="21ACE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82" w:type="dxa"/>
                  <w:vMerge w:val="continue"/>
                  <w:noWrap w:val="0"/>
                  <w:vAlign w:val="center"/>
                </w:tcPr>
                <w:p w14:paraId="4EF673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535" w:type="dxa"/>
                  <w:vMerge w:val="continue"/>
                  <w:noWrap w:val="0"/>
                  <w:vAlign w:val="center"/>
                </w:tcPr>
                <w:p w14:paraId="4DAEAC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64" w:type="dxa"/>
                  <w:vMerge w:val="continue"/>
                  <w:noWrap w:val="0"/>
                  <w:vAlign w:val="center"/>
                </w:tcPr>
                <w:p w14:paraId="608FFB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0" w:type="auto"/>
                  <w:tcBorders>
                    <w:top w:val="single" w:color="000000" w:sz="4" w:space="0"/>
                    <w:bottom w:val="single" w:color="000000" w:sz="4" w:space="0"/>
                  </w:tcBorders>
                  <w:shd w:val="clear" w:color="auto" w:fill="auto"/>
                  <w:noWrap w:val="0"/>
                  <w:vAlign w:val="center"/>
                </w:tcPr>
                <w:p w14:paraId="11B2A1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0" w:type="auto"/>
                  <w:tcBorders>
                    <w:top w:val="single" w:color="000000" w:sz="4" w:space="0"/>
                    <w:bottom w:val="single" w:color="000000" w:sz="4" w:space="0"/>
                  </w:tcBorders>
                  <w:noWrap w:val="0"/>
                  <w:vAlign w:val="center"/>
                </w:tcPr>
                <w:p w14:paraId="03A162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33</w:t>
                  </w:r>
                </w:p>
              </w:tc>
              <w:tc>
                <w:tcPr>
                  <w:tcW w:w="0" w:type="auto"/>
                  <w:tcBorders>
                    <w:top w:val="single" w:color="000000" w:sz="4" w:space="0"/>
                    <w:bottom w:val="single" w:color="000000" w:sz="4" w:space="0"/>
                  </w:tcBorders>
                  <w:shd w:val="clear" w:color="auto" w:fill="auto"/>
                  <w:noWrap w:val="0"/>
                  <w:vAlign w:val="center"/>
                </w:tcPr>
                <w:p w14:paraId="12D379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西</w:t>
                  </w:r>
                </w:p>
              </w:tc>
              <w:tc>
                <w:tcPr>
                  <w:tcW w:w="1347" w:type="dxa"/>
                  <w:tcBorders>
                    <w:top w:val="single" w:color="000000" w:sz="4" w:space="0"/>
                    <w:bottom w:val="single" w:color="000000" w:sz="4" w:space="0"/>
                  </w:tcBorders>
                  <w:noWrap w:val="0"/>
                  <w:vAlign w:val="center"/>
                </w:tcPr>
                <w:p w14:paraId="33AC85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45.5 </w:t>
                  </w:r>
                </w:p>
              </w:tc>
              <w:tc>
                <w:tcPr>
                  <w:tcW w:w="427" w:type="dxa"/>
                  <w:vMerge w:val="continue"/>
                  <w:noWrap w:val="0"/>
                  <w:vAlign w:val="center"/>
                </w:tcPr>
                <w:p w14:paraId="7C172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noWrap w:val="0"/>
                  <w:vAlign w:val="center"/>
                </w:tcPr>
                <w:p w14:paraId="1EF2F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continue"/>
                  <w:noWrap w:val="0"/>
                  <w:vAlign w:val="center"/>
                </w:tcPr>
                <w:p w14:paraId="16E4A8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44" w:type="dxa"/>
                  <w:vMerge w:val="continue"/>
                  <w:noWrap w:val="0"/>
                  <w:vAlign w:val="center"/>
                </w:tcPr>
                <w:p w14:paraId="7AD320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dxa"/>
                  <w:vMerge w:val="continue"/>
                  <w:noWrap w:val="0"/>
                  <w:vAlign w:val="center"/>
                </w:tcPr>
                <w:p w14:paraId="1A6EB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475FED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0" w:type="dxa"/>
                  <w:vMerge w:val="continue"/>
                  <w:tcBorders>
                    <w:bottom w:val="single" w:color="000000" w:sz="12" w:space="0"/>
                  </w:tcBorders>
                  <w:noWrap w:val="0"/>
                  <w:vAlign w:val="center"/>
                </w:tcPr>
                <w:p w14:paraId="09905AD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5" w:type="dxa"/>
                  <w:vMerge w:val="continue"/>
                  <w:tcBorders>
                    <w:bottom w:val="single" w:color="000000" w:sz="12" w:space="0"/>
                  </w:tcBorders>
                  <w:noWrap w:val="0"/>
                  <w:vAlign w:val="center"/>
                </w:tcPr>
                <w:p w14:paraId="419F6E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06" w:type="dxa"/>
                  <w:vMerge w:val="continue"/>
                  <w:tcBorders>
                    <w:bottom w:val="single" w:color="000000" w:sz="12" w:space="0"/>
                  </w:tcBorders>
                  <w:noWrap w:val="0"/>
                  <w:vAlign w:val="center"/>
                </w:tcPr>
                <w:p w14:paraId="5B7E34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lang w:val="en-US" w:eastAsia="zh-CN"/>
                    </w:rPr>
                  </w:pPr>
                </w:p>
              </w:tc>
              <w:tc>
                <w:tcPr>
                  <w:tcW w:w="473" w:type="dxa"/>
                  <w:vMerge w:val="continue"/>
                  <w:tcBorders>
                    <w:bottom w:val="single" w:color="000000" w:sz="12" w:space="0"/>
                  </w:tcBorders>
                  <w:noWrap w:val="0"/>
                  <w:vAlign w:val="center"/>
                </w:tcPr>
                <w:p w14:paraId="5EBA85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645" w:type="dxa"/>
                  <w:vMerge w:val="continue"/>
                  <w:tcBorders>
                    <w:bottom w:val="single" w:color="000000" w:sz="12" w:space="0"/>
                  </w:tcBorders>
                  <w:noWrap w:val="0"/>
                  <w:vAlign w:val="center"/>
                </w:tcPr>
                <w:p w14:paraId="545D6D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94" w:type="dxa"/>
                  <w:vMerge w:val="continue"/>
                  <w:tcBorders>
                    <w:bottom w:val="single" w:color="000000" w:sz="12" w:space="0"/>
                  </w:tcBorders>
                  <w:noWrap w:val="0"/>
                  <w:vAlign w:val="center"/>
                </w:tcPr>
                <w:p w14:paraId="586819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953" w:type="dxa"/>
                  <w:vMerge w:val="continue"/>
                  <w:tcBorders>
                    <w:bottom w:val="single" w:color="000000" w:sz="12" w:space="0"/>
                  </w:tcBorders>
                  <w:noWrap w:val="0"/>
                  <w:vAlign w:val="center"/>
                </w:tcPr>
                <w:p w14:paraId="5D2DAD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p>
              </w:tc>
              <w:tc>
                <w:tcPr>
                  <w:tcW w:w="582" w:type="dxa"/>
                  <w:vMerge w:val="continue"/>
                  <w:tcBorders>
                    <w:bottom w:val="single" w:color="000000" w:sz="12" w:space="0"/>
                  </w:tcBorders>
                  <w:noWrap w:val="0"/>
                  <w:vAlign w:val="center"/>
                </w:tcPr>
                <w:p w14:paraId="7EB399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535" w:type="dxa"/>
                  <w:vMerge w:val="continue"/>
                  <w:tcBorders>
                    <w:bottom w:val="single" w:color="000000" w:sz="12" w:space="0"/>
                  </w:tcBorders>
                  <w:noWrap w:val="0"/>
                  <w:vAlign w:val="center"/>
                </w:tcPr>
                <w:p w14:paraId="0D86DA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364" w:type="dxa"/>
                  <w:vMerge w:val="continue"/>
                  <w:tcBorders>
                    <w:bottom w:val="single" w:color="000000" w:sz="12" w:space="0"/>
                  </w:tcBorders>
                  <w:noWrap w:val="0"/>
                  <w:vAlign w:val="center"/>
                </w:tcPr>
                <w:p w14:paraId="50082E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62" w:type="dxa"/>
                  <w:tcBorders>
                    <w:top w:val="single" w:color="000000" w:sz="4" w:space="0"/>
                    <w:bottom w:val="single" w:color="000000" w:sz="12" w:space="0"/>
                  </w:tcBorders>
                  <w:shd w:val="clear" w:color="auto" w:fill="auto"/>
                  <w:noWrap w:val="0"/>
                  <w:vAlign w:val="center"/>
                </w:tcPr>
                <w:p w14:paraId="7F9449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962" w:type="dxa"/>
                  <w:tcBorders>
                    <w:top w:val="single" w:color="000000" w:sz="4" w:space="0"/>
                    <w:bottom w:val="single" w:color="000000" w:sz="12" w:space="0"/>
                  </w:tcBorders>
                  <w:noWrap w:val="0"/>
                  <w:vAlign w:val="center"/>
                </w:tcPr>
                <w:p w14:paraId="5794308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24</w:t>
                  </w:r>
                </w:p>
              </w:tc>
              <w:tc>
                <w:tcPr>
                  <w:tcW w:w="741" w:type="dxa"/>
                  <w:tcBorders>
                    <w:top w:val="single" w:color="000000" w:sz="4" w:space="0"/>
                    <w:bottom w:val="single" w:color="000000" w:sz="12" w:space="0"/>
                  </w:tcBorders>
                  <w:shd w:val="clear" w:color="auto" w:fill="auto"/>
                  <w:noWrap w:val="0"/>
                  <w:vAlign w:val="center"/>
                </w:tcPr>
                <w:p w14:paraId="6A684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w:t>
                  </w:r>
                </w:p>
              </w:tc>
              <w:tc>
                <w:tcPr>
                  <w:tcW w:w="1347" w:type="dxa"/>
                  <w:tcBorders>
                    <w:top w:val="single" w:color="000000" w:sz="4" w:space="0"/>
                    <w:bottom w:val="single" w:color="000000" w:sz="12" w:space="0"/>
                  </w:tcBorders>
                  <w:noWrap w:val="0"/>
                  <w:vAlign w:val="center"/>
                </w:tcPr>
                <w:p w14:paraId="5DA712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45.5 </w:t>
                  </w:r>
                </w:p>
              </w:tc>
              <w:tc>
                <w:tcPr>
                  <w:tcW w:w="427" w:type="dxa"/>
                  <w:vMerge w:val="continue"/>
                  <w:tcBorders>
                    <w:bottom w:val="single" w:color="000000" w:sz="12" w:space="0"/>
                  </w:tcBorders>
                  <w:noWrap w:val="0"/>
                  <w:vAlign w:val="center"/>
                </w:tcPr>
                <w:p w14:paraId="08E274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23" w:type="dxa"/>
                  <w:vMerge w:val="continue"/>
                  <w:tcBorders>
                    <w:bottom w:val="single" w:color="000000" w:sz="12" w:space="0"/>
                  </w:tcBorders>
                  <w:noWrap w:val="0"/>
                  <w:vAlign w:val="center"/>
                </w:tcPr>
                <w:p w14:paraId="2B8B0C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428" w:type="dxa"/>
                  <w:vMerge w:val="continue"/>
                  <w:tcBorders>
                    <w:bottom w:val="single" w:color="000000" w:sz="12" w:space="0"/>
                  </w:tcBorders>
                  <w:noWrap w:val="0"/>
                  <w:vAlign w:val="center"/>
                </w:tcPr>
                <w:p w14:paraId="3C952A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944" w:type="dxa"/>
                  <w:vMerge w:val="continue"/>
                  <w:tcBorders>
                    <w:bottom w:val="single" w:color="000000" w:sz="12" w:space="0"/>
                  </w:tcBorders>
                  <w:noWrap w:val="0"/>
                  <w:vAlign w:val="center"/>
                </w:tcPr>
                <w:p w14:paraId="641BC4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4" w:type="dxa"/>
                  <w:vMerge w:val="continue"/>
                  <w:tcBorders>
                    <w:bottom w:val="single" w:color="000000" w:sz="12" w:space="0"/>
                  </w:tcBorders>
                  <w:noWrap w:val="0"/>
                  <w:vAlign w:val="center"/>
                </w:tcPr>
                <w:p w14:paraId="33FC2F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bl>
          <w:p w14:paraId="24181B59">
            <w:pPr>
              <w:pStyle w:val="17"/>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注：选取</w:t>
            </w:r>
            <w:r>
              <w:rPr>
                <w:rFonts w:hint="eastAsia" w:cs="Times New Roman"/>
                <w:b w:val="0"/>
                <w:bCs w:val="0"/>
                <w:color w:val="auto"/>
                <w:sz w:val="21"/>
                <w:szCs w:val="21"/>
                <w:highlight w:val="none"/>
                <w:lang w:val="en-US" w:eastAsia="zh-CN"/>
              </w:rPr>
              <w:t>生产车间</w:t>
            </w:r>
            <w:r>
              <w:rPr>
                <w:rFonts w:hint="eastAsia" w:ascii="Times New Roman" w:hAnsi="Times New Roman" w:cs="Times New Roman"/>
                <w:b w:val="0"/>
                <w:bCs w:val="0"/>
                <w:color w:val="auto"/>
                <w:sz w:val="21"/>
                <w:szCs w:val="21"/>
                <w:highlight w:val="none"/>
                <w:lang w:val="en-US" w:eastAsia="zh-CN"/>
              </w:rPr>
              <w:t>西南角为0点，XYZ为设备相对0点位置</w:t>
            </w:r>
          </w:p>
          <w:p w14:paraId="1C9DC001">
            <w:pPr>
              <w:pStyle w:val="5"/>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1" w:beforeLines="50" w:beforeAutospacing="0" w:after="0" w:afterAutospacing="0" w:line="240" w:lineRule="auto"/>
              <w:ind w:left="425" w:leftChars="0" w:right="0" w:hanging="425" w:firstLineChars="0"/>
              <w:jc w:val="center"/>
              <w:textAlignment w:val="auto"/>
              <w:rPr>
                <w:rFonts w:hint="default" w:ascii="Calibri" w:hAnsi="Calibri" w:cs="Calibri"/>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17 </w:t>
            </w:r>
            <w:r>
              <w:rPr>
                <w:rFonts w:hint="default" w:ascii="Calibri" w:hAnsi="Calibri" w:cs="Calibri"/>
                <w:b/>
                <w:bCs/>
                <w:color w:val="auto"/>
                <w:sz w:val="24"/>
                <w:highlight w:val="none"/>
              </w:rPr>
              <w:t>工业企业噪声源强调查清单（室外声源）</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autofit"/>
              <w:tblCellMar>
                <w:top w:w="0" w:type="dxa"/>
                <w:left w:w="108" w:type="dxa"/>
                <w:bottom w:w="0" w:type="dxa"/>
                <w:right w:w="108" w:type="dxa"/>
              </w:tblCellMar>
            </w:tblPr>
            <w:tblGrid>
              <w:gridCol w:w="688"/>
              <w:gridCol w:w="1056"/>
              <w:gridCol w:w="1416"/>
              <w:gridCol w:w="1686"/>
              <w:gridCol w:w="1158"/>
              <w:gridCol w:w="885"/>
              <w:gridCol w:w="951"/>
              <w:gridCol w:w="1618"/>
              <w:gridCol w:w="880"/>
              <w:gridCol w:w="910"/>
              <w:gridCol w:w="1313"/>
              <w:gridCol w:w="1049"/>
            </w:tblGrid>
            <w:tr w14:paraId="1ACFBABA">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90" w:hRule="atLeast"/>
                <w:jc w:val="center"/>
              </w:trPr>
              <w:tc>
                <w:tcPr>
                  <w:tcW w:w="253" w:type="pct"/>
                  <w:vMerge w:val="restart"/>
                  <w:tcBorders>
                    <w:tl2br w:val="nil"/>
                    <w:tr2bl w:val="nil"/>
                  </w:tcBorders>
                  <w:shd w:val="clear" w:color="auto" w:fill="auto"/>
                  <w:vAlign w:val="center"/>
                </w:tcPr>
                <w:p w14:paraId="383473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序号</w:t>
                  </w:r>
                </w:p>
              </w:tc>
              <w:tc>
                <w:tcPr>
                  <w:tcW w:w="388" w:type="pct"/>
                  <w:vMerge w:val="restart"/>
                  <w:tcBorders>
                    <w:tl2br w:val="nil"/>
                    <w:tr2bl w:val="nil"/>
                  </w:tcBorders>
                  <w:shd w:val="clear" w:color="auto" w:fill="auto"/>
                  <w:vAlign w:val="center"/>
                </w:tcPr>
                <w:p w14:paraId="6A86F2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声源名称</w:t>
                  </w:r>
                </w:p>
              </w:tc>
              <w:tc>
                <w:tcPr>
                  <w:tcW w:w="520" w:type="pct"/>
                  <w:vMerge w:val="restart"/>
                  <w:tcBorders>
                    <w:tl2br w:val="nil"/>
                    <w:tr2bl w:val="nil"/>
                  </w:tcBorders>
                  <w:shd w:val="clear" w:color="auto" w:fill="auto"/>
                  <w:vAlign w:val="center"/>
                </w:tcPr>
                <w:p w14:paraId="218975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型号</w:t>
                  </w:r>
                </w:p>
              </w:tc>
              <w:tc>
                <w:tcPr>
                  <w:tcW w:w="619" w:type="pct"/>
                  <w:vMerge w:val="restart"/>
                  <w:tcBorders>
                    <w:tl2br w:val="nil"/>
                    <w:tr2bl w:val="nil"/>
                  </w:tcBorders>
                  <w:shd w:val="clear" w:color="auto" w:fill="auto"/>
                  <w:vAlign w:val="center"/>
                </w:tcPr>
                <w:p w14:paraId="1F2848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b/>
                      <w:bCs/>
                      <w:color w:val="auto"/>
                      <w:kern w:val="0"/>
                      <w:szCs w:val="21"/>
                      <w:highlight w:val="none"/>
                      <w:lang w:eastAsia="zh-CN" w:bidi="ar"/>
                    </w:rPr>
                  </w:pPr>
                  <w:r>
                    <w:rPr>
                      <w:rFonts w:hint="eastAsia" w:cs="Times New Roman"/>
                      <w:b/>
                      <w:bCs/>
                      <w:color w:val="auto"/>
                      <w:kern w:val="0"/>
                      <w:szCs w:val="21"/>
                      <w:highlight w:val="none"/>
                      <w:lang w:eastAsia="zh-CN" w:bidi="ar"/>
                    </w:rPr>
                    <w:t>设备数量</w:t>
                  </w:r>
                </w:p>
              </w:tc>
              <w:tc>
                <w:tcPr>
                  <w:tcW w:w="1099" w:type="pct"/>
                  <w:gridSpan w:val="3"/>
                  <w:tcBorders>
                    <w:tl2br w:val="nil"/>
                    <w:tr2bl w:val="nil"/>
                  </w:tcBorders>
                  <w:shd w:val="clear" w:color="auto" w:fill="auto"/>
                  <w:vAlign w:val="center"/>
                </w:tcPr>
                <w:p w14:paraId="5838B0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空间相对位置/m</w:t>
                  </w:r>
                </w:p>
              </w:tc>
              <w:tc>
                <w:tcPr>
                  <w:tcW w:w="1251" w:type="pct"/>
                  <w:gridSpan w:val="3"/>
                  <w:tcBorders>
                    <w:tl2br w:val="nil"/>
                    <w:tr2bl w:val="nil"/>
                  </w:tcBorders>
                  <w:shd w:val="clear" w:color="auto" w:fill="auto"/>
                  <w:vAlign w:val="center"/>
                </w:tcPr>
                <w:p w14:paraId="57897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声源源强</w:t>
                  </w:r>
                </w:p>
              </w:tc>
              <w:tc>
                <w:tcPr>
                  <w:tcW w:w="482" w:type="pct"/>
                  <w:vMerge w:val="restart"/>
                  <w:tcBorders>
                    <w:tl2br w:val="nil"/>
                    <w:tr2bl w:val="nil"/>
                  </w:tcBorders>
                  <w:shd w:val="clear" w:color="auto" w:fill="auto"/>
                  <w:vAlign w:val="center"/>
                </w:tcPr>
                <w:p w14:paraId="044671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声源控制措施</w:t>
                  </w:r>
                </w:p>
              </w:tc>
              <w:tc>
                <w:tcPr>
                  <w:tcW w:w="385" w:type="pct"/>
                  <w:vMerge w:val="restart"/>
                  <w:tcBorders>
                    <w:tl2br w:val="nil"/>
                    <w:tr2bl w:val="nil"/>
                  </w:tcBorders>
                  <w:shd w:val="clear" w:color="auto" w:fill="auto"/>
                  <w:vAlign w:val="center"/>
                </w:tcPr>
                <w:p w14:paraId="285391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kern w:val="0"/>
                      <w:szCs w:val="21"/>
                      <w:highlight w:val="none"/>
                      <w:lang w:bidi="ar"/>
                    </w:rPr>
                    <w:t>运行时段</w:t>
                  </w:r>
                  <w:r>
                    <w:rPr>
                      <w:rFonts w:hint="eastAsia"/>
                      <w:b/>
                      <w:bCs/>
                      <w:color w:val="auto"/>
                      <w:highlight w:val="none"/>
                      <w:lang w:val="en-US" w:eastAsia="zh-CN"/>
                    </w:rPr>
                    <w:t>*</w:t>
                  </w:r>
                </w:p>
              </w:tc>
            </w:tr>
            <w:tr w14:paraId="390C1D11">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90" w:hRule="atLeast"/>
                <w:jc w:val="center"/>
              </w:trPr>
              <w:tc>
                <w:tcPr>
                  <w:tcW w:w="253" w:type="pct"/>
                  <w:vMerge w:val="continue"/>
                  <w:tcBorders>
                    <w:tl2br w:val="nil"/>
                    <w:tr2bl w:val="nil"/>
                  </w:tcBorders>
                  <w:shd w:val="clear" w:color="auto" w:fill="auto"/>
                  <w:vAlign w:val="center"/>
                </w:tcPr>
                <w:p w14:paraId="1C060F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b/>
                      <w:bCs/>
                      <w:color w:val="auto"/>
                      <w:szCs w:val="21"/>
                      <w:highlight w:val="none"/>
                    </w:rPr>
                  </w:pPr>
                </w:p>
              </w:tc>
              <w:tc>
                <w:tcPr>
                  <w:tcW w:w="388" w:type="pct"/>
                  <w:vMerge w:val="continue"/>
                  <w:tcBorders>
                    <w:tl2br w:val="nil"/>
                    <w:tr2bl w:val="nil"/>
                  </w:tcBorders>
                  <w:shd w:val="clear" w:color="auto" w:fill="auto"/>
                  <w:vAlign w:val="center"/>
                </w:tcPr>
                <w:p w14:paraId="503995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b/>
                      <w:bCs/>
                      <w:color w:val="auto"/>
                      <w:szCs w:val="21"/>
                      <w:highlight w:val="none"/>
                    </w:rPr>
                  </w:pPr>
                </w:p>
              </w:tc>
              <w:tc>
                <w:tcPr>
                  <w:tcW w:w="520" w:type="pct"/>
                  <w:vMerge w:val="continue"/>
                  <w:tcBorders>
                    <w:tl2br w:val="nil"/>
                    <w:tr2bl w:val="nil"/>
                  </w:tcBorders>
                  <w:shd w:val="clear" w:color="auto" w:fill="auto"/>
                  <w:vAlign w:val="center"/>
                </w:tcPr>
                <w:p w14:paraId="68EC5A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b/>
                      <w:bCs/>
                      <w:color w:val="auto"/>
                      <w:szCs w:val="21"/>
                      <w:highlight w:val="none"/>
                    </w:rPr>
                  </w:pPr>
                </w:p>
              </w:tc>
              <w:tc>
                <w:tcPr>
                  <w:tcW w:w="619" w:type="pct"/>
                  <w:vMerge w:val="continue"/>
                  <w:tcBorders>
                    <w:tl2br w:val="nil"/>
                    <w:tr2bl w:val="nil"/>
                  </w:tcBorders>
                  <w:shd w:val="clear" w:color="auto" w:fill="auto"/>
                  <w:vAlign w:val="center"/>
                </w:tcPr>
                <w:p w14:paraId="2D75ED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kern w:val="0"/>
                      <w:szCs w:val="21"/>
                      <w:highlight w:val="none"/>
                      <w:lang w:bidi="ar"/>
                    </w:rPr>
                  </w:pPr>
                </w:p>
              </w:tc>
              <w:tc>
                <w:tcPr>
                  <w:tcW w:w="425" w:type="pct"/>
                  <w:tcBorders>
                    <w:tl2br w:val="nil"/>
                    <w:tr2bl w:val="nil"/>
                  </w:tcBorders>
                  <w:shd w:val="clear" w:color="auto" w:fill="auto"/>
                  <w:vAlign w:val="center"/>
                </w:tcPr>
                <w:p w14:paraId="7ADEBA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X</w:t>
                  </w:r>
                </w:p>
              </w:tc>
              <w:tc>
                <w:tcPr>
                  <w:tcW w:w="325" w:type="pct"/>
                  <w:tcBorders>
                    <w:tl2br w:val="nil"/>
                    <w:tr2bl w:val="nil"/>
                  </w:tcBorders>
                  <w:shd w:val="clear" w:color="auto" w:fill="auto"/>
                  <w:vAlign w:val="center"/>
                </w:tcPr>
                <w:p w14:paraId="091123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Y</w:t>
                  </w:r>
                </w:p>
              </w:tc>
              <w:tc>
                <w:tcPr>
                  <w:tcW w:w="349" w:type="pct"/>
                  <w:tcBorders>
                    <w:tl2br w:val="nil"/>
                    <w:tr2bl w:val="nil"/>
                  </w:tcBorders>
                  <w:shd w:val="clear" w:color="auto" w:fill="auto"/>
                  <w:vAlign w:val="center"/>
                </w:tcPr>
                <w:p w14:paraId="3C57C9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Z</w:t>
                  </w:r>
                </w:p>
              </w:tc>
              <w:tc>
                <w:tcPr>
                  <w:tcW w:w="594" w:type="pct"/>
                  <w:tcBorders>
                    <w:tl2br w:val="nil"/>
                    <w:tr2bl w:val="nil"/>
                  </w:tcBorders>
                  <w:shd w:val="clear" w:color="auto" w:fill="auto"/>
                  <w:vAlign w:val="center"/>
                </w:tcPr>
                <w:p w14:paraId="16F07F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声功率级dB(A)</w:t>
                  </w:r>
                </w:p>
              </w:tc>
              <w:tc>
                <w:tcPr>
                  <w:tcW w:w="656" w:type="pct"/>
                  <w:gridSpan w:val="2"/>
                  <w:tcBorders>
                    <w:tl2br w:val="nil"/>
                    <w:tr2bl w:val="nil"/>
                  </w:tcBorders>
                  <w:shd w:val="clear" w:color="auto" w:fill="auto"/>
                  <w:vAlign w:val="center"/>
                </w:tcPr>
                <w:p w14:paraId="01E16E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lang w:bidi="ar"/>
                    </w:rPr>
                    <w:t>距厂界距离/m</w:t>
                  </w:r>
                </w:p>
              </w:tc>
              <w:tc>
                <w:tcPr>
                  <w:tcW w:w="482" w:type="pct"/>
                  <w:vMerge w:val="continue"/>
                  <w:tcBorders>
                    <w:bottom w:val="single" w:color="auto" w:sz="4" w:space="0"/>
                    <w:tl2br w:val="nil"/>
                    <w:tr2bl w:val="nil"/>
                  </w:tcBorders>
                  <w:shd w:val="clear" w:color="auto" w:fill="auto"/>
                  <w:vAlign w:val="center"/>
                </w:tcPr>
                <w:p w14:paraId="4EE51C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b/>
                      <w:bCs/>
                      <w:color w:val="auto"/>
                      <w:szCs w:val="21"/>
                      <w:highlight w:val="none"/>
                    </w:rPr>
                  </w:pPr>
                </w:p>
              </w:tc>
              <w:tc>
                <w:tcPr>
                  <w:tcW w:w="385" w:type="pct"/>
                  <w:vMerge w:val="continue"/>
                  <w:tcBorders>
                    <w:bottom w:val="single" w:color="auto" w:sz="4" w:space="0"/>
                    <w:tl2br w:val="nil"/>
                    <w:tr2bl w:val="nil"/>
                  </w:tcBorders>
                  <w:shd w:val="clear" w:color="auto" w:fill="auto"/>
                  <w:vAlign w:val="center"/>
                </w:tcPr>
                <w:p w14:paraId="1D23A1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b/>
                      <w:bCs/>
                      <w:color w:val="auto"/>
                      <w:szCs w:val="21"/>
                      <w:highlight w:val="none"/>
                    </w:rPr>
                  </w:pPr>
                </w:p>
              </w:tc>
            </w:tr>
            <w:tr w14:paraId="17F39602">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jc w:val="center"/>
              </w:trPr>
              <w:tc>
                <w:tcPr>
                  <w:tcW w:w="253" w:type="pct"/>
                  <w:vMerge w:val="restart"/>
                  <w:tcBorders>
                    <w:tl2br w:val="nil"/>
                    <w:tr2bl w:val="nil"/>
                  </w:tcBorders>
                  <w:shd w:val="clear" w:color="auto" w:fill="auto"/>
                  <w:vAlign w:val="center"/>
                </w:tcPr>
                <w:p w14:paraId="16FF6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w:t>
                  </w:r>
                </w:p>
              </w:tc>
              <w:tc>
                <w:tcPr>
                  <w:tcW w:w="388" w:type="pct"/>
                  <w:vMerge w:val="restart"/>
                  <w:tcBorders>
                    <w:tl2br w:val="nil"/>
                    <w:tr2bl w:val="nil"/>
                  </w:tcBorders>
                  <w:shd w:val="clear" w:color="auto" w:fill="auto"/>
                  <w:vAlign w:val="center"/>
                </w:tcPr>
                <w:p w14:paraId="7554CE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color w:val="auto"/>
                      <w:kern w:val="0"/>
                      <w:sz w:val="21"/>
                      <w:szCs w:val="21"/>
                      <w:highlight w:val="none"/>
                      <w:lang w:bidi="ar"/>
                    </w:rPr>
                  </w:pPr>
                  <w:r>
                    <w:rPr>
                      <w:rFonts w:hint="eastAsia" w:cs="Times New Roman"/>
                      <w:i w:val="0"/>
                      <w:iCs w:val="0"/>
                      <w:color w:val="auto"/>
                      <w:sz w:val="21"/>
                      <w:szCs w:val="21"/>
                      <w:highlight w:val="none"/>
                      <w:u w:val="none"/>
                      <w:lang w:val="en-US" w:eastAsia="zh-CN"/>
                    </w:rPr>
                    <w:t>FQ08配套风机</w:t>
                  </w:r>
                </w:p>
              </w:tc>
              <w:tc>
                <w:tcPr>
                  <w:tcW w:w="520" w:type="pct"/>
                  <w:vMerge w:val="restart"/>
                  <w:tcBorders>
                    <w:tl2br w:val="nil"/>
                    <w:tr2bl w:val="nil"/>
                  </w:tcBorders>
                  <w:shd w:val="clear" w:color="auto" w:fill="auto"/>
                  <w:vAlign w:val="center"/>
                </w:tcPr>
                <w:p w14:paraId="5C2DFC8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7500m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619" w:type="pct"/>
                  <w:vMerge w:val="restart"/>
                  <w:tcBorders>
                    <w:tl2br w:val="nil"/>
                    <w:tr2bl w:val="nil"/>
                  </w:tcBorders>
                  <w:shd w:val="clear" w:color="auto" w:fill="auto"/>
                  <w:vAlign w:val="center"/>
                </w:tcPr>
                <w:p w14:paraId="0EA02D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25" w:type="pct"/>
                  <w:vMerge w:val="restart"/>
                  <w:tcBorders>
                    <w:tl2br w:val="nil"/>
                    <w:tr2bl w:val="nil"/>
                  </w:tcBorders>
                  <w:shd w:val="clear" w:color="auto" w:fill="auto"/>
                  <w:vAlign w:val="center"/>
                </w:tcPr>
                <w:p w14:paraId="15221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166</w:t>
                  </w:r>
                </w:p>
              </w:tc>
              <w:tc>
                <w:tcPr>
                  <w:tcW w:w="325" w:type="pct"/>
                  <w:vMerge w:val="restart"/>
                  <w:tcBorders>
                    <w:tl2br w:val="nil"/>
                    <w:tr2bl w:val="nil"/>
                  </w:tcBorders>
                  <w:shd w:val="clear" w:color="auto" w:fill="auto"/>
                  <w:vAlign w:val="center"/>
                </w:tcPr>
                <w:p w14:paraId="1E905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185</w:t>
                  </w:r>
                </w:p>
              </w:tc>
              <w:tc>
                <w:tcPr>
                  <w:tcW w:w="349" w:type="pct"/>
                  <w:vMerge w:val="restart"/>
                  <w:tcBorders>
                    <w:tl2br w:val="nil"/>
                    <w:tr2bl w:val="nil"/>
                  </w:tcBorders>
                  <w:shd w:val="clear" w:color="auto" w:fill="auto"/>
                  <w:vAlign w:val="center"/>
                </w:tcPr>
                <w:p w14:paraId="3F2BB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22</w:t>
                  </w:r>
                </w:p>
              </w:tc>
              <w:tc>
                <w:tcPr>
                  <w:tcW w:w="594" w:type="pct"/>
                  <w:vMerge w:val="restart"/>
                  <w:tcBorders>
                    <w:tl2br w:val="nil"/>
                    <w:tr2bl w:val="nil"/>
                  </w:tcBorders>
                  <w:shd w:val="clear" w:color="auto" w:fill="auto"/>
                  <w:vAlign w:val="center"/>
                </w:tcPr>
                <w:p w14:paraId="47E2A2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80</w:t>
                  </w:r>
                </w:p>
              </w:tc>
              <w:tc>
                <w:tcPr>
                  <w:tcW w:w="323" w:type="pct"/>
                  <w:tcBorders>
                    <w:tl2br w:val="nil"/>
                    <w:tr2bl w:val="nil"/>
                  </w:tcBorders>
                  <w:shd w:val="clear" w:color="auto" w:fill="auto"/>
                  <w:vAlign w:val="center"/>
                </w:tcPr>
                <w:p w14:paraId="63B156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东</w:t>
                  </w:r>
                </w:p>
              </w:tc>
              <w:tc>
                <w:tcPr>
                  <w:tcW w:w="333" w:type="pct"/>
                  <w:tcBorders>
                    <w:tl2br w:val="nil"/>
                    <w:tr2bl w:val="nil"/>
                  </w:tcBorders>
                  <w:shd w:val="clear" w:color="auto" w:fill="auto"/>
                  <w:vAlign w:val="center"/>
                </w:tcPr>
                <w:p w14:paraId="21DDD8E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153</w:t>
                  </w:r>
                </w:p>
              </w:tc>
              <w:tc>
                <w:tcPr>
                  <w:tcW w:w="482" w:type="pct"/>
                  <w:vMerge w:val="restart"/>
                  <w:tcBorders>
                    <w:top w:val="single" w:color="auto" w:sz="4" w:space="0"/>
                    <w:tl2br w:val="nil"/>
                    <w:tr2bl w:val="nil"/>
                  </w:tcBorders>
                  <w:shd w:val="clear" w:color="auto" w:fill="auto"/>
                  <w:vAlign w:val="center"/>
                </w:tcPr>
                <w:p w14:paraId="0D1A32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加装隔声罩、消声器</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距离衰减</w:t>
                  </w:r>
                </w:p>
              </w:tc>
              <w:tc>
                <w:tcPr>
                  <w:tcW w:w="385" w:type="pct"/>
                  <w:vMerge w:val="restart"/>
                  <w:tcBorders>
                    <w:top w:val="single" w:color="auto" w:sz="4" w:space="0"/>
                    <w:tl2br w:val="nil"/>
                    <w:tr2bl w:val="nil"/>
                  </w:tcBorders>
                  <w:shd w:val="clear" w:color="auto" w:fill="auto"/>
                  <w:vAlign w:val="center"/>
                </w:tcPr>
                <w:p w14:paraId="1B89D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昼间</w:t>
                  </w:r>
                </w:p>
              </w:tc>
            </w:tr>
            <w:tr w14:paraId="3C06E105">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jc w:val="center"/>
              </w:trPr>
              <w:tc>
                <w:tcPr>
                  <w:tcW w:w="253" w:type="pct"/>
                  <w:vMerge w:val="continue"/>
                  <w:tcBorders>
                    <w:tl2br w:val="nil"/>
                    <w:tr2bl w:val="nil"/>
                  </w:tcBorders>
                  <w:shd w:val="clear" w:color="auto" w:fill="auto"/>
                  <w:vAlign w:val="center"/>
                </w:tcPr>
                <w:p w14:paraId="23BBC3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c>
                <w:tcPr>
                  <w:tcW w:w="388" w:type="pct"/>
                  <w:vMerge w:val="continue"/>
                  <w:tcBorders>
                    <w:tl2br w:val="nil"/>
                    <w:tr2bl w:val="nil"/>
                  </w:tcBorders>
                  <w:shd w:val="clear" w:color="auto" w:fill="auto"/>
                  <w:vAlign w:val="center"/>
                </w:tcPr>
                <w:p w14:paraId="6BA241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20" w:type="pct"/>
                  <w:vMerge w:val="continue"/>
                  <w:tcBorders>
                    <w:tl2br w:val="nil"/>
                    <w:tr2bl w:val="nil"/>
                  </w:tcBorders>
                  <w:shd w:val="clear" w:color="auto" w:fill="auto"/>
                  <w:vAlign w:val="center"/>
                </w:tcPr>
                <w:p w14:paraId="198C47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619" w:type="pct"/>
                  <w:vMerge w:val="continue"/>
                  <w:tcBorders>
                    <w:tl2br w:val="nil"/>
                    <w:tr2bl w:val="nil"/>
                  </w:tcBorders>
                  <w:shd w:val="clear" w:color="auto" w:fill="auto"/>
                  <w:vAlign w:val="center"/>
                </w:tcPr>
                <w:p w14:paraId="5DA836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425" w:type="pct"/>
                  <w:vMerge w:val="continue"/>
                  <w:tcBorders>
                    <w:tl2br w:val="nil"/>
                    <w:tr2bl w:val="nil"/>
                  </w:tcBorders>
                  <w:shd w:val="clear" w:color="auto" w:fill="auto"/>
                  <w:vAlign w:val="center"/>
                </w:tcPr>
                <w:p w14:paraId="3FAF2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5" w:type="pct"/>
                  <w:vMerge w:val="continue"/>
                  <w:tcBorders>
                    <w:tl2br w:val="nil"/>
                    <w:tr2bl w:val="nil"/>
                  </w:tcBorders>
                  <w:shd w:val="clear" w:color="auto" w:fill="auto"/>
                  <w:vAlign w:val="center"/>
                </w:tcPr>
                <w:p w14:paraId="311F36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49" w:type="pct"/>
                  <w:vMerge w:val="continue"/>
                  <w:tcBorders>
                    <w:tl2br w:val="nil"/>
                    <w:tr2bl w:val="nil"/>
                  </w:tcBorders>
                  <w:shd w:val="clear" w:color="auto" w:fill="auto"/>
                  <w:vAlign w:val="center"/>
                </w:tcPr>
                <w:p w14:paraId="692903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94" w:type="pct"/>
                  <w:vMerge w:val="continue"/>
                  <w:tcBorders>
                    <w:tl2br w:val="nil"/>
                    <w:tr2bl w:val="nil"/>
                  </w:tcBorders>
                  <w:shd w:val="clear" w:color="auto" w:fill="auto"/>
                  <w:vAlign w:val="center"/>
                </w:tcPr>
                <w:p w14:paraId="50C80E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3" w:type="pct"/>
                  <w:tcBorders>
                    <w:tl2br w:val="nil"/>
                    <w:tr2bl w:val="nil"/>
                  </w:tcBorders>
                  <w:shd w:val="clear" w:color="auto" w:fill="auto"/>
                  <w:vAlign w:val="center"/>
                </w:tcPr>
                <w:p w14:paraId="724196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南</w:t>
                  </w:r>
                </w:p>
              </w:tc>
              <w:tc>
                <w:tcPr>
                  <w:tcW w:w="333" w:type="pct"/>
                  <w:tcBorders>
                    <w:tl2br w:val="nil"/>
                    <w:tr2bl w:val="nil"/>
                  </w:tcBorders>
                  <w:shd w:val="clear" w:color="auto" w:fill="auto"/>
                  <w:vAlign w:val="center"/>
                </w:tcPr>
                <w:p w14:paraId="738A1F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482" w:type="pct"/>
                  <w:vMerge w:val="continue"/>
                  <w:tcBorders>
                    <w:tl2br w:val="nil"/>
                    <w:tr2bl w:val="nil"/>
                  </w:tcBorders>
                  <w:shd w:val="clear" w:color="auto" w:fill="auto"/>
                  <w:vAlign w:val="center"/>
                </w:tcPr>
                <w:p w14:paraId="06034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756E11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1B242A0C">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jc w:val="center"/>
              </w:trPr>
              <w:tc>
                <w:tcPr>
                  <w:tcW w:w="253" w:type="pct"/>
                  <w:vMerge w:val="continue"/>
                  <w:tcBorders>
                    <w:tl2br w:val="nil"/>
                    <w:tr2bl w:val="nil"/>
                  </w:tcBorders>
                  <w:shd w:val="clear" w:color="auto" w:fill="auto"/>
                  <w:vAlign w:val="center"/>
                </w:tcPr>
                <w:p w14:paraId="456EF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c>
                <w:tcPr>
                  <w:tcW w:w="388" w:type="pct"/>
                  <w:vMerge w:val="continue"/>
                  <w:tcBorders>
                    <w:tl2br w:val="nil"/>
                    <w:tr2bl w:val="nil"/>
                  </w:tcBorders>
                  <w:shd w:val="clear" w:color="auto" w:fill="auto"/>
                  <w:vAlign w:val="center"/>
                </w:tcPr>
                <w:p w14:paraId="00E401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20" w:type="pct"/>
                  <w:vMerge w:val="continue"/>
                  <w:tcBorders>
                    <w:tl2br w:val="nil"/>
                    <w:tr2bl w:val="nil"/>
                  </w:tcBorders>
                  <w:shd w:val="clear" w:color="auto" w:fill="auto"/>
                  <w:vAlign w:val="center"/>
                </w:tcPr>
                <w:p w14:paraId="446A78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619" w:type="pct"/>
                  <w:vMerge w:val="continue"/>
                  <w:tcBorders>
                    <w:tl2br w:val="nil"/>
                    <w:tr2bl w:val="nil"/>
                  </w:tcBorders>
                  <w:shd w:val="clear" w:color="auto" w:fill="auto"/>
                  <w:vAlign w:val="center"/>
                </w:tcPr>
                <w:p w14:paraId="27DCD8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425" w:type="pct"/>
                  <w:vMerge w:val="continue"/>
                  <w:tcBorders>
                    <w:tl2br w:val="nil"/>
                    <w:tr2bl w:val="nil"/>
                  </w:tcBorders>
                  <w:shd w:val="clear" w:color="auto" w:fill="auto"/>
                  <w:vAlign w:val="center"/>
                </w:tcPr>
                <w:p w14:paraId="560191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5" w:type="pct"/>
                  <w:vMerge w:val="continue"/>
                  <w:tcBorders>
                    <w:tl2br w:val="nil"/>
                    <w:tr2bl w:val="nil"/>
                  </w:tcBorders>
                  <w:shd w:val="clear" w:color="auto" w:fill="auto"/>
                  <w:vAlign w:val="center"/>
                </w:tcPr>
                <w:p w14:paraId="4125FD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49" w:type="pct"/>
                  <w:vMerge w:val="continue"/>
                  <w:tcBorders>
                    <w:tl2br w:val="nil"/>
                    <w:tr2bl w:val="nil"/>
                  </w:tcBorders>
                  <w:shd w:val="clear" w:color="auto" w:fill="auto"/>
                  <w:vAlign w:val="center"/>
                </w:tcPr>
                <w:p w14:paraId="5E5963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94" w:type="pct"/>
                  <w:vMerge w:val="continue"/>
                  <w:tcBorders>
                    <w:tl2br w:val="nil"/>
                    <w:tr2bl w:val="nil"/>
                  </w:tcBorders>
                  <w:shd w:val="clear" w:color="auto" w:fill="auto"/>
                  <w:vAlign w:val="center"/>
                </w:tcPr>
                <w:p w14:paraId="500145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3" w:type="pct"/>
                  <w:tcBorders>
                    <w:tl2br w:val="nil"/>
                    <w:tr2bl w:val="nil"/>
                  </w:tcBorders>
                  <w:shd w:val="clear" w:color="auto" w:fill="auto"/>
                  <w:vAlign w:val="center"/>
                </w:tcPr>
                <w:p w14:paraId="0EDF50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西</w:t>
                  </w:r>
                </w:p>
              </w:tc>
              <w:tc>
                <w:tcPr>
                  <w:tcW w:w="333" w:type="pct"/>
                  <w:tcBorders>
                    <w:tl2br w:val="nil"/>
                    <w:tr2bl w:val="nil"/>
                  </w:tcBorders>
                  <w:shd w:val="clear" w:color="auto" w:fill="auto"/>
                  <w:vAlign w:val="center"/>
                </w:tcPr>
                <w:p w14:paraId="6242F5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482" w:type="pct"/>
                  <w:vMerge w:val="continue"/>
                  <w:tcBorders>
                    <w:tl2br w:val="nil"/>
                    <w:tr2bl w:val="nil"/>
                  </w:tcBorders>
                  <w:shd w:val="clear" w:color="auto" w:fill="auto"/>
                  <w:vAlign w:val="center"/>
                </w:tcPr>
                <w:p w14:paraId="0A7CF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0DA011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6FD70966">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jc w:val="center"/>
              </w:trPr>
              <w:tc>
                <w:tcPr>
                  <w:tcW w:w="253" w:type="pct"/>
                  <w:vMerge w:val="continue"/>
                  <w:tcBorders>
                    <w:tl2br w:val="nil"/>
                    <w:tr2bl w:val="nil"/>
                  </w:tcBorders>
                  <w:shd w:val="clear" w:color="auto" w:fill="auto"/>
                  <w:vAlign w:val="center"/>
                </w:tcPr>
                <w:p w14:paraId="452631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c>
                <w:tcPr>
                  <w:tcW w:w="388" w:type="pct"/>
                  <w:vMerge w:val="continue"/>
                  <w:tcBorders>
                    <w:tl2br w:val="nil"/>
                    <w:tr2bl w:val="nil"/>
                  </w:tcBorders>
                  <w:shd w:val="clear" w:color="auto" w:fill="auto"/>
                  <w:vAlign w:val="center"/>
                </w:tcPr>
                <w:p w14:paraId="7B3032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20" w:type="pct"/>
                  <w:vMerge w:val="continue"/>
                  <w:tcBorders>
                    <w:tl2br w:val="nil"/>
                    <w:tr2bl w:val="nil"/>
                  </w:tcBorders>
                  <w:shd w:val="clear" w:color="auto" w:fill="auto"/>
                  <w:vAlign w:val="center"/>
                </w:tcPr>
                <w:p w14:paraId="7CE36A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619" w:type="pct"/>
                  <w:vMerge w:val="continue"/>
                  <w:tcBorders>
                    <w:tl2br w:val="nil"/>
                    <w:tr2bl w:val="nil"/>
                  </w:tcBorders>
                  <w:shd w:val="clear" w:color="auto" w:fill="auto"/>
                  <w:vAlign w:val="center"/>
                </w:tcPr>
                <w:p w14:paraId="02855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425" w:type="pct"/>
                  <w:vMerge w:val="continue"/>
                  <w:tcBorders>
                    <w:tl2br w:val="nil"/>
                    <w:tr2bl w:val="nil"/>
                  </w:tcBorders>
                  <w:shd w:val="clear" w:color="auto" w:fill="auto"/>
                  <w:vAlign w:val="center"/>
                </w:tcPr>
                <w:p w14:paraId="1AE46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5" w:type="pct"/>
                  <w:vMerge w:val="continue"/>
                  <w:tcBorders>
                    <w:tl2br w:val="nil"/>
                    <w:tr2bl w:val="nil"/>
                  </w:tcBorders>
                  <w:shd w:val="clear" w:color="auto" w:fill="auto"/>
                  <w:vAlign w:val="center"/>
                </w:tcPr>
                <w:p w14:paraId="0C21A3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49" w:type="pct"/>
                  <w:vMerge w:val="continue"/>
                  <w:tcBorders>
                    <w:tl2br w:val="nil"/>
                    <w:tr2bl w:val="nil"/>
                  </w:tcBorders>
                  <w:shd w:val="clear" w:color="auto" w:fill="auto"/>
                  <w:vAlign w:val="center"/>
                </w:tcPr>
                <w:p w14:paraId="3354C4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94" w:type="pct"/>
                  <w:vMerge w:val="continue"/>
                  <w:tcBorders>
                    <w:tl2br w:val="nil"/>
                    <w:tr2bl w:val="nil"/>
                  </w:tcBorders>
                  <w:shd w:val="clear" w:color="auto" w:fill="auto"/>
                  <w:vAlign w:val="center"/>
                </w:tcPr>
                <w:p w14:paraId="792A4A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3" w:type="pct"/>
                  <w:tcBorders>
                    <w:tl2br w:val="nil"/>
                    <w:tr2bl w:val="nil"/>
                  </w:tcBorders>
                  <w:shd w:val="clear" w:color="auto" w:fill="auto"/>
                  <w:vAlign w:val="center"/>
                </w:tcPr>
                <w:p w14:paraId="7B979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北</w:t>
                  </w:r>
                </w:p>
              </w:tc>
              <w:tc>
                <w:tcPr>
                  <w:tcW w:w="333" w:type="pct"/>
                  <w:tcBorders>
                    <w:bottom w:val="single" w:color="auto" w:sz="4" w:space="0"/>
                    <w:tl2br w:val="nil"/>
                    <w:tr2bl w:val="nil"/>
                  </w:tcBorders>
                  <w:shd w:val="clear" w:color="auto" w:fill="auto"/>
                  <w:vAlign w:val="center"/>
                </w:tcPr>
                <w:p w14:paraId="05AFE7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146</w:t>
                  </w:r>
                </w:p>
              </w:tc>
              <w:tc>
                <w:tcPr>
                  <w:tcW w:w="482" w:type="pct"/>
                  <w:vMerge w:val="continue"/>
                  <w:tcBorders>
                    <w:tl2br w:val="nil"/>
                    <w:tr2bl w:val="nil"/>
                  </w:tcBorders>
                  <w:shd w:val="clear" w:color="auto" w:fill="auto"/>
                  <w:vAlign w:val="center"/>
                </w:tcPr>
                <w:p w14:paraId="17C3D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5D04D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29607564">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90" w:hRule="atLeast"/>
                <w:jc w:val="center"/>
              </w:trPr>
              <w:tc>
                <w:tcPr>
                  <w:tcW w:w="253" w:type="pct"/>
                  <w:vMerge w:val="restart"/>
                  <w:tcBorders>
                    <w:tl2br w:val="nil"/>
                    <w:tr2bl w:val="nil"/>
                  </w:tcBorders>
                  <w:shd w:val="clear" w:color="auto" w:fill="auto"/>
                  <w:vAlign w:val="center"/>
                </w:tcPr>
                <w:p w14:paraId="05EB73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w:t>
                  </w:r>
                </w:p>
              </w:tc>
              <w:tc>
                <w:tcPr>
                  <w:tcW w:w="388" w:type="pct"/>
                  <w:vMerge w:val="restart"/>
                  <w:tcBorders>
                    <w:tl2br w:val="nil"/>
                    <w:tr2bl w:val="nil"/>
                  </w:tcBorders>
                  <w:shd w:val="clear" w:color="auto" w:fill="auto"/>
                  <w:vAlign w:val="center"/>
                </w:tcPr>
                <w:p w14:paraId="679117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color w:val="auto"/>
                      <w:kern w:val="0"/>
                      <w:sz w:val="21"/>
                      <w:szCs w:val="21"/>
                      <w:highlight w:val="none"/>
                      <w:lang w:val="en-US" w:bidi="ar"/>
                    </w:rPr>
                  </w:pPr>
                  <w:r>
                    <w:rPr>
                      <w:rFonts w:hint="eastAsia" w:cs="Times New Roman"/>
                      <w:i w:val="0"/>
                      <w:iCs w:val="0"/>
                      <w:color w:val="auto"/>
                      <w:sz w:val="21"/>
                      <w:szCs w:val="21"/>
                      <w:highlight w:val="none"/>
                      <w:u w:val="none"/>
                      <w:lang w:val="en-US" w:eastAsia="zh-CN"/>
                    </w:rPr>
                    <w:t>FQ09配套风机</w:t>
                  </w:r>
                </w:p>
              </w:tc>
              <w:tc>
                <w:tcPr>
                  <w:tcW w:w="520" w:type="pct"/>
                  <w:vMerge w:val="restart"/>
                  <w:tcBorders>
                    <w:tl2br w:val="nil"/>
                    <w:tr2bl w:val="nil"/>
                  </w:tcBorders>
                  <w:shd w:val="clear" w:color="auto" w:fill="auto"/>
                  <w:vAlign w:val="center"/>
                </w:tcPr>
                <w:p w14:paraId="43763A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7500m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619" w:type="pct"/>
                  <w:vMerge w:val="restart"/>
                  <w:tcBorders>
                    <w:tl2br w:val="nil"/>
                    <w:tr2bl w:val="nil"/>
                  </w:tcBorders>
                  <w:shd w:val="clear" w:color="auto" w:fill="auto"/>
                  <w:vAlign w:val="center"/>
                </w:tcPr>
                <w:p w14:paraId="50A1ED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425" w:type="pct"/>
                  <w:vMerge w:val="restart"/>
                  <w:tcBorders>
                    <w:tl2br w:val="nil"/>
                    <w:tr2bl w:val="nil"/>
                  </w:tcBorders>
                  <w:shd w:val="clear" w:color="auto" w:fill="auto"/>
                  <w:vAlign w:val="center"/>
                </w:tcPr>
                <w:p w14:paraId="224F5C8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val="en-US" w:bidi="ar"/>
                    </w:rPr>
                  </w:pPr>
                  <w:r>
                    <w:rPr>
                      <w:rFonts w:hint="eastAsia" w:ascii="Times New Roman" w:hAnsi="Times New Roman" w:eastAsia="宋体" w:cs="Times New Roman"/>
                      <w:color w:val="auto"/>
                      <w:kern w:val="2"/>
                      <w:sz w:val="21"/>
                      <w:szCs w:val="21"/>
                      <w:highlight w:val="none"/>
                      <w:lang w:val="en-US" w:eastAsia="zh-CN"/>
                    </w:rPr>
                    <w:t>322</w:t>
                  </w:r>
                </w:p>
              </w:tc>
              <w:tc>
                <w:tcPr>
                  <w:tcW w:w="325" w:type="pct"/>
                  <w:vMerge w:val="restart"/>
                  <w:tcBorders>
                    <w:tl2br w:val="nil"/>
                    <w:tr2bl w:val="nil"/>
                  </w:tcBorders>
                  <w:shd w:val="clear" w:color="auto" w:fill="auto"/>
                  <w:vAlign w:val="center"/>
                </w:tcPr>
                <w:p w14:paraId="339842A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val="en-US" w:bidi="ar"/>
                    </w:rPr>
                  </w:pPr>
                  <w:r>
                    <w:rPr>
                      <w:rFonts w:hint="eastAsia" w:ascii="Times New Roman" w:hAnsi="Times New Roman" w:eastAsia="宋体" w:cs="Times New Roman"/>
                      <w:color w:val="auto"/>
                      <w:kern w:val="2"/>
                      <w:sz w:val="21"/>
                      <w:szCs w:val="21"/>
                      <w:highlight w:val="none"/>
                      <w:lang w:val="en-US" w:eastAsia="zh-CN"/>
                    </w:rPr>
                    <w:t>108</w:t>
                  </w:r>
                </w:p>
              </w:tc>
              <w:tc>
                <w:tcPr>
                  <w:tcW w:w="349" w:type="pct"/>
                  <w:vMerge w:val="restart"/>
                  <w:tcBorders>
                    <w:tl2br w:val="nil"/>
                    <w:tr2bl w:val="nil"/>
                  </w:tcBorders>
                  <w:shd w:val="clear" w:color="auto" w:fill="auto"/>
                  <w:vAlign w:val="center"/>
                </w:tcPr>
                <w:p w14:paraId="75BEAD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22</w:t>
                  </w:r>
                </w:p>
              </w:tc>
              <w:tc>
                <w:tcPr>
                  <w:tcW w:w="594" w:type="pct"/>
                  <w:vMerge w:val="restart"/>
                  <w:tcBorders>
                    <w:tl2br w:val="nil"/>
                    <w:tr2bl w:val="nil"/>
                  </w:tcBorders>
                  <w:shd w:val="clear" w:color="auto" w:fill="auto"/>
                  <w:vAlign w:val="center"/>
                </w:tcPr>
                <w:p w14:paraId="59B2A3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cs="Times New Roman"/>
                      <w:color w:val="auto"/>
                      <w:kern w:val="0"/>
                      <w:szCs w:val="21"/>
                      <w:highlight w:val="none"/>
                      <w:lang w:val="en-US" w:eastAsia="zh-CN" w:bidi="ar"/>
                    </w:rPr>
                    <w:t>80</w:t>
                  </w:r>
                </w:p>
              </w:tc>
              <w:tc>
                <w:tcPr>
                  <w:tcW w:w="323" w:type="pct"/>
                  <w:tcBorders>
                    <w:tl2br w:val="nil"/>
                    <w:tr2bl w:val="nil"/>
                  </w:tcBorders>
                  <w:shd w:val="clear" w:color="auto" w:fill="auto"/>
                  <w:vAlign w:val="center"/>
                </w:tcPr>
                <w:p w14:paraId="7AA6B50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东</w:t>
                  </w:r>
                </w:p>
              </w:tc>
              <w:tc>
                <w:tcPr>
                  <w:tcW w:w="333" w:type="pct"/>
                  <w:tcBorders>
                    <w:top w:val="single" w:color="auto" w:sz="4" w:space="0"/>
                    <w:tl2br w:val="nil"/>
                    <w:tr2bl w:val="nil"/>
                  </w:tcBorders>
                  <w:shd w:val="clear" w:color="auto" w:fill="auto"/>
                  <w:vAlign w:val="center"/>
                </w:tcPr>
                <w:p w14:paraId="2F09B0B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rPr>
                    <w:t>55</w:t>
                  </w:r>
                </w:p>
              </w:tc>
              <w:tc>
                <w:tcPr>
                  <w:tcW w:w="482" w:type="pct"/>
                  <w:vMerge w:val="continue"/>
                  <w:tcBorders>
                    <w:tl2br w:val="nil"/>
                    <w:tr2bl w:val="nil"/>
                  </w:tcBorders>
                  <w:shd w:val="clear" w:color="auto" w:fill="auto"/>
                  <w:vAlign w:val="center"/>
                </w:tcPr>
                <w:p w14:paraId="40314D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restart"/>
                  <w:tcBorders>
                    <w:tl2br w:val="nil"/>
                    <w:tr2bl w:val="nil"/>
                  </w:tcBorders>
                  <w:shd w:val="clear" w:color="auto" w:fill="auto"/>
                  <w:vAlign w:val="center"/>
                </w:tcPr>
                <w:p w14:paraId="527A22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昼间</w:t>
                  </w:r>
                </w:p>
              </w:tc>
            </w:tr>
            <w:tr w14:paraId="53175A93">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90" w:hRule="atLeast"/>
                <w:jc w:val="center"/>
              </w:trPr>
              <w:tc>
                <w:tcPr>
                  <w:tcW w:w="253" w:type="pct"/>
                  <w:vMerge w:val="continue"/>
                  <w:tcBorders>
                    <w:tl2br w:val="nil"/>
                    <w:tr2bl w:val="nil"/>
                  </w:tcBorders>
                  <w:shd w:val="clear" w:color="auto" w:fill="auto"/>
                  <w:vAlign w:val="center"/>
                </w:tcPr>
                <w:p w14:paraId="6A02B9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c>
                <w:tcPr>
                  <w:tcW w:w="388" w:type="pct"/>
                  <w:vMerge w:val="continue"/>
                  <w:tcBorders>
                    <w:tl2br w:val="nil"/>
                    <w:tr2bl w:val="nil"/>
                  </w:tcBorders>
                  <w:shd w:val="clear" w:color="auto" w:fill="auto"/>
                  <w:vAlign w:val="center"/>
                </w:tcPr>
                <w:p w14:paraId="357B2E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20" w:type="pct"/>
                  <w:vMerge w:val="continue"/>
                  <w:tcBorders>
                    <w:tl2br w:val="nil"/>
                    <w:tr2bl w:val="nil"/>
                  </w:tcBorders>
                  <w:shd w:val="clear" w:color="auto" w:fill="auto"/>
                  <w:vAlign w:val="center"/>
                </w:tcPr>
                <w:p w14:paraId="58CD1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619" w:type="pct"/>
                  <w:vMerge w:val="continue"/>
                  <w:tcBorders>
                    <w:tl2br w:val="nil"/>
                    <w:tr2bl w:val="nil"/>
                  </w:tcBorders>
                  <w:shd w:val="clear" w:color="auto" w:fill="auto"/>
                  <w:vAlign w:val="center"/>
                </w:tcPr>
                <w:p w14:paraId="7BCA47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425" w:type="pct"/>
                  <w:vMerge w:val="continue"/>
                  <w:tcBorders>
                    <w:tl2br w:val="nil"/>
                    <w:tr2bl w:val="nil"/>
                  </w:tcBorders>
                  <w:shd w:val="clear" w:color="auto" w:fill="auto"/>
                  <w:vAlign w:val="center"/>
                </w:tcPr>
                <w:p w14:paraId="53D5D7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5" w:type="pct"/>
                  <w:vMerge w:val="continue"/>
                  <w:tcBorders>
                    <w:tl2br w:val="nil"/>
                    <w:tr2bl w:val="nil"/>
                  </w:tcBorders>
                  <w:shd w:val="clear" w:color="auto" w:fill="auto"/>
                  <w:vAlign w:val="center"/>
                </w:tcPr>
                <w:p w14:paraId="19E8E1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49" w:type="pct"/>
                  <w:vMerge w:val="continue"/>
                  <w:tcBorders>
                    <w:tl2br w:val="nil"/>
                    <w:tr2bl w:val="nil"/>
                  </w:tcBorders>
                  <w:shd w:val="clear" w:color="auto" w:fill="auto"/>
                  <w:vAlign w:val="center"/>
                </w:tcPr>
                <w:p w14:paraId="387A0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94" w:type="pct"/>
                  <w:vMerge w:val="continue"/>
                  <w:tcBorders>
                    <w:tl2br w:val="nil"/>
                    <w:tr2bl w:val="nil"/>
                  </w:tcBorders>
                  <w:shd w:val="clear" w:color="auto" w:fill="auto"/>
                  <w:vAlign w:val="center"/>
                </w:tcPr>
                <w:p w14:paraId="298557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3" w:type="pct"/>
                  <w:tcBorders>
                    <w:tl2br w:val="nil"/>
                    <w:tr2bl w:val="nil"/>
                  </w:tcBorders>
                  <w:shd w:val="clear" w:color="auto" w:fill="auto"/>
                  <w:vAlign w:val="center"/>
                </w:tcPr>
                <w:p w14:paraId="63D4E06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南</w:t>
                  </w:r>
                </w:p>
              </w:tc>
              <w:tc>
                <w:tcPr>
                  <w:tcW w:w="333" w:type="pct"/>
                  <w:tcBorders>
                    <w:tl2br w:val="nil"/>
                    <w:tr2bl w:val="nil"/>
                  </w:tcBorders>
                  <w:shd w:val="clear" w:color="auto" w:fill="auto"/>
                  <w:vAlign w:val="center"/>
                </w:tcPr>
                <w:p w14:paraId="6B7B9DF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rPr>
                    <w:t>108</w:t>
                  </w:r>
                </w:p>
              </w:tc>
              <w:tc>
                <w:tcPr>
                  <w:tcW w:w="482" w:type="pct"/>
                  <w:vMerge w:val="continue"/>
                  <w:tcBorders>
                    <w:tl2br w:val="nil"/>
                    <w:tr2bl w:val="nil"/>
                  </w:tcBorders>
                  <w:shd w:val="clear" w:color="auto" w:fill="auto"/>
                  <w:vAlign w:val="center"/>
                </w:tcPr>
                <w:p w14:paraId="23BE5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49292C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0A04824E">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7" w:hRule="atLeast"/>
                <w:jc w:val="center"/>
              </w:trPr>
              <w:tc>
                <w:tcPr>
                  <w:tcW w:w="253" w:type="pct"/>
                  <w:vMerge w:val="continue"/>
                  <w:tcBorders>
                    <w:tl2br w:val="nil"/>
                    <w:tr2bl w:val="nil"/>
                  </w:tcBorders>
                  <w:shd w:val="clear" w:color="auto" w:fill="auto"/>
                  <w:vAlign w:val="center"/>
                </w:tcPr>
                <w:p w14:paraId="3ACB7F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c>
                <w:tcPr>
                  <w:tcW w:w="388" w:type="pct"/>
                  <w:vMerge w:val="continue"/>
                  <w:tcBorders>
                    <w:tl2br w:val="nil"/>
                    <w:tr2bl w:val="nil"/>
                  </w:tcBorders>
                  <w:shd w:val="clear" w:color="auto" w:fill="auto"/>
                  <w:vAlign w:val="center"/>
                </w:tcPr>
                <w:p w14:paraId="7236C2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20" w:type="pct"/>
                  <w:vMerge w:val="continue"/>
                  <w:tcBorders>
                    <w:tl2br w:val="nil"/>
                    <w:tr2bl w:val="nil"/>
                  </w:tcBorders>
                  <w:shd w:val="clear" w:color="auto" w:fill="auto"/>
                  <w:vAlign w:val="center"/>
                </w:tcPr>
                <w:p w14:paraId="2B898D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619" w:type="pct"/>
                  <w:vMerge w:val="continue"/>
                  <w:tcBorders>
                    <w:tl2br w:val="nil"/>
                    <w:tr2bl w:val="nil"/>
                  </w:tcBorders>
                  <w:shd w:val="clear" w:color="auto" w:fill="auto"/>
                  <w:vAlign w:val="center"/>
                </w:tcPr>
                <w:p w14:paraId="1F5111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425" w:type="pct"/>
                  <w:vMerge w:val="continue"/>
                  <w:tcBorders>
                    <w:tl2br w:val="nil"/>
                    <w:tr2bl w:val="nil"/>
                  </w:tcBorders>
                  <w:shd w:val="clear" w:color="auto" w:fill="auto"/>
                  <w:vAlign w:val="center"/>
                </w:tcPr>
                <w:p w14:paraId="1593CB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5" w:type="pct"/>
                  <w:vMerge w:val="continue"/>
                  <w:tcBorders>
                    <w:tl2br w:val="nil"/>
                    <w:tr2bl w:val="nil"/>
                  </w:tcBorders>
                  <w:shd w:val="clear" w:color="auto" w:fill="auto"/>
                  <w:vAlign w:val="center"/>
                </w:tcPr>
                <w:p w14:paraId="46D00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49" w:type="pct"/>
                  <w:vMerge w:val="continue"/>
                  <w:tcBorders>
                    <w:tl2br w:val="nil"/>
                    <w:tr2bl w:val="nil"/>
                  </w:tcBorders>
                  <w:shd w:val="clear" w:color="auto" w:fill="auto"/>
                  <w:vAlign w:val="center"/>
                </w:tcPr>
                <w:p w14:paraId="31CAAB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94" w:type="pct"/>
                  <w:vMerge w:val="continue"/>
                  <w:tcBorders>
                    <w:tl2br w:val="nil"/>
                    <w:tr2bl w:val="nil"/>
                  </w:tcBorders>
                  <w:shd w:val="clear" w:color="auto" w:fill="auto"/>
                  <w:vAlign w:val="center"/>
                </w:tcPr>
                <w:p w14:paraId="1B57CC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3" w:type="pct"/>
                  <w:tcBorders>
                    <w:tl2br w:val="nil"/>
                    <w:tr2bl w:val="nil"/>
                  </w:tcBorders>
                  <w:shd w:val="clear" w:color="auto" w:fill="auto"/>
                  <w:vAlign w:val="center"/>
                </w:tcPr>
                <w:p w14:paraId="168E0CE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西</w:t>
                  </w:r>
                </w:p>
              </w:tc>
              <w:tc>
                <w:tcPr>
                  <w:tcW w:w="333" w:type="pct"/>
                  <w:tcBorders>
                    <w:tl2br w:val="nil"/>
                    <w:tr2bl w:val="nil"/>
                  </w:tcBorders>
                  <w:shd w:val="clear" w:color="auto" w:fill="auto"/>
                  <w:vAlign w:val="center"/>
                </w:tcPr>
                <w:p w14:paraId="5515123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rPr>
                    <w:t>315</w:t>
                  </w:r>
                </w:p>
              </w:tc>
              <w:tc>
                <w:tcPr>
                  <w:tcW w:w="482" w:type="pct"/>
                  <w:vMerge w:val="continue"/>
                  <w:tcBorders>
                    <w:tl2br w:val="nil"/>
                    <w:tr2bl w:val="nil"/>
                  </w:tcBorders>
                  <w:shd w:val="clear" w:color="auto" w:fill="auto"/>
                  <w:vAlign w:val="center"/>
                </w:tcPr>
                <w:p w14:paraId="2ECEE9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5BB45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32BDAF41">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90" w:hRule="atLeast"/>
                <w:jc w:val="center"/>
              </w:trPr>
              <w:tc>
                <w:tcPr>
                  <w:tcW w:w="253" w:type="pct"/>
                  <w:vMerge w:val="continue"/>
                  <w:tcBorders>
                    <w:tl2br w:val="nil"/>
                    <w:tr2bl w:val="nil"/>
                  </w:tcBorders>
                  <w:shd w:val="clear" w:color="auto" w:fill="auto"/>
                  <w:vAlign w:val="center"/>
                </w:tcPr>
                <w:p w14:paraId="3FF6EF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c>
                <w:tcPr>
                  <w:tcW w:w="388" w:type="pct"/>
                  <w:vMerge w:val="continue"/>
                  <w:tcBorders>
                    <w:tl2br w:val="nil"/>
                    <w:tr2bl w:val="nil"/>
                  </w:tcBorders>
                  <w:shd w:val="clear" w:color="auto" w:fill="auto"/>
                  <w:vAlign w:val="center"/>
                </w:tcPr>
                <w:p w14:paraId="03344C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20" w:type="pct"/>
                  <w:vMerge w:val="continue"/>
                  <w:tcBorders>
                    <w:tl2br w:val="nil"/>
                    <w:tr2bl w:val="nil"/>
                  </w:tcBorders>
                  <w:shd w:val="clear" w:color="auto" w:fill="auto"/>
                  <w:vAlign w:val="center"/>
                </w:tcPr>
                <w:p w14:paraId="15AA2E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619" w:type="pct"/>
                  <w:vMerge w:val="continue"/>
                  <w:tcBorders>
                    <w:tl2br w:val="nil"/>
                    <w:tr2bl w:val="nil"/>
                  </w:tcBorders>
                  <w:shd w:val="clear" w:color="auto" w:fill="auto"/>
                  <w:vAlign w:val="center"/>
                </w:tcPr>
                <w:p w14:paraId="5997A7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425" w:type="pct"/>
                  <w:vMerge w:val="continue"/>
                  <w:tcBorders>
                    <w:tl2br w:val="nil"/>
                    <w:tr2bl w:val="nil"/>
                  </w:tcBorders>
                  <w:shd w:val="clear" w:color="auto" w:fill="auto"/>
                  <w:vAlign w:val="center"/>
                </w:tcPr>
                <w:p w14:paraId="7F0841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5" w:type="pct"/>
                  <w:vMerge w:val="continue"/>
                  <w:tcBorders>
                    <w:tl2br w:val="nil"/>
                    <w:tr2bl w:val="nil"/>
                  </w:tcBorders>
                  <w:shd w:val="clear" w:color="auto" w:fill="auto"/>
                  <w:vAlign w:val="center"/>
                </w:tcPr>
                <w:p w14:paraId="07E5D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49" w:type="pct"/>
                  <w:vMerge w:val="continue"/>
                  <w:tcBorders>
                    <w:tl2br w:val="nil"/>
                    <w:tr2bl w:val="nil"/>
                  </w:tcBorders>
                  <w:shd w:val="clear" w:color="auto" w:fill="auto"/>
                  <w:vAlign w:val="center"/>
                </w:tcPr>
                <w:p w14:paraId="1D34C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94" w:type="pct"/>
                  <w:vMerge w:val="continue"/>
                  <w:tcBorders>
                    <w:tl2br w:val="nil"/>
                    <w:tr2bl w:val="nil"/>
                  </w:tcBorders>
                  <w:shd w:val="clear" w:color="auto" w:fill="auto"/>
                  <w:vAlign w:val="center"/>
                </w:tcPr>
                <w:p w14:paraId="026AC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3" w:type="pct"/>
                  <w:tcBorders>
                    <w:tl2br w:val="nil"/>
                    <w:tr2bl w:val="nil"/>
                  </w:tcBorders>
                  <w:shd w:val="clear" w:color="auto" w:fill="auto"/>
                  <w:vAlign w:val="center"/>
                </w:tcPr>
                <w:p w14:paraId="64F7A0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北</w:t>
                  </w:r>
                </w:p>
              </w:tc>
              <w:tc>
                <w:tcPr>
                  <w:tcW w:w="333" w:type="pct"/>
                  <w:tcBorders>
                    <w:tl2br w:val="nil"/>
                    <w:tr2bl w:val="nil"/>
                  </w:tcBorders>
                  <w:shd w:val="clear" w:color="auto" w:fill="auto"/>
                  <w:vAlign w:val="center"/>
                </w:tcPr>
                <w:p w14:paraId="4EB7FB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rPr>
                    <w:t>110</w:t>
                  </w:r>
                </w:p>
              </w:tc>
              <w:tc>
                <w:tcPr>
                  <w:tcW w:w="482" w:type="pct"/>
                  <w:vMerge w:val="continue"/>
                  <w:tcBorders>
                    <w:tl2br w:val="nil"/>
                    <w:tr2bl w:val="nil"/>
                  </w:tcBorders>
                  <w:shd w:val="clear" w:color="auto" w:fill="auto"/>
                  <w:vAlign w:val="center"/>
                </w:tcPr>
                <w:p w14:paraId="27AFE4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08F1A1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379B64A4">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90" w:hRule="atLeast"/>
                <w:jc w:val="center"/>
              </w:trPr>
              <w:tc>
                <w:tcPr>
                  <w:tcW w:w="253" w:type="pct"/>
                  <w:vMerge w:val="restart"/>
                  <w:tcBorders>
                    <w:tl2br w:val="nil"/>
                    <w:tr2bl w:val="nil"/>
                  </w:tcBorders>
                  <w:shd w:val="clear" w:color="auto" w:fill="auto"/>
                  <w:vAlign w:val="center"/>
                </w:tcPr>
                <w:p w14:paraId="11544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w:t>
                  </w:r>
                </w:p>
              </w:tc>
              <w:tc>
                <w:tcPr>
                  <w:tcW w:w="388" w:type="pct"/>
                  <w:vMerge w:val="restart"/>
                  <w:tcBorders>
                    <w:tl2br w:val="nil"/>
                    <w:tr2bl w:val="nil"/>
                  </w:tcBorders>
                  <w:shd w:val="clear" w:color="auto" w:fill="auto"/>
                  <w:vAlign w:val="center"/>
                </w:tcPr>
                <w:p w14:paraId="1D0A5B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ascii="Times New Roman" w:hAnsi="Times New Roman" w:eastAsia="宋体" w:cs="Times New Roman"/>
                      <w:color w:val="auto"/>
                      <w:kern w:val="0"/>
                      <w:sz w:val="21"/>
                      <w:szCs w:val="21"/>
                      <w:highlight w:val="none"/>
                      <w:lang w:eastAsia="zh-CN" w:bidi="ar"/>
                    </w:rPr>
                  </w:pPr>
                  <w:r>
                    <w:rPr>
                      <w:rFonts w:hint="eastAsia" w:cs="Times New Roman"/>
                      <w:i w:val="0"/>
                      <w:iCs w:val="0"/>
                      <w:color w:val="auto"/>
                      <w:sz w:val="21"/>
                      <w:szCs w:val="21"/>
                      <w:highlight w:val="none"/>
                      <w:u w:val="none"/>
                      <w:lang w:val="en-US" w:eastAsia="zh-CN"/>
                    </w:rPr>
                    <w:t>FQ10配套风机</w:t>
                  </w:r>
                </w:p>
              </w:tc>
              <w:tc>
                <w:tcPr>
                  <w:tcW w:w="520" w:type="pct"/>
                  <w:vMerge w:val="restart"/>
                  <w:tcBorders>
                    <w:tl2br w:val="nil"/>
                    <w:tr2bl w:val="nil"/>
                  </w:tcBorders>
                  <w:shd w:val="clear" w:color="auto" w:fill="auto"/>
                  <w:vAlign w:val="center"/>
                </w:tcPr>
                <w:p w14:paraId="4E873F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7500m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619" w:type="pct"/>
                  <w:vMerge w:val="restart"/>
                  <w:tcBorders>
                    <w:tl2br w:val="nil"/>
                    <w:tr2bl w:val="nil"/>
                  </w:tcBorders>
                  <w:shd w:val="clear" w:color="auto" w:fill="auto"/>
                  <w:vAlign w:val="center"/>
                </w:tcPr>
                <w:p w14:paraId="5DF5BD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425" w:type="pct"/>
                  <w:vMerge w:val="restart"/>
                  <w:tcBorders>
                    <w:tl2br w:val="nil"/>
                    <w:tr2bl w:val="nil"/>
                  </w:tcBorders>
                  <w:shd w:val="clear" w:color="auto" w:fill="auto"/>
                  <w:vAlign w:val="center"/>
                </w:tcPr>
                <w:p w14:paraId="26494A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val="en-US" w:bidi="ar"/>
                    </w:rPr>
                  </w:pPr>
                  <w:r>
                    <w:rPr>
                      <w:rFonts w:hint="eastAsia" w:ascii="Times New Roman" w:hAnsi="Times New Roman" w:eastAsia="宋体" w:cs="Times New Roman"/>
                      <w:color w:val="auto"/>
                      <w:kern w:val="0"/>
                      <w:sz w:val="21"/>
                      <w:szCs w:val="21"/>
                      <w:highlight w:val="none"/>
                      <w:lang w:val="en-US" w:eastAsia="zh-CN" w:bidi="ar"/>
                    </w:rPr>
                    <w:t>245</w:t>
                  </w:r>
                </w:p>
              </w:tc>
              <w:tc>
                <w:tcPr>
                  <w:tcW w:w="325" w:type="pct"/>
                  <w:vMerge w:val="restart"/>
                  <w:tcBorders>
                    <w:tl2br w:val="nil"/>
                    <w:tr2bl w:val="nil"/>
                  </w:tcBorders>
                  <w:shd w:val="clear" w:color="auto" w:fill="auto"/>
                  <w:vAlign w:val="center"/>
                </w:tcPr>
                <w:p w14:paraId="1164839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val="en-US" w:bidi="ar"/>
                    </w:rPr>
                  </w:pPr>
                  <w:r>
                    <w:rPr>
                      <w:rFonts w:hint="eastAsia" w:ascii="Times New Roman" w:hAnsi="Times New Roman" w:eastAsia="宋体" w:cs="Times New Roman"/>
                      <w:color w:val="auto"/>
                      <w:kern w:val="0"/>
                      <w:sz w:val="21"/>
                      <w:szCs w:val="21"/>
                      <w:highlight w:val="none"/>
                      <w:lang w:val="en-US" w:eastAsia="zh-CN" w:bidi="ar"/>
                    </w:rPr>
                    <w:t>108</w:t>
                  </w:r>
                </w:p>
              </w:tc>
              <w:tc>
                <w:tcPr>
                  <w:tcW w:w="349" w:type="pct"/>
                  <w:vMerge w:val="restart"/>
                  <w:tcBorders>
                    <w:tl2br w:val="nil"/>
                    <w:tr2bl w:val="nil"/>
                  </w:tcBorders>
                  <w:shd w:val="clear" w:color="auto" w:fill="auto"/>
                  <w:vAlign w:val="center"/>
                </w:tcPr>
                <w:p w14:paraId="4078683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22</w:t>
                  </w:r>
                </w:p>
              </w:tc>
              <w:tc>
                <w:tcPr>
                  <w:tcW w:w="594" w:type="pct"/>
                  <w:vMerge w:val="restart"/>
                  <w:tcBorders>
                    <w:tl2br w:val="nil"/>
                    <w:tr2bl w:val="nil"/>
                  </w:tcBorders>
                  <w:shd w:val="clear" w:color="auto" w:fill="auto"/>
                  <w:vAlign w:val="center"/>
                </w:tcPr>
                <w:p w14:paraId="67D84E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80</w:t>
                  </w:r>
                </w:p>
              </w:tc>
              <w:tc>
                <w:tcPr>
                  <w:tcW w:w="323" w:type="pct"/>
                  <w:tcBorders>
                    <w:tl2br w:val="nil"/>
                    <w:tr2bl w:val="nil"/>
                  </w:tcBorders>
                  <w:shd w:val="clear" w:color="auto" w:fill="auto"/>
                  <w:vAlign w:val="center"/>
                </w:tcPr>
                <w:p w14:paraId="2190EB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东</w:t>
                  </w:r>
                </w:p>
              </w:tc>
              <w:tc>
                <w:tcPr>
                  <w:tcW w:w="333" w:type="pct"/>
                  <w:tcBorders>
                    <w:tl2br w:val="nil"/>
                    <w:tr2bl w:val="nil"/>
                  </w:tcBorders>
                  <w:shd w:val="clear" w:color="auto" w:fill="auto"/>
                  <w:vAlign w:val="center"/>
                </w:tcPr>
                <w:p w14:paraId="714E78D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115</w:t>
                  </w:r>
                </w:p>
              </w:tc>
              <w:tc>
                <w:tcPr>
                  <w:tcW w:w="482" w:type="pct"/>
                  <w:vMerge w:val="continue"/>
                  <w:tcBorders>
                    <w:tl2br w:val="nil"/>
                    <w:tr2bl w:val="nil"/>
                  </w:tcBorders>
                  <w:shd w:val="clear" w:color="auto" w:fill="auto"/>
                  <w:vAlign w:val="center"/>
                </w:tcPr>
                <w:p w14:paraId="61B33A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restart"/>
                  <w:tcBorders>
                    <w:tl2br w:val="nil"/>
                    <w:tr2bl w:val="nil"/>
                  </w:tcBorders>
                  <w:shd w:val="clear" w:color="auto" w:fill="auto"/>
                  <w:vAlign w:val="center"/>
                </w:tcPr>
                <w:p w14:paraId="2423AB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昼间</w:t>
                  </w:r>
                </w:p>
              </w:tc>
            </w:tr>
            <w:tr w14:paraId="1FCC77F6">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jc w:val="center"/>
              </w:trPr>
              <w:tc>
                <w:tcPr>
                  <w:tcW w:w="253" w:type="pct"/>
                  <w:vMerge w:val="continue"/>
                  <w:tcBorders>
                    <w:tl2br w:val="nil"/>
                    <w:tr2bl w:val="nil"/>
                  </w:tcBorders>
                  <w:shd w:val="clear" w:color="auto" w:fill="auto"/>
                  <w:vAlign w:val="center"/>
                </w:tcPr>
                <w:p w14:paraId="1FC4E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c>
                <w:tcPr>
                  <w:tcW w:w="388" w:type="pct"/>
                  <w:vMerge w:val="continue"/>
                  <w:tcBorders>
                    <w:tl2br w:val="nil"/>
                    <w:tr2bl w:val="nil"/>
                  </w:tcBorders>
                  <w:shd w:val="clear" w:color="auto" w:fill="auto"/>
                  <w:vAlign w:val="center"/>
                </w:tcPr>
                <w:p w14:paraId="5CC2A7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20" w:type="pct"/>
                  <w:vMerge w:val="continue"/>
                  <w:tcBorders>
                    <w:tl2br w:val="nil"/>
                    <w:tr2bl w:val="nil"/>
                  </w:tcBorders>
                  <w:shd w:val="clear" w:color="auto" w:fill="auto"/>
                  <w:vAlign w:val="center"/>
                </w:tcPr>
                <w:p w14:paraId="7AE3D0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619" w:type="pct"/>
                  <w:vMerge w:val="continue"/>
                  <w:tcBorders>
                    <w:tl2br w:val="nil"/>
                    <w:tr2bl w:val="nil"/>
                  </w:tcBorders>
                  <w:shd w:val="clear" w:color="auto" w:fill="auto"/>
                  <w:vAlign w:val="center"/>
                </w:tcPr>
                <w:p w14:paraId="0E325A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425" w:type="pct"/>
                  <w:vMerge w:val="continue"/>
                  <w:tcBorders>
                    <w:tl2br w:val="nil"/>
                    <w:tr2bl w:val="nil"/>
                  </w:tcBorders>
                  <w:shd w:val="clear" w:color="auto" w:fill="auto"/>
                  <w:vAlign w:val="center"/>
                </w:tcPr>
                <w:p w14:paraId="6D2494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5" w:type="pct"/>
                  <w:vMerge w:val="continue"/>
                  <w:tcBorders>
                    <w:tl2br w:val="nil"/>
                    <w:tr2bl w:val="nil"/>
                  </w:tcBorders>
                  <w:shd w:val="clear" w:color="auto" w:fill="auto"/>
                  <w:vAlign w:val="center"/>
                </w:tcPr>
                <w:p w14:paraId="1B1283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49" w:type="pct"/>
                  <w:vMerge w:val="continue"/>
                  <w:tcBorders>
                    <w:tl2br w:val="nil"/>
                    <w:tr2bl w:val="nil"/>
                  </w:tcBorders>
                  <w:shd w:val="clear" w:color="auto" w:fill="auto"/>
                  <w:vAlign w:val="center"/>
                </w:tcPr>
                <w:p w14:paraId="471FDE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94" w:type="pct"/>
                  <w:vMerge w:val="continue"/>
                  <w:tcBorders>
                    <w:tl2br w:val="nil"/>
                    <w:tr2bl w:val="nil"/>
                  </w:tcBorders>
                  <w:shd w:val="clear" w:color="auto" w:fill="auto"/>
                  <w:vAlign w:val="center"/>
                </w:tcPr>
                <w:p w14:paraId="15BAAD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3" w:type="pct"/>
                  <w:tcBorders>
                    <w:tl2br w:val="nil"/>
                    <w:tr2bl w:val="nil"/>
                  </w:tcBorders>
                  <w:shd w:val="clear" w:color="auto" w:fill="auto"/>
                  <w:vAlign w:val="center"/>
                </w:tcPr>
                <w:p w14:paraId="6774294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南</w:t>
                  </w:r>
                </w:p>
              </w:tc>
              <w:tc>
                <w:tcPr>
                  <w:tcW w:w="333" w:type="pct"/>
                  <w:tcBorders>
                    <w:tl2br w:val="nil"/>
                    <w:tr2bl w:val="nil"/>
                  </w:tcBorders>
                  <w:shd w:val="clear" w:color="auto" w:fill="auto"/>
                  <w:vAlign w:val="center"/>
                </w:tcPr>
                <w:p w14:paraId="3274D28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108</w:t>
                  </w:r>
                </w:p>
              </w:tc>
              <w:tc>
                <w:tcPr>
                  <w:tcW w:w="482" w:type="pct"/>
                  <w:vMerge w:val="continue"/>
                  <w:tcBorders>
                    <w:tl2br w:val="nil"/>
                    <w:tr2bl w:val="nil"/>
                  </w:tcBorders>
                  <w:shd w:val="clear" w:color="auto" w:fill="auto"/>
                  <w:vAlign w:val="center"/>
                </w:tcPr>
                <w:p w14:paraId="071A85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1E5991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0D567E4F">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jc w:val="center"/>
              </w:trPr>
              <w:tc>
                <w:tcPr>
                  <w:tcW w:w="253" w:type="pct"/>
                  <w:vMerge w:val="continue"/>
                  <w:tcBorders>
                    <w:tl2br w:val="nil"/>
                    <w:tr2bl w:val="nil"/>
                  </w:tcBorders>
                  <w:shd w:val="clear" w:color="auto" w:fill="auto"/>
                  <w:vAlign w:val="center"/>
                </w:tcPr>
                <w:p w14:paraId="116C83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c>
                <w:tcPr>
                  <w:tcW w:w="388" w:type="pct"/>
                  <w:vMerge w:val="continue"/>
                  <w:tcBorders>
                    <w:tl2br w:val="nil"/>
                    <w:tr2bl w:val="nil"/>
                  </w:tcBorders>
                  <w:shd w:val="clear" w:color="auto" w:fill="auto"/>
                  <w:vAlign w:val="center"/>
                </w:tcPr>
                <w:p w14:paraId="65AE4F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20" w:type="pct"/>
                  <w:vMerge w:val="continue"/>
                  <w:tcBorders>
                    <w:tl2br w:val="nil"/>
                    <w:tr2bl w:val="nil"/>
                  </w:tcBorders>
                  <w:shd w:val="clear" w:color="auto" w:fill="auto"/>
                  <w:vAlign w:val="center"/>
                </w:tcPr>
                <w:p w14:paraId="0F2EC0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619" w:type="pct"/>
                  <w:vMerge w:val="continue"/>
                  <w:tcBorders>
                    <w:tl2br w:val="nil"/>
                    <w:tr2bl w:val="nil"/>
                  </w:tcBorders>
                  <w:shd w:val="clear" w:color="auto" w:fill="auto"/>
                  <w:vAlign w:val="center"/>
                </w:tcPr>
                <w:p w14:paraId="1A46D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425" w:type="pct"/>
                  <w:vMerge w:val="continue"/>
                  <w:tcBorders>
                    <w:tl2br w:val="nil"/>
                    <w:tr2bl w:val="nil"/>
                  </w:tcBorders>
                  <w:shd w:val="clear" w:color="auto" w:fill="auto"/>
                  <w:vAlign w:val="center"/>
                </w:tcPr>
                <w:p w14:paraId="37E5A7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5" w:type="pct"/>
                  <w:vMerge w:val="continue"/>
                  <w:tcBorders>
                    <w:tl2br w:val="nil"/>
                    <w:tr2bl w:val="nil"/>
                  </w:tcBorders>
                  <w:shd w:val="clear" w:color="auto" w:fill="auto"/>
                  <w:vAlign w:val="center"/>
                </w:tcPr>
                <w:p w14:paraId="70DC17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49" w:type="pct"/>
                  <w:vMerge w:val="continue"/>
                  <w:tcBorders>
                    <w:tl2br w:val="nil"/>
                    <w:tr2bl w:val="nil"/>
                  </w:tcBorders>
                  <w:shd w:val="clear" w:color="auto" w:fill="auto"/>
                  <w:vAlign w:val="center"/>
                </w:tcPr>
                <w:p w14:paraId="77088C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94" w:type="pct"/>
                  <w:vMerge w:val="continue"/>
                  <w:tcBorders>
                    <w:tl2br w:val="nil"/>
                    <w:tr2bl w:val="nil"/>
                  </w:tcBorders>
                  <w:shd w:val="clear" w:color="auto" w:fill="auto"/>
                  <w:vAlign w:val="center"/>
                </w:tcPr>
                <w:p w14:paraId="125C03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3" w:type="pct"/>
                  <w:tcBorders>
                    <w:tl2br w:val="nil"/>
                    <w:tr2bl w:val="nil"/>
                  </w:tcBorders>
                  <w:shd w:val="clear" w:color="auto" w:fill="auto"/>
                  <w:vAlign w:val="center"/>
                </w:tcPr>
                <w:p w14:paraId="483B2003">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西</w:t>
                  </w:r>
                </w:p>
              </w:tc>
              <w:tc>
                <w:tcPr>
                  <w:tcW w:w="333" w:type="pct"/>
                  <w:tcBorders>
                    <w:tl2br w:val="nil"/>
                    <w:tr2bl w:val="nil"/>
                  </w:tcBorders>
                  <w:shd w:val="clear" w:color="auto" w:fill="auto"/>
                  <w:vAlign w:val="center"/>
                </w:tcPr>
                <w:p w14:paraId="3D6C74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250</w:t>
                  </w:r>
                </w:p>
              </w:tc>
              <w:tc>
                <w:tcPr>
                  <w:tcW w:w="482" w:type="pct"/>
                  <w:vMerge w:val="continue"/>
                  <w:tcBorders>
                    <w:tl2br w:val="nil"/>
                    <w:tr2bl w:val="nil"/>
                  </w:tcBorders>
                  <w:shd w:val="clear" w:color="auto" w:fill="auto"/>
                  <w:vAlign w:val="center"/>
                </w:tcPr>
                <w:p w14:paraId="2252A5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46AA98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2139AC98">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jc w:val="center"/>
              </w:trPr>
              <w:tc>
                <w:tcPr>
                  <w:tcW w:w="253" w:type="pct"/>
                  <w:vMerge w:val="continue"/>
                  <w:tcBorders>
                    <w:tl2br w:val="nil"/>
                    <w:tr2bl w:val="nil"/>
                  </w:tcBorders>
                  <w:shd w:val="clear" w:color="auto" w:fill="auto"/>
                  <w:vAlign w:val="center"/>
                </w:tcPr>
                <w:p w14:paraId="4E721F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c>
                <w:tcPr>
                  <w:tcW w:w="388" w:type="pct"/>
                  <w:vMerge w:val="continue"/>
                  <w:tcBorders>
                    <w:tl2br w:val="nil"/>
                    <w:tr2bl w:val="nil"/>
                  </w:tcBorders>
                  <w:shd w:val="clear" w:color="auto" w:fill="auto"/>
                  <w:vAlign w:val="center"/>
                </w:tcPr>
                <w:p w14:paraId="00FE9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20" w:type="pct"/>
                  <w:vMerge w:val="continue"/>
                  <w:tcBorders>
                    <w:tl2br w:val="nil"/>
                    <w:tr2bl w:val="nil"/>
                  </w:tcBorders>
                  <w:shd w:val="clear" w:color="auto" w:fill="auto"/>
                  <w:vAlign w:val="center"/>
                </w:tcPr>
                <w:p w14:paraId="45EC13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619" w:type="pct"/>
                  <w:vMerge w:val="continue"/>
                  <w:tcBorders>
                    <w:tl2br w:val="nil"/>
                    <w:tr2bl w:val="nil"/>
                  </w:tcBorders>
                  <w:shd w:val="clear" w:color="auto" w:fill="auto"/>
                  <w:vAlign w:val="center"/>
                </w:tcPr>
                <w:p w14:paraId="490B1F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425" w:type="pct"/>
                  <w:vMerge w:val="continue"/>
                  <w:tcBorders>
                    <w:tl2br w:val="nil"/>
                    <w:tr2bl w:val="nil"/>
                  </w:tcBorders>
                  <w:shd w:val="clear" w:color="auto" w:fill="auto"/>
                  <w:vAlign w:val="center"/>
                </w:tcPr>
                <w:p w14:paraId="3203EC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5" w:type="pct"/>
                  <w:vMerge w:val="continue"/>
                  <w:tcBorders>
                    <w:tl2br w:val="nil"/>
                    <w:tr2bl w:val="nil"/>
                  </w:tcBorders>
                  <w:shd w:val="clear" w:color="auto" w:fill="auto"/>
                  <w:vAlign w:val="center"/>
                </w:tcPr>
                <w:p w14:paraId="61288B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49" w:type="pct"/>
                  <w:vMerge w:val="continue"/>
                  <w:tcBorders>
                    <w:tl2br w:val="nil"/>
                    <w:tr2bl w:val="nil"/>
                  </w:tcBorders>
                  <w:shd w:val="clear" w:color="auto" w:fill="auto"/>
                  <w:vAlign w:val="center"/>
                </w:tcPr>
                <w:p w14:paraId="783FAB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594" w:type="pct"/>
                  <w:vMerge w:val="continue"/>
                  <w:tcBorders>
                    <w:tl2br w:val="nil"/>
                    <w:tr2bl w:val="nil"/>
                  </w:tcBorders>
                  <w:shd w:val="clear" w:color="auto" w:fill="auto"/>
                  <w:vAlign w:val="center"/>
                </w:tcPr>
                <w:p w14:paraId="43E89C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p>
              </w:tc>
              <w:tc>
                <w:tcPr>
                  <w:tcW w:w="323" w:type="pct"/>
                  <w:tcBorders>
                    <w:tl2br w:val="nil"/>
                    <w:tr2bl w:val="nil"/>
                  </w:tcBorders>
                  <w:shd w:val="clear" w:color="auto" w:fill="auto"/>
                  <w:vAlign w:val="center"/>
                </w:tcPr>
                <w:p w14:paraId="40F53D5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北</w:t>
                  </w:r>
                </w:p>
              </w:tc>
              <w:tc>
                <w:tcPr>
                  <w:tcW w:w="333" w:type="pct"/>
                  <w:tcBorders>
                    <w:tl2br w:val="nil"/>
                    <w:tr2bl w:val="nil"/>
                  </w:tcBorders>
                  <w:shd w:val="clear" w:color="auto" w:fill="auto"/>
                  <w:vAlign w:val="center"/>
                </w:tcPr>
                <w:p w14:paraId="4DA1071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110</w:t>
                  </w:r>
                </w:p>
              </w:tc>
              <w:tc>
                <w:tcPr>
                  <w:tcW w:w="482" w:type="pct"/>
                  <w:vMerge w:val="continue"/>
                  <w:tcBorders>
                    <w:tl2br w:val="nil"/>
                    <w:tr2bl w:val="nil"/>
                  </w:tcBorders>
                  <w:shd w:val="clear" w:color="auto" w:fill="auto"/>
                  <w:vAlign w:val="center"/>
                </w:tcPr>
                <w:p w14:paraId="29035E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19A143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14C78938">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55" w:hRule="atLeast"/>
                <w:jc w:val="center"/>
              </w:trPr>
              <w:tc>
                <w:tcPr>
                  <w:tcW w:w="253" w:type="pct"/>
                  <w:vMerge w:val="restart"/>
                  <w:tcBorders>
                    <w:tl2br w:val="nil"/>
                    <w:tr2bl w:val="nil"/>
                  </w:tcBorders>
                  <w:shd w:val="clear" w:color="auto" w:fill="auto"/>
                  <w:vAlign w:val="center"/>
                </w:tcPr>
                <w:p w14:paraId="43A10E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4</w:t>
                  </w:r>
                </w:p>
              </w:tc>
              <w:tc>
                <w:tcPr>
                  <w:tcW w:w="388" w:type="pct"/>
                  <w:vMerge w:val="restart"/>
                  <w:tcBorders>
                    <w:tl2br w:val="nil"/>
                    <w:tr2bl w:val="nil"/>
                  </w:tcBorders>
                  <w:shd w:val="clear" w:color="auto" w:fill="auto"/>
                  <w:vAlign w:val="center"/>
                </w:tcPr>
                <w:p w14:paraId="06DCFC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color w:val="auto"/>
                      <w:kern w:val="0"/>
                      <w:sz w:val="21"/>
                      <w:szCs w:val="21"/>
                      <w:highlight w:val="none"/>
                      <w:lang w:bidi="ar"/>
                    </w:rPr>
                  </w:pPr>
                  <w:r>
                    <w:rPr>
                      <w:rFonts w:hint="eastAsia" w:cs="Times New Roman"/>
                      <w:i w:val="0"/>
                      <w:iCs w:val="0"/>
                      <w:color w:val="auto"/>
                      <w:sz w:val="21"/>
                      <w:szCs w:val="21"/>
                      <w:highlight w:val="none"/>
                      <w:u w:val="none"/>
                      <w:lang w:val="en-US" w:eastAsia="zh-CN"/>
                    </w:rPr>
                    <w:t>FQ11配套风机</w:t>
                  </w:r>
                </w:p>
              </w:tc>
              <w:tc>
                <w:tcPr>
                  <w:tcW w:w="520" w:type="pct"/>
                  <w:vMerge w:val="restart"/>
                  <w:tcBorders>
                    <w:tl2br w:val="nil"/>
                    <w:tr2bl w:val="nil"/>
                  </w:tcBorders>
                  <w:shd w:val="clear" w:color="auto" w:fill="auto"/>
                  <w:vAlign w:val="center"/>
                </w:tcPr>
                <w:p w14:paraId="3E770CA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16000m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619" w:type="pct"/>
                  <w:vMerge w:val="restart"/>
                  <w:tcBorders>
                    <w:tl2br w:val="nil"/>
                    <w:tr2bl w:val="nil"/>
                  </w:tcBorders>
                  <w:shd w:val="clear" w:color="auto" w:fill="auto"/>
                  <w:vAlign w:val="center"/>
                </w:tcPr>
                <w:p w14:paraId="602993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425" w:type="pct"/>
                  <w:vMerge w:val="restart"/>
                  <w:tcBorders>
                    <w:tl2br w:val="nil"/>
                    <w:tr2bl w:val="nil"/>
                  </w:tcBorders>
                  <w:shd w:val="clear" w:color="auto" w:fill="auto"/>
                  <w:vAlign w:val="center"/>
                </w:tcPr>
                <w:p w14:paraId="54ED28E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134</w:t>
                  </w:r>
                </w:p>
              </w:tc>
              <w:tc>
                <w:tcPr>
                  <w:tcW w:w="325" w:type="pct"/>
                  <w:vMerge w:val="restart"/>
                  <w:tcBorders>
                    <w:tl2br w:val="nil"/>
                    <w:tr2bl w:val="nil"/>
                  </w:tcBorders>
                  <w:shd w:val="clear" w:color="auto" w:fill="auto"/>
                  <w:vAlign w:val="center"/>
                </w:tcPr>
                <w:p w14:paraId="7B9800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108</w:t>
                  </w:r>
                </w:p>
              </w:tc>
              <w:tc>
                <w:tcPr>
                  <w:tcW w:w="349" w:type="pct"/>
                  <w:vMerge w:val="restart"/>
                  <w:tcBorders>
                    <w:tl2br w:val="nil"/>
                    <w:tr2bl w:val="nil"/>
                  </w:tcBorders>
                  <w:shd w:val="clear" w:color="auto" w:fill="auto"/>
                  <w:vAlign w:val="center"/>
                </w:tcPr>
                <w:p w14:paraId="62CAA80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22</w:t>
                  </w:r>
                </w:p>
              </w:tc>
              <w:tc>
                <w:tcPr>
                  <w:tcW w:w="594" w:type="pct"/>
                  <w:vMerge w:val="restart"/>
                  <w:tcBorders>
                    <w:tl2br w:val="nil"/>
                    <w:tr2bl w:val="nil"/>
                  </w:tcBorders>
                  <w:shd w:val="clear" w:color="auto" w:fill="auto"/>
                  <w:vAlign w:val="center"/>
                </w:tcPr>
                <w:p w14:paraId="4B8B96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85</w:t>
                  </w:r>
                </w:p>
              </w:tc>
              <w:tc>
                <w:tcPr>
                  <w:tcW w:w="323" w:type="pct"/>
                  <w:tcBorders>
                    <w:bottom w:val="single" w:color="auto" w:sz="4" w:space="0"/>
                    <w:tl2br w:val="nil"/>
                    <w:tr2bl w:val="nil"/>
                  </w:tcBorders>
                  <w:shd w:val="clear" w:color="auto" w:fill="auto"/>
                  <w:vAlign w:val="center"/>
                </w:tcPr>
                <w:p w14:paraId="6BAF820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东</w:t>
                  </w:r>
                </w:p>
              </w:tc>
              <w:tc>
                <w:tcPr>
                  <w:tcW w:w="333" w:type="pct"/>
                  <w:tcBorders>
                    <w:bottom w:val="single" w:color="auto" w:sz="4" w:space="0"/>
                    <w:tl2br w:val="nil"/>
                    <w:tr2bl w:val="nil"/>
                  </w:tcBorders>
                  <w:shd w:val="clear" w:color="auto" w:fill="auto"/>
                  <w:vAlign w:val="center"/>
                </w:tcPr>
                <w:p w14:paraId="0EE676B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230</w:t>
                  </w:r>
                </w:p>
              </w:tc>
              <w:tc>
                <w:tcPr>
                  <w:tcW w:w="482" w:type="pct"/>
                  <w:vMerge w:val="continue"/>
                  <w:tcBorders>
                    <w:tl2br w:val="nil"/>
                    <w:tr2bl w:val="nil"/>
                  </w:tcBorders>
                  <w:shd w:val="clear" w:color="auto" w:fill="auto"/>
                  <w:vAlign w:val="center"/>
                </w:tcPr>
                <w:p w14:paraId="578C99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restart"/>
                  <w:tcBorders>
                    <w:tl2br w:val="nil"/>
                    <w:tr2bl w:val="nil"/>
                  </w:tcBorders>
                  <w:shd w:val="clear" w:color="auto" w:fill="auto"/>
                  <w:vAlign w:val="center"/>
                </w:tcPr>
                <w:p w14:paraId="4F6CB2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昼间</w:t>
                  </w:r>
                </w:p>
              </w:tc>
            </w:tr>
            <w:tr w14:paraId="3CB8896D">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89" w:hRule="atLeast"/>
                <w:jc w:val="center"/>
              </w:trPr>
              <w:tc>
                <w:tcPr>
                  <w:tcW w:w="253" w:type="pct"/>
                  <w:vMerge w:val="continue"/>
                  <w:tcBorders>
                    <w:tl2br w:val="nil"/>
                    <w:tr2bl w:val="nil"/>
                  </w:tcBorders>
                  <w:shd w:val="clear" w:color="auto" w:fill="auto"/>
                  <w:vAlign w:val="center"/>
                </w:tcPr>
                <w:p w14:paraId="49F0EF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5022E3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11B383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741E14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19D04D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325" w:type="pct"/>
                  <w:vMerge w:val="continue"/>
                  <w:tcBorders>
                    <w:tl2br w:val="nil"/>
                    <w:tr2bl w:val="nil"/>
                  </w:tcBorders>
                  <w:shd w:val="clear" w:color="auto" w:fill="auto"/>
                  <w:vAlign w:val="center"/>
                </w:tcPr>
                <w:p w14:paraId="7F02258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349" w:type="pct"/>
                  <w:vMerge w:val="continue"/>
                  <w:tcBorders>
                    <w:tl2br w:val="nil"/>
                    <w:tr2bl w:val="nil"/>
                  </w:tcBorders>
                  <w:shd w:val="clear" w:color="auto" w:fill="auto"/>
                  <w:vAlign w:val="center"/>
                </w:tcPr>
                <w:p w14:paraId="037006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94" w:type="pct"/>
                  <w:vMerge w:val="continue"/>
                  <w:tcBorders>
                    <w:tl2br w:val="nil"/>
                    <w:tr2bl w:val="nil"/>
                  </w:tcBorders>
                  <w:shd w:val="clear" w:color="auto" w:fill="auto"/>
                  <w:vAlign w:val="center"/>
                </w:tcPr>
                <w:p w14:paraId="61887C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bottom w:val="single" w:color="auto" w:sz="4" w:space="0"/>
                    <w:tl2br w:val="nil"/>
                    <w:tr2bl w:val="nil"/>
                  </w:tcBorders>
                  <w:shd w:val="clear" w:color="auto" w:fill="auto"/>
                  <w:vAlign w:val="center"/>
                </w:tcPr>
                <w:p w14:paraId="372401D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南</w:t>
                  </w:r>
                </w:p>
              </w:tc>
              <w:tc>
                <w:tcPr>
                  <w:tcW w:w="333" w:type="pct"/>
                  <w:tcBorders>
                    <w:top w:val="single" w:color="auto" w:sz="4" w:space="0"/>
                    <w:bottom w:val="single" w:color="auto" w:sz="4" w:space="0"/>
                    <w:tl2br w:val="nil"/>
                    <w:tr2bl w:val="nil"/>
                  </w:tcBorders>
                  <w:shd w:val="clear" w:color="auto" w:fill="auto"/>
                  <w:vAlign w:val="center"/>
                </w:tcPr>
                <w:p w14:paraId="3399F3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108</w:t>
                  </w:r>
                </w:p>
              </w:tc>
              <w:tc>
                <w:tcPr>
                  <w:tcW w:w="482" w:type="pct"/>
                  <w:vMerge w:val="continue"/>
                  <w:tcBorders>
                    <w:tl2br w:val="nil"/>
                    <w:tr2bl w:val="nil"/>
                  </w:tcBorders>
                  <w:shd w:val="clear" w:color="auto" w:fill="auto"/>
                  <w:vAlign w:val="center"/>
                </w:tcPr>
                <w:p w14:paraId="0AEBDB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1DEB0C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15194E6F">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77" w:hRule="atLeast"/>
                <w:jc w:val="center"/>
              </w:trPr>
              <w:tc>
                <w:tcPr>
                  <w:tcW w:w="253" w:type="pct"/>
                  <w:vMerge w:val="continue"/>
                  <w:tcBorders>
                    <w:tl2br w:val="nil"/>
                    <w:tr2bl w:val="nil"/>
                  </w:tcBorders>
                  <w:shd w:val="clear" w:color="auto" w:fill="auto"/>
                  <w:vAlign w:val="center"/>
                </w:tcPr>
                <w:p w14:paraId="6A0C29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630764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7052534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7AC24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2674F22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325" w:type="pct"/>
                  <w:vMerge w:val="continue"/>
                  <w:tcBorders>
                    <w:tl2br w:val="nil"/>
                    <w:tr2bl w:val="nil"/>
                  </w:tcBorders>
                  <w:shd w:val="clear" w:color="auto" w:fill="auto"/>
                  <w:vAlign w:val="center"/>
                </w:tcPr>
                <w:p w14:paraId="7E0FC4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349" w:type="pct"/>
                  <w:vMerge w:val="continue"/>
                  <w:tcBorders>
                    <w:tl2br w:val="nil"/>
                    <w:tr2bl w:val="nil"/>
                  </w:tcBorders>
                  <w:shd w:val="clear" w:color="auto" w:fill="auto"/>
                  <w:vAlign w:val="center"/>
                </w:tcPr>
                <w:p w14:paraId="246BD04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94" w:type="pct"/>
                  <w:vMerge w:val="continue"/>
                  <w:tcBorders>
                    <w:tl2br w:val="nil"/>
                    <w:tr2bl w:val="nil"/>
                  </w:tcBorders>
                  <w:shd w:val="clear" w:color="auto" w:fill="auto"/>
                  <w:vAlign w:val="center"/>
                </w:tcPr>
                <w:p w14:paraId="5E4632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bottom w:val="single" w:color="auto" w:sz="4" w:space="0"/>
                    <w:tl2br w:val="nil"/>
                    <w:tr2bl w:val="nil"/>
                  </w:tcBorders>
                  <w:shd w:val="clear" w:color="auto" w:fill="auto"/>
                  <w:vAlign w:val="center"/>
                </w:tcPr>
                <w:p w14:paraId="167BA71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西</w:t>
                  </w:r>
                </w:p>
              </w:tc>
              <w:tc>
                <w:tcPr>
                  <w:tcW w:w="333" w:type="pct"/>
                  <w:tcBorders>
                    <w:top w:val="single" w:color="auto" w:sz="4" w:space="0"/>
                    <w:bottom w:val="single" w:color="auto" w:sz="4" w:space="0"/>
                    <w:tl2br w:val="nil"/>
                    <w:tr2bl w:val="nil"/>
                  </w:tcBorders>
                  <w:shd w:val="clear" w:color="auto" w:fill="auto"/>
                  <w:vAlign w:val="center"/>
                </w:tcPr>
                <w:p w14:paraId="7818EAE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135</w:t>
                  </w:r>
                </w:p>
              </w:tc>
              <w:tc>
                <w:tcPr>
                  <w:tcW w:w="482" w:type="pct"/>
                  <w:vMerge w:val="continue"/>
                  <w:tcBorders>
                    <w:tl2br w:val="nil"/>
                    <w:tr2bl w:val="nil"/>
                  </w:tcBorders>
                  <w:shd w:val="clear" w:color="auto" w:fill="auto"/>
                  <w:vAlign w:val="center"/>
                </w:tcPr>
                <w:p w14:paraId="6738F6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06A03B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1C39187E">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74" w:hRule="atLeast"/>
                <w:jc w:val="center"/>
              </w:trPr>
              <w:tc>
                <w:tcPr>
                  <w:tcW w:w="253" w:type="pct"/>
                  <w:vMerge w:val="continue"/>
                  <w:tcBorders>
                    <w:tl2br w:val="nil"/>
                    <w:tr2bl w:val="nil"/>
                  </w:tcBorders>
                  <w:shd w:val="clear" w:color="auto" w:fill="auto"/>
                  <w:vAlign w:val="center"/>
                </w:tcPr>
                <w:p w14:paraId="5DC9C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3715CB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74AB61A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78DA91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500C086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325" w:type="pct"/>
                  <w:vMerge w:val="continue"/>
                  <w:tcBorders>
                    <w:tl2br w:val="nil"/>
                    <w:tr2bl w:val="nil"/>
                  </w:tcBorders>
                  <w:shd w:val="clear" w:color="auto" w:fill="auto"/>
                  <w:vAlign w:val="center"/>
                </w:tcPr>
                <w:p w14:paraId="41F818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349" w:type="pct"/>
                  <w:vMerge w:val="continue"/>
                  <w:tcBorders>
                    <w:tl2br w:val="nil"/>
                    <w:tr2bl w:val="nil"/>
                  </w:tcBorders>
                  <w:shd w:val="clear" w:color="auto" w:fill="auto"/>
                  <w:vAlign w:val="center"/>
                </w:tcPr>
                <w:p w14:paraId="221796E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94" w:type="pct"/>
                  <w:vMerge w:val="continue"/>
                  <w:tcBorders>
                    <w:tl2br w:val="nil"/>
                    <w:tr2bl w:val="nil"/>
                  </w:tcBorders>
                  <w:shd w:val="clear" w:color="auto" w:fill="auto"/>
                  <w:vAlign w:val="center"/>
                </w:tcPr>
                <w:p w14:paraId="04B19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tl2br w:val="nil"/>
                    <w:tr2bl w:val="nil"/>
                  </w:tcBorders>
                  <w:shd w:val="clear" w:color="auto" w:fill="auto"/>
                  <w:vAlign w:val="center"/>
                </w:tcPr>
                <w:p w14:paraId="7CC45A8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北</w:t>
                  </w:r>
                </w:p>
              </w:tc>
              <w:tc>
                <w:tcPr>
                  <w:tcW w:w="333" w:type="pct"/>
                  <w:tcBorders>
                    <w:top w:val="single" w:color="auto" w:sz="4" w:space="0"/>
                    <w:tl2br w:val="nil"/>
                    <w:tr2bl w:val="nil"/>
                  </w:tcBorders>
                  <w:shd w:val="clear" w:color="auto" w:fill="auto"/>
                  <w:vAlign w:val="center"/>
                </w:tcPr>
                <w:p w14:paraId="4FB1198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110</w:t>
                  </w:r>
                </w:p>
              </w:tc>
              <w:tc>
                <w:tcPr>
                  <w:tcW w:w="482" w:type="pct"/>
                  <w:vMerge w:val="continue"/>
                  <w:tcBorders>
                    <w:tl2br w:val="nil"/>
                    <w:tr2bl w:val="nil"/>
                  </w:tcBorders>
                  <w:shd w:val="clear" w:color="auto" w:fill="auto"/>
                  <w:vAlign w:val="center"/>
                </w:tcPr>
                <w:p w14:paraId="7C2CC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359C5D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0CA949DF">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44" w:hRule="atLeast"/>
                <w:jc w:val="center"/>
              </w:trPr>
              <w:tc>
                <w:tcPr>
                  <w:tcW w:w="253" w:type="pct"/>
                  <w:vMerge w:val="restart"/>
                  <w:tcBorders>
                    <w:tl2br w:val="nil"/>
                    <w:tr2bl w:val="nil"/>
                  </w:tcBorders>
                  <w:shd w:val="clear" w:color="auto" w:fill="auto"/>
                  <w:vAlign w:val="center"/>
                </w:tcPr>
                <w:p w14:paraId="3D7FD7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5</w:t>
                  </w:r>
                </w:p>
              </w:tc>
              <w:tc>
                <w:tcPr>
                  <w:tcW w:w="388" w:type="pct"/>
                  <w:vMerge w:val="restart"/>
                  <w:tcBorders>
                    <w:tl2br w:val="nil"/>
                    <w:tr2bl w:val="nil"/>
                  </w:tcBorders>
                  <w:shd w:val="clear" w:color="auto" w:fill="auto"/>
                  <w:vAlign w:val="center"/>
                </w:tcPr>
                <w:p w14:paraId="563470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color w:val="auto"/>
                      <w:kern w:val="0"/>
                      <w:sz w:val="21"/>
                      <w:szCs w:val="21"/>
                      <w:highlight w:val="none"/>
                      <w:lang w:bidi="ar"/>
                    </w:rPr>
                  </w:pPr>
                  <w:r>
                    <w:rPr>
                      <w:rFonts w:hint="eastAsia" w:cs="Times New Roman"/>
                      <w:i w:val="0"/>
                      <w:iCs w:val="0"/>
                      <w:color w:val="auto"/>
                      <w:sz w:val="21"/>
                      <w:szCs w:val="21"/>
                      <w:highlight w:val="none"/>
                      <w:u w:val="none"/>
                      <w:lang w:val="en-US" w:eastAsia="zh-CN"/>
                    </w:rPr>
                    <w:t>FQ12配套风机</w:t>
                  </w:r>
                </w:p>
              </w:tc>
              <w:tc>
                <w:tcPr>
                  <w:tcW w:w="520" w:type="pct"/>
                  <w:vMerge w:val="restart"/>
                  <w:tcBorders>
                    <w:tl2br w:val="nil"/>
                    <w:tr2bl w:val="nil"/>
                  </w:tcBorders>
                  <w:shd w:val="clear" w:color="auto" w:fill="auto"/>
                  <w:vAlign w:val="center"/>
                </w:tcPr>
                <w:p w14:paraId="3504D5C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16000m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619" w:type="pct"/>
                  <w:vMerge w:val="restart"/>
                  <w:tcBorders>
                    <w:tl2br w:val="nil"/>
                    <w:tr2bl w:val="nil"/>
                  </w:tcBorders>
                  <w:shd w:val="clear" w:color="auto" w:fill="auto"/>
                  <w:vAlign w:val="center"/>
                </w:tcPr>
                <w:p w14:paraId="1F6F96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425" w:type="pct"/>
                  <w:vMerge w:val="restart"/>
                  <w:tcBorders>
                    <w:tl2br w:val="nil"/>
                    <w:tr2bl w:val="nil"/>
                  </w:tcBorders>
                  <w:shd w:val="clear" w:color="auto" w:fill="auto"/>
                  <w:vAlign w:val="center"/>
                </w:tcPr>
                <w:p w14:paraId="432AB7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rPr>
                    <w:t>305</w:t>
                  </w:r>
                </w:p>
              </w:tc>
              <w:tc>
                <w:tcPr>
                  <w:tcW w:w="325" w:type="pct"/>
                  <w:vMerge w:val="restart"/>
                  <w:tcBorders>
                    <w:tl2br w:val="nil"/>
                    <w:tr2bl w:val="nil"/>
                  </w:tcBorders>
                  <w:shd w:val="clear" w:color="auto" w:fill="auto"/>
                  <w:vAlign w:val="center"/>
                </w:tcPr>
                <w:p w14:paraId="659CD67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rPr>
                    <w:t>52</w:t>
                  </w:r>
                </w:p>
              </w:tc>
              <w:tc>
                <w:tcPr>
                  <w:tcW w:w="349" w:type="pct"/>
                  <w:vMerge w:val="restart"/>
                  <w:tcBorders>
                    <w:tl2br w:val="nil"/>
                    <w:tr2bl w:val="nil"/>
                  </w:tcBorders>
                  <w:shd w:val="clear" w:color="auto" w:fill="auto"/>
                  <w:vAlign w:val="center"/>
                </w:tcPr>
                <w:p w14:paraId="2B21E9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bidi="ar"/>
                    </w:rPr>
                    <w:t>22</w:t>
                  </w:r>
                </w:p>
              </w:tc>
              <w:tc>
                <w:tcPr>
                  <w:tcW w:w="594" w:type="pct"/>
                  <w:vMerge w:val="restart"/>
                  <w:tcBorders>
                    <w:tl2br w:val="nil"/>
                    <w:tr2bl w:val="nil"/>
                  </w:tcBorders>
                  <w:shd w:val="clear" w:color="auto" w:fill="auto"/>
                  <w:vAlign w:val="center"/>
                </w:tcPr>
                <w:p w14:paraId="7541D9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85</w:t>
                  </w:r>
                </w:p>
              </w:tc>
              <w:tc>
                <w:tcPr>
                  <w:tcW w:w="323" w:type="pct"/>
                  <w:tcBorders>
                    <w:bottom w:val="single" w:color="auto" w:sz="4" w:space="0"/>
                    <w:tl2br w:val="nil"/>
                    <w:tr2bl w:val="nil"/>
                  </w:tcBorders>
                  <w:shd w:val="clear" w:color="auto" w:fill="auto"/>
                  <w:vAlign w:val="center"/>
                </w:tcPr>
                <w:p w14:paraId="01EE1FB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东</w:t>
                  </w:r>
                </w:p>
              </w:tc>
              <w:tc>
                <w:tcPr>
                  <w:tcW w:w="333" w:type="pct"/>
                  <w:tcBorders>
                    <w:bottom w:val="single" w:color="auto" w:sz="4" w:space="0"/>
                    <w:tl2br w:val="nil"/>
                    <w:tr2bl w:val="nil"/>
                  </w:tcBorders>
                  <w:shd w:val="clear" w:color="auto" w:fill="auto"/>
                  <w:vAlign w:val="center"/>
                </w:tcPr>
                <w:p w14:paraId="139FC00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rPr>
                    <w:t>73</w:t>
                  </w:r>
                </w:p>
              </w:tc>
              <w:tc>
                <w:tcPr>
                  <w:tcW w:w="482" w:type="pct"/>
                  <w:vMerge w:val="continue"/>
                  <w:tcBorders>
                    <w:tl2br w:val="nil"/>
                    <w:tr2bl w:val="nil"/>
                  </w:tcBorders>
                  <w:shd w:val="clear" w:color="auto" w:fill="auto"/>
                  <w:vAlign w:val="center"/>
                </w:tcPr>
                <w:p w14:paraId="41BB8B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restart"/>
                  <w:tcBorders>
                    <w:tl2br w:val="nil"/>
                    <w:tr2bl w:val="nil"/>
                  </w:tcBorders>
                  <w:shd w:val="clear" w:color="auto" w:fill="auto"/>
                  <w:vAlign w:val="center"/>
                </w:tcPr>
                <w:p w14:paraId="0214BB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昼间</w:t>
                  </w:r>
                </w:p>
              </w:tc>
            </w:tr>
            <w:tr w14:paraId="2ACE4E36">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25" w:hRule="atLeast"/>
                <w:jc w:val="center"/>
              </w:trPr>
              <w:tc>
                <w:tcPr>
                  <w:tcW w:w="253" w:type="pct"/>
                  <w:vMerge w:val="continue"/>
                  <w:tcBorders>
                    <w:tl2br w:val="nil"/>
                    <w:tr2bl w:val="nil"/>
                  </w:tcBorders>
                  <w:shd w:val="clear" w:color="auto" w:fill="auto"/>
                  <w:vAlign w:val="center"/>
                </w:tcPr>
                <w:p w14:paraId="0315A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539696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63F47C8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1746D6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6AD6A95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2"/>
                      <w:sz w:val="21"/>
                      <w:szCs w:val="21"/>
                      <w:highlight w:val="none"/>
                      <w:lang w:val="en-US" w:eastAsia="zh-CN"/>
                    </w:rPr>
                  </w:pPr>
                </w:p>
              </w:tc>
              <w:tc>
                <w:tcPr>
                  <w:tcW w:w="325" w:type="pct"/>
                  <w:vMerge w:val="continue"/>
                  <w:tcBorders>
                    <w:tl2br w:val="nil"/>
                    <w:tr2bl w:val="nil"/>
                  </w:tcBorders>
                  <w:shd w:val="clear" w:color="auto" w:fill="auto"/>
                  <w:vAlign w:val="center"/>
                </w:tcPr>
                <w:p w14:paraId="0CD98DD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2"/>
                      <w:sz w:val="21"/>
                      <w:szCs w:val="21"/>
                      <w:highlight w:val="none"/>
                      <w:lang w:val="en-US" w:eastAsia="zh-CN"/>
                    </w:rPr>
                  </w:pPr>
                </w:p>
              </w:tc>
              <w:tc>
                <w:tcPr>
                  <w:tcW w:w="349" w:type="pct"/>
                  <w:vMerge w:val="continue"/>
                  <w:tcBorders>
                    <w:tl2br w:val="nil"/>
                    <w:tr2bl w:val="nil"/>
                  </w:tcBorders>
                  <w:shd w:val="clear" w:color="auto" w:fill="auto"/>
                  <w:vAlign w:val="center"/>
                </w:tcPr>
                <w:p w14:paraId="0F6DBDF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594" w:type="pct"/>
                  <w:vMerge w:val="continue"/>
                  <w:tcBorders>
                    <w:tl2br w:val="nil"/>
                    <w:tr2bl w:val="nil"/>
                  </w:tcBorders>
                  <w:shd w:val="clear" w:color="auto" w:fill="auto"/>
                  <w:vAlign w:val="center"/>
                </w:tcPr>
                <w:p w14:paraId="048070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bottom w:val="single" w:color="auto" w:sz="4" w:space="0"/>
                    <w:tl2br w:val="nil"/>
                    <w:tr2bl w:val="nil"/>
                  </w:tcBorders>
                  <w:shd w:val="clear" w:color="auto" w:fill="auto"/>
                  <w:vAlign w:val="center"/>
                </w:tcPr>
                <w:p w14:paraId="60F7E2B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南</w:t>
                  </w:r>
                </w:p>
              </w:tc>
              <w:tc>
                <w:tcPr>
                  <w:tcW w:w="333" w:type="pct"/>
                  <w:tcBorders>
                    <w:top w:val="single" w:color="auto" w:sz="4" w:space="0"/>
                    <w:bottom w:val="single" w:color="auto" w:sz="4" w:space="0"/>
                    <w:tl2br w:val="nil"/>
                    <w:tr2bl w:val="nil"/>
                  </w:tcBorders>
                  <w:shd w:val="clear" w:color="auto" w:fill="auto"/>
                  <w:vAlign w:val="center"/>
                </w:tcPr>
                <w:p w14:paraId="079A25B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rPr>
                    <w:t>52</w:t>
                  </w:r>
                </w:p>
              </w:tc>
              <w:tc>
                <w:tcPr>
                  <w:tcW w:w="482" w:type="pct"/>
                  <w:vMerge w:val="continue"/>
                  <w:tcBorders>
                    <w:tl2br w:val="nil"/>
                    <w:tr2bl w:val="nil"/>
                  </w:tcBorders>
                  <w:shd w:val="clear" w:color="auto" w:fill="auto"/>
                  <w:vAlign w:val="center"/>
                </w:tcPr>
                <w:p w14:paraId="151967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587EF6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7DD31F65">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14" w:hRule="atLeast"/>
                <w:jc w:val="center"/>
              </w:trPr>
              <w:tc>
                <w:tcPr>
                  <w:tcW w:w="253" w:type="pct"/>
                  <w:vMerge w:val="continue"/>
                  <w:tcBorders>
                    <w:tl2br w:val="nil"/>
                    <w:tr2bl w:val="nil"/>
                  </w:tcBorders>
                  <w:shd w:val="clear" w:color="auto" w:fill="auto"/>
                  <w:vAlign w:val="center"/>
                </w:tcPr>
                <w:p w14:paraId="2687EB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1073B5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2BA71F5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304F89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137C802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2"/>
                      <w:sz w:val="21"/>
                      <w:szCs w:val="21"/>
                      <w:highlight w:val="none"/>
                      <w:lang w:val="en-US" w:eastAsia="zh-CN"/>
                    </w:rPr>
                  </w:pPr>
                </w:p>
              </w:tc>
              <w:tc>
                <w:tcPr>
                  <w:tcW w:w="325" w:type="pct"/>
                  <w:vMerge w:val="continue"/>
                  <w:tcBorders>
                    <w:tl2br w:val="nil"/>
                    <w:tr2bl w:val="nil"/>
                  </w:tcBorders>
                  <w:shd w:val="clear" w:color="auto" w:fill="auto"/>
                  <w:vAlign w:val="center"/>
                </w:tcPr>
                <w:p w14:paraId="4635C33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2"/>
                      <w:sz w:val="21"/>
                      <w:szCs w:val="21"/>
                      <w:highlight w:val="none"/>
                      <w:lang w:val="en-US" w:eastAsia="zh-CN"/>
                    </w:rPr>
                  </w:pPr>
                </w:p>
              </w:tc>
              <w:tc>
                <w:tcPr>
                  <w:tcW w:w="349" w:type="pct"/>
                  <w:vMerge w:val="continue"/>
                  <w:tcBorders>
                    <w:tl2br w:val="nil"/>
                    <w:tr2bl w:val="nil"/>
                  </w:tcBorders>
                  <w:shd w:val="clear" w:color="auto" w:fill="auto"/>
                  <w:vAlign w:val="center"/>
                </w:tcPr>
                <w:p w14:paraId="685B7D0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594" w:type="pct"/>
                  <w:vMerge w:val="continue"/>
                  <w:tcBorders>
                    <w:tl2br w:val="nil"/>
                    <w:tr2bl w:val="nil"/>
                  </w:tcBorders>
                  <w:shd w:val="clear" w:color="auto" w:fill="auto"/>
                  <w:vAlign w:val="center"/>
                </w:tcPr>
                <w:p w14:paraId="15ADDD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bottom w:val="single" w:color="auto" w:sz="4" w:space="0"/>
                    <w:tl2br w:val="nil"/>
                    <w:tr2bl w:val="nil"/>
                  </w:tcBorders>
                  <w:shd w:val="clear" w:color="auto" w:fill="auto"/>
                  <w:vAlign w:val="center"/>
                </w:tcPr>
                <w:p w14:paraId="3066DE1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西</w:t>
                  </w:r>
                </w:p>
              </w:tc>
              <w:tc>
                <w:tcPr>
                  <w:tcW w:w="333" w:type="pct"/>
                  <w:tcBorders>
                    <w:top w:val="single" w:color="auto" w:sz="4" w:space="0"/>
                    <w:bottom w:val="single" w:color="auto" w:sz="4" w:space="0"/>
                    <w:tl2br w:val="nil"/>
                    <w:tr2bl w:val="nil"/>
                  </w:tcBorders>
                  <w:shd w:val="clear" w:color="auto" w:fill="auto"/>
                  <w:vAlign w:val="center"/>
                </w:tcPr>
                <w:p w14:paraId="0A0E79D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rPr>
                    <w:t>305</w:t>
                  </w:r>
                </w:p>
              </w:tc>
              <w:tc>
                <w:tcPr>
                  <w:tcW w:w="482" w:type="pct"/>
                  <w:vMerge w:val="continue"/>
                  <w:tcBorders>
                    <w:tl2br w:val="nil"/>
                    <w:tr2bl w:val="nil"/>
                  </w:tcBorders>
                  <w:shd w:val="clear" w:color="auto" w:fill="auto"/>
                  <w:vAlign w:val="center"/>
                </w:tcPr>
                <w:p w14:paraId="04269A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2C37D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7EFDECF3">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37" w:hRule="atLeast"/>
                <w:jc w:val="center"/>
              </w:trPr>
              <w:tc>
                <w:tcPr>
                  <w:tcW w:w="253" w:type="pct"/>
                  <w:vMerge w:val="continue"/>
                  <w:tcBorders>
                    <w:tl2br w:val="nil"/>
                    <w:tr2bl w:val="nil"/>
                  </w:tcBorders>
                  <w:shd w:val="clear" w:color="auto" w:fill="auto"/>
                  <w:vAlign w:val="center"/>
                </w:tcPr>
                <w:p w14:paraId="6622D6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7E0FED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74FFED4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3A91E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4051802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2"/>
                      <w:sz w:val="21"/>
                      <w:szCs w:val="21"/>
                      <w:highlight w:val="none"/>
                      <w:lang w:val="en-US" w:eastAsia="zh-CN"/>
                    </w:rPr>
                  </w:pPr>
                </w:p>
              </w:tc>
              <w:tc>
                <w:tcPr>
                  <w:tcW w:w="325" w:type="pct"/>
                  <w:vMerge w:val="continue"/>
                  <w:tcBorders>
                    <w:tl2br w:val="nil"/>
                    <w:tr2bl w:val="nil"/>
                  </w:tcBorders>
                  <w:shd w:val="clear" w:color="auto" w:fill="auto"/>
                  <w:vAlign w:val="center"/>
                </w:tcPr>
                <w:p w14:paraId="445B1EE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2"/>
                      <w:sz w:val="21"/>
                      <w:szCs w:val="21"/>
                      <w:highlight w:val="none"/>
                      <w:lang w:val="en-US" w:eastAsia="zh-CN"/>
                    </w:rPr>
                  </w:pPr>
                </w:p>
              </w:tc>
              <w:tc>
                <w:tcPr>
                  <w:tcW w:w="349" w:type="pct"/>
                  <w:vMerge w:val="continue"/>
                  <w:tcBorders>
                    <w:tl2br w:val="nil"/>
                    <w:tr2bl w:val="nil"/>
                  </w:tcBorders>
                  <w:shd w:val="clear" w:color="auto" w:fill="auto"/>
                  <w:vAlign w:val="center"/>
                </w:tcPr>
                <w:p w14:paraId="6BEF201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p>
              </w:tc>
              <w:tc>
                <w:tcPr>
                  <w:tcW w:w="594" w:type="pct"/>
                  <w:vMerge w:val="continue"/>
                  <w:tcBorders>
                    <w:tl2br w:val="nil"/>
                    <w:tr2bl w:val="nil"/>
                  </w:tcBorders>
                  <w:shd w:val="clear" w:color="auto" w:fill="auto"/>
                  <w:vAlign w:val="center"/>
                </w:tcPr>
                <w:p w14:paraId="41783B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tl2br w:val="nil"/>
                    <w:tr2bl w:val="nil"/>
                  </w:tcBorders>
                  <w:shd w:val="clear" w:color="auto" w:fill="auto"/>
                  <w:vAlign w:val="center"/>
                </w:tcPr>
                <w:p w14:paraId="3F979A0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北</w:t>
                  </w:r>
                </w:p>
              </w:tc>
              <w:tc>
                <w:tcPr>
                  <w:tcW w:w="333" w:type="pct"/>
                  <w:tcBorders>
                    <w:top w:val="single" w:color="auto" w:sz="4" w:space="0"/>
                    <w:tl2br w:val="nil"/>
                    <w:tr2bl w:val="nil"/>
                  </w:tcBorders>
                  <w:shd w:val="clear" w:color="auto" w:fill="auto"/>
                  <w:vAlign w:val="center"/>
                </w:tcPr>
                <w:p w14:paraId="7814DD0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rPr>
                    <w:t>168</w:t>
                  </w:r>
                </w:p>
              </w:tc>
              <w:tc>
                <w:tcPr>
                  <w:tcW w:w="482" w:type="pct"/>
                  <w:vMerge w:val="continue"/>
                  <w:tcBorders>
                    <w:tl2br w:val="nil"/>
                    <w:tr2bl w:val="nil"/>
                  </w:tcBorders>
                  <w:shd w:val="clear" w:color="auto" w:fill="auto"/>
                  <w:vAlign w:val="center"/>
                </w:tcPr>
                <w:p w14:paraId="384AE6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060D5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267FA445">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96" w:hRule="atLeast"/>
                <w:jc w:val="center"/>
              </w:trPr>
              <w:tc>
                <w:tcPr>
                  <w:tcW w:w="253" w:type="pct"/>
                  <w:vMerge w:val="restart"/>
                  <w:tcBorders>
                    <w:tl2br w:val="nil"/>
                    <w:tr2bl w:val="nil"/>
                  </w:tcBorders>
                  <w:shd w:val="clear" w:color="auto" w:fill="auto"/>
                  <w:vAlign w:val="center"/>
                </w:tcPr>
                <w:p w14:paraId="768382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w:t>
                  </w:r>
                </w:p>
              </w:tc>
              <w:tc>
                <w:tcPr>
                  <w:tcW w:w="388" w:type="pct"/>
                  <w:vMerge w:val="restart"/>
                  <w:tcBorders>
                    <w:tl2br w:val="nil"/>
                    <w:tr2bl w:val="nil"/>
                  </w:tcBorders>
                  <w:shd w:val="clear" w:color="auto" w:fill="auto"/>
                  <w:vAlign w:val="center"/>
                </w:tcPr>
                <w:p w14:paraId="1EAFCF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color w:val="auto"/>
                      <w:kern w:val="0"/>
                      <w:sz w:val="21"/>
                      <w:szCs w:val="21"/>
                      <w:highlight w:val="none"/>
                      <w:lang w:bidi="ar"/>
                    </w:rPr>
                  </w:pPr>
                  <w:r>
                    <w:rPr>
                      <w:rFonts w:hint="eastAsia" w:cs="Times New Roman"/>
                      <w:i w:val="0"/>
                      <w:iCs w:val="0"/>
                      <w:color w:val="auto"/>
                      <w:sz w:val="21"/>
                      <w:szCs w:val="21"/>
                      <w:highlight w:val="none"/>
                      <w:u w:val="none"/>
                      <w:lang w:val="en-US" w:eastAsia="zh-CN"/>
                    </w:rPr>
                    <w:t>FQ13配套风机</w:t>
                  </w:r>
                </w:p>
              </w:tc>
              <w:tc>
                <w:tcPr>
                  <w:tcW w:w="520" w:type="pct"/>
                  <w:vMerge w:val="restart"/>
                  <w:tcBorders>
                    <w:tl2br w:val="nil"/>
                    <w:tr2bl w:val="nil"/>
                  </w:tcBorders>
                  <w:shd w:val="clear" w:color="auto" w:fill="auto"/>
                  <w:vAlign w:val="center"/>
                </w:tcPr>
                <w:p w14:paraId="443C8E6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16000m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619" w:type="pct"/>
                  <w:vMerge w:val="restart"/>
                  <w:tcBorders>
                    <w:tl2br w:val="nil"/>
                    <w:tr2bl w:val="nil"/>
                  </w:tcBorders>
                  <w:shd w:val="clear" w:color="auto" w:fill="auto"/>
                  <w:vAlign w:val="center"/>
                </w:tcPr>
                <w:p w14:paraId="1A9AC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425" w:type="pct"/>
                  <w:vMerge w:val="restart"/>
                  <w:tcBorders>
                    <w:tl2br w:val="nil"/>
                    <w:tr2bl w:val="nil"/>
                  </w:tcBorders>
                  <w:shd w:val="clear" w:color="auto" w:fill="auto"/>
                  <w:vAlign w:val="center"/>
                </w:tcPr>
                <w:p w14:paraId="2249808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rPr>
                    <w:t>247</w:t>
                  </w:r>
                </w:p>
              </w:tc>
              <w:tc>
                <w:tcPr>
                  <w:tcW w:w="325" w:type="pct"/>
                  <w:vMerge w:val="restart"/>
                  <w:tcBorders>
                    <w:tl2br w:val="nil"/>
                    <w:tr2bl w:val="nil"/>
                  </w:tcBorders>
                  <w:shd w:val="clear" w:color="auto" w:fill="auto"/>
                  <w:vAlign w:val="center"/>
                </w:tcPr>
                <w:p w14:paraId="7379505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rPr>
                    <w:t>55</w:t>
                  </w:r>
                </w:p>
              </w:tc>
              <w:tc>
                <w:tcPr>
                  <w:tcW w:w="349" w:type="pct"/>
                  <w:vMerge w:val="restart"/>
                  <w:tcBorders>
                    <w:tl2br w:val="nil"/>
                    <w:tr2bl w:val="nil"/>
                  </w:tcBorders>
                  <w:shd w:val="clear" w:color="auto" w:fill="auto"/>
                  <w:vAlign w:val="center"/>
                </w:tcPr>
                <w:p w14:paraId="4F5E342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22</w:t>
                  </w:r>
                </w:p>
              </w:tc>
              <w:tc>
                <w:tcPr>
                  <w:tcW w:w="594" w:type="pct"/>
                  <w:vMerge w:val="restart"/>
                  <w:tcBorders>
                    <w:tl2br w:val="nil"/>
                    <w:tr2bl w:val="nil"/>
                  </w:tcBorders>
                  <w:shd w:val="clear" w:color="auto" w:fill="auto"/>
                  <w:vAlign w:val="center"/>
                </w:tcPr>
                <w:p w14:paraId="20A9EE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85</w:t>
                  </w:r>
                </w:p>
              </w:tc>
              <w:tc>
                <w:tcPr>
                  <w:tcW w:w="323" w:type="pct"/>
                  <w:tcBorders>
                    <w:bottom w:val="single" w:color="auto" w:sz="4" w:space="0"/>
                    <w:tl2br w:val="nil"/>
                    <w:tr2bl w:val="nil"/>
                  </w:tcBorders>
                  <w:shd w:val="clear" w:color="auto" w:fill="auto"/>
                  <w:vAlign w:val="center"/>
                </w:tcPr>
                <w:p w14:paraId="2F030A5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东</w:t>
                  </w:r>
                </w:p>
              </w:tc>
              <w:tc>
                <w:tcPr>
                  <w:tcW w:w="333" w:type="pct"/>
                  <w:tcBorders>
                    <w:bottom w:val="single" w:color="auto" w:sz="4" w:space="0"/>
                    <w:tl2br w:val="nil"/>
                    <w:tr2bl w:val="nil"/>
                  </w:tcBorders>
                  <w:shd w:val="clear" w:color="auto" w:fill="auto"/>
                  <w:vAlign w:val="center"/>
                </w:tcPr>
                <w:p w14:paraId="7008D66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130</w:t>
                  </w:r>
                </w:p>
              </w:tc>
              <w:tc>
                <w:tcPr>
                  <w:tcW w:w="482" w:type="pct"/>
                  <w:vMerge w:val="continue"/>
                  <w:tcBorders>
                    <w:tl2br w:val="nil"/>
                    <w:tr2bl w:val="nil"/>
                  </w:tcBorders>
                  <w:shd w:val="clear" w:color="auto" w:fill="auto"/>
                  <w:vAlign w:val="center"/>
                </w:tcPr>
                <w:p w14:paraId="298A1D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restart"/>
                  <w:tcBorders>
                    <w:tl2br w:val="nil"/>
                    <w:tr2bl w:val="nil"/>
                  </w:tcBorders>
                  <w:shd w:val="clear" w:color="auto" w:fill="auto"/>
                  <w:vAlign w:val="center"/>
                </w:tcPr>
                <w:p w14:paraId="56F0A9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昼间</w:t>
                  </w:r>
                </w:p>
              </w:tc>
            </w:tr>
            <w:tr w14:paraId="6349500B">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84" w:hRule="atLeast"/>
                <w:jc w:val="center"/>
              </w:trPr>
              <w:tc>
                <w:tcPr>
                  <w:tcW w:w="253" w:type="pct"/>
                  <w:vMerge w:val="continue"/>
                  <w:tcBorders>
                    <w:tl2br w:val="nil"/>
                    <w:tr2bl w:val="nil"/>
                  </w:tcBorders>
                  <w:shd w:val="clear" w:color="auto" w:fill="auto"/>
                  <w:vAlign w:val="center"/>
                </w:tcPr>
                <w:p w14:paraId="24EA4F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480D2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775774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1BAD7D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594A79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eastAsia" w:ascii="Times New Roman" w:hAnsi="Times New Roman" w:eastAsia="宋体" w:cs="Times New Roman"/>
                      <w:color w:val="auto"/>
                      <w:kern w:val="2"/>
                      <w:sz w:val="21"/>
                      <w:szCs w:val="21"/>
                      <w:highlight w:val="none"/>
                      <w:lang w:val="en-US" w:eastAsia="zh-CN"/>
                    </w:rPr>
                  </w:pPr>
                </w:p>
              </w:tc>
              <w:tc>
                <w:tcPr>
                  <w:tcW w:w="325" w:type="pct"/>
                  <w:vMerge w:val="continue"/>
                  <w:tcBorders>
                    <w:tl2br w:val="nil"/>
                    <w:tr2bl w:val="nil"/>
                  </w:tcBorders>
                  <w:shd w:val="clear" w:color="auto" w:fill="auto"/>
                  <w:vAlign w:val="center"/>
                </w:tcPr>
                <w:p w14:paraId="642F385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eastAsia" w:ascii="Times New Roman" w:hAnsi="Times New Roman" w:eastAsia="宋体" w:cs="Times New Roman"/>
                      <w:color w:val="auto"/>
                      <w:kern w:val="2"/>
                      <w:sz w:val="21"/>
                      <w:szCs w:val="21"/>
                      <w:highlight w:val="none"/>
                      <w:lang w:val="en-US" w:eastAsia="zh-CN"/>
                    </w:rPr>
                  </w:pPr>
                </w:p>
              </w:tc>
              <w:tc>
                <w:tcPr>
                  <w:tcW w:w="349" w:type="pct"/>
                  <w:vMerge w:val="continue"/>
                  <w:tcBorders>
                    <w:tl2br w:val="nil"/>
                    <w:tr2bl w:val="nil"/>
                  </w:tcBorders>
                  <w:shd w:val="clear" w:color="auto" w:fill="auto"/>
                  <w:vAlign w:val="center"/>
                </w:tcPr>
                <w:p w14:paraId="58939FB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94" w:type="pct"/>
                  <w:vMerge w:val="continue"/>
                  <w:tcBorders>
                    <w:tl2br w:val="nil"/>
                    <w:tr2bl w:val="nil"/>
                  </w:tcBorders>
                  <w:shd w:val="clear" w:color="auto" w:fill="auto"/>
                  <w:vAlign w:val="center"/>
                </w:tcPr>
                <w:p w14:paraId="30C88E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bottom w:val="single" w:color="auto" w:sz="4" w:space="0"/>
                    <w:tl2br w:val="nil"/>
                    <w:tr2bl w:val="nil"/>
                  </w:tcBorders>
                  <w:shd w:val="clear" w:color="auto" w:fill="auto"/>
                  <w:vAlign w:val="center"/>
                </w:tcPr>
                <w:p w14:paraId="08E8D8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南</w:t>
                  </w:r>
                </w:p>
              </w:tc>
              <w:tc>
                <w:tcPr>
                  <w:tcW w:w="333" w:type="pct"/>
                  <w:tcBorders>
                    <w:top w:val="single" w:color="auto" w:sz="4" w:space="0"/>
                    <w:bottom w:val="single" w:color="auto" w:sz="4" w:space="0"/>
                    <w:tl2br w:val="nil"/>
                    <w:tr2bl w:val="nil"/>
                  </w:tcBorders>
                  <w:shd w:val="clear" w:color="auto" w:fill="auto"/>
                  <w:vAlign w:val="center"/>
                </w:tcPr>
                <w:p w14:paraId="515970E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55</w:t>
                  </w:r>
                </w:p>
              </w:tc>
              <w:tc>
                <w:tcPr>
                  <w:tcW w:w="482" w:type="pct"/>
                  <w:vMerge w:val="continue"/>
                  <w:tcBorders>
                    <w:tl2br w:val="nil"/>
                    <w:tr2bl w:val="nil"/>
                  </w:tcBorders>
                  <w:shd w:val="clear" w:color="auto" w:fill="auto"/>
                  <w:vAlign w:val="center"/>
                </w:tcPr>
                <w:p w14:paraId="1D0E92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74ED1D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0DED7962">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98" w:hRule="atLeast"/>
                <w:jc w:val="center"/>
              </w:trPr>
              <w:tc>
                <w:tcPr>
                  <w:tcW w:w="253" w:type="pct"/>
                  <w:vMerge w:val="continue"/>
                  <w:tcBorders>
                    <w:tl2br w:val="nil"/>
                    <w:tr2bl w:val="nil"/>
                  </w:tcBorders>
                  <w:shd w:val="clear" w:color="auto" w:fill="auto"/>
                  <w:vAlign w:val="center"/>
                </w:tcPr>
                <w:p w14:paraId="4EAEE6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68BFF0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37AE17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5BEC5D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0F33611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eastAsia" w:ascii="Times New Roman" w:hAnsi="Times New Roman" w:eastAsia="宋体" w:cs="Times New Roman"/>
                      <w:color w:val="auto"/>
                      <w:kern w:val="2"/>
                      <w:sz w:val="21"/>
                      <w:szCs w:val="21"/>
                      <w:highlight w:val="none"/>
                      <w:lang w:val="en-US" w:eastAsia="zh-CN"/>
                    </w:rPr>
                  </w:pPr>
                </w:p>
              </w:tc>
              <w:tc>
                <w:tcPr>
                  <w:tcW w:w="325" w:type="pct"/>
                  <w:vMerge w:val="continue"/>
                  <w:tcBorders>
                    <w:tl2br w:val="nil"/>
                    <w:tr2bl w:val="nil"/>
                  </w:tcBorders>
                  <w:shd w:val="clear" w:color="auto" w:fill="auto"/>
                  <w:vAlign w:val="center"/>
                </w:tcPr>
                <w:p w14:paraId="755F237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eastAsia" w:ascii="Times New Roman" w:hAnsi="Times New Roman" w:eastAsia="宋体" w:cs="Times New Roman"/>
                      <w:color w:val="auto"/>
                      <w:kern w:val="2"/>
                      <w:sz w:val="21"/>
                      <w:szCs w:val="21"/>
                      <w:highlight w:val="none"/>
                      <w:lang w:val="en-US" w:eastAsia="zh-CN"/>
                    </w:rPr>
                  </w:pPr>
                </w:p>
              </w:tc>
              <w:tc>
                <w:tcPr>
                  <w:tcW w:w="349" w:type="pct"/>
                  <w:vMerge w:val="continue"/>
                  <w:tcBorders>
                    <w:tl2br w:val="nil"/>
                    <w:tr2bl w:val="nil"/>
                  </w:tcBorders>
                  <w:shd w:val="clear" w:color="auto" w:fill="auto"/>
                  <w:vAlign w:val="center"/>
                </w:tcPr>
                <w:p w14:paraId="4B3C093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94" w:type="pct"/>
                  <w:vMerge w:val="continue"/>
                  <w:tcBorders>
                    <w:tl2br w:val="nil"/>
                    <w:tr2bl w:val="nil"/>
                  </w:tcBorders>
                  <w:shd w:val="clear" w:color="auto" w:fill="auto"/>
                  <w:vAlign w:val="center"/>
                </w:tcPr>
                <w:p w14:paraId="0FB40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bottom w:val="single" w:color="auto" w:sz="4" w:space="0"/>
                    <w:tl2br w:val="nil"/>
                    <w:tr2bl w:val="nil"/>
                  </w:tcBorders>
                  <w:shd w:val="clear" w:color="auto" w:fill="auto"/>
                  <w:vAlign w:val="center"/>
                </w:tcPr>
                <w:p w14:paraId="389844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西</w:t>
                  </w:r>
                </w:p>
              </w:tc>
              <w:tc>
                <w:tcPr>
                  <w:tcW w:w="333" w:type="pct"/>
                  <w:tcBorders>
                    <w:top w:val="single" w:color="auto" w:sz="4" w:space="0"/>
                    <w:bottom w:val="single" w:color="auto" w:sz="4" w:space="0"/>
                    <w:tl2br w:val="nil"/>
                    <w:tr2bl w:val="nil"/>
                  </w:tcBorders>
                  <w:shd w:val="clear" w:color="auto" w:fill="auto"/>
                  <w:vAlign w:val="center"/>
                </w:tcPr>
                <w:p w14:paraId="0B5C51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247</w:t>
                  </w:r>
                </w:p>
              </w:tc>
              <w:tc>
                <w:tcPr>
                  <w:tcW w:w="482" w:type="pct"/>
                  <w:vMerge w:val="continue"/>
                  <w:tcBorders>
                    <w:tl2br w:val="nil"/>
                    <w:tr2bl w:val="nil"/>
                  </w:tcBorders>
                  <w:shd w:val="clear" w:color="auto" w:fill="auto"/>
                  <w:vAlign w:val="center"/>
                </w:tcPr>
                <w:p w14:paraId="7F4918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76C79F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57D085C7">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53" w:hRule="atLeast"/>
                <w:jc w:val="center"/>
              </w:trPr>
              <w:tc>
                <w:tcPr>
                  <w:tcW w:w="253" w:type="pct"/>
                  <w:vMerge w:val="continue"/>
                  <w:tcBorders>
                    <w:tl2br w:val="nil"/>
                    <w:tr2bl w:val="nil"/>
                  </w:tcBorders>
                  <w:shd w:val="clear" w:color="auto" w:fill="auto"/>
                  <w:vAlign w:val="center"/>
                </w:tcPr>
                <w:p w14:paraId="3AC1ED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4D495E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525E2C1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30EEAD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376AD01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eastAsia" w:ascii="Times New Roman" w:hAnsi="Times New Roman" w:eastAsia="宋体" w:cs="Times New Roman"/>
                      <w:color w:val="auto"/>
                      <w:kern w:val="2"/>
                      <w:sz w:val="21"/>
                      <w:szCs w:val="21"/>
                      <w:highlight w:val="none"/>
                      <w:lang w:val="en-US" w:eastAsia="zh-CN"/>
                    </w:rPr>
                  </w:pPr>
                </w:p>
              </w:tc>
              <w:tc>
                <w:tcPr>
                  <w:tcW w:w="325" w:type="pct"/>
                  <w:vMerge w:val="continue"/>
                  <w:tcBorders>
                    <w:tl2br w:val="nil"/>
                    <w:tr2bl w:val="nil"/>
                  </w:tcBorders>
                  <w:shd w:val="clear" w:color="auto" w:fill="auto"/>
                  <w:vAlign w:val="center"/>
                </w:tcPr>
                <w:p w14:paraId="5075698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eastAsia" w:ascii="Times New Roman" w:hAnsi="Times New Roman" w:eastAsia="宋体" w:cs="Times New Roman"/>
                      <w:color w:val="auto"/>
                      <w:kern w:val="2"/>
                      <w:sz w:val="21"/>
                      <w:szCs w:val="21"/>
                      <w:highlight w:val="none"/>
                      <w:lang w:val="en-US" w:eastAsia="zh-CN"/>
                    </w:rPr>
                  </w:pPr>
                </w:p>
              </w:tc>
              <w:tc>
                <w:tcPr>
                  <w:tcW w:w="349" w:type="pct"/>
                  <w:vMerge w:val="continue"/>
                  <w:tcBorders>
                    <w:tl2br w:val="nil"/>
                    <w:tr2bl w:val="nil"/>
                  </w:tcBorders>
                  <w:shd w:val="clear" w:color="auto" w:fill="auto"/>
                  <w:vAlign w:val="center"/>
                </w:tcPr>
                <w:p w14:paraId="6DFB701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94" w:type="pct"/>
                  <w:vMerge w:val="continue"/>
                  <w:tcBorders>
                    <w:tl2br w:val="nil"/>
                    <w:tr2bl w:val="nil"/>
                  </w:tcBorders>
                  <w:shd w:val="clear" w:color="auto" w:fill="auto"/>
                  <w:vAlign w:val="center"/>
                </w:tcPr>
                <w:p w14:paraId="2388A3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tl2br w:val="nil"/>
                    <w:tr2bl w:val="nil"/>
                  </w:tcBorders>
                  <w:shd w:val="clear" w:color="auto" w:fill="auto"/>
                  <w:vAlign w:val="center"/>
                </w:tcPr>
                <w:p w14:paraId="298A2C5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北</w:t>
                  </w:r>
                </w:p>
              </w:tc>
              <w:tc>
                <w:tcPr>
                  <w:tcW w:w="333" w:type="pct"/>
                  <w:tcBorders>
                    <w:top w:val="single" w:color="auto" w:sz="4" w:space="0"/>
                    <w:tl2br w:val="nil"/>
                    <w:tr2bl w:val="nil"/>
                  </w:tcBorders>
                  <w:shd w:val="clear" w:color="auto" w:fill="auto"/>
                  <w:vAlign w:val="center"/>
                </w:tcPr>
                <w:p w14:paraId="43D996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165</w:t>
                  </w:r>
                </w:p>
              </w:tc>
              <w:tc>
                <w:tcPr>
                  <w:tcW w:w="482" w:type="pct"/>
                  <w:vMerge w:val="continue"/>
                  <w:tcBorders>
                    <w:tl2br w:val="nil"/>
                    <w:tr2bl w:val="nil"/>
                  </w:tcBorders>
                  <w:shd w:val="clear" w:color="auto" w:fill="auto"/>
                  <w:vAlign w:val="center"/>
                </w:tcPr>
                <w:p w14:paraId="65788A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2FB9F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p>
              </w:tc>
            </w:tr>
            <w:tr w14:paraId="1CBA89C5">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98" w:hRule="atLeast"/>
                <w:jc w:val="center"/>
              </w:trPr>
              <w:tc>
                <w:tcPr>
                  <w:tcW w:w="253" w:type="pct"/>
                  <w:vMerge w:val="restart"/>
                  <w:tcBorders>
                    <w:tl2br w:val="nil"/>
                    <w:tr2bl w:val="nil"/>
                  </w:tcBorders>
                  <w:shd w:val="clear" w:color="auto" w:fill="auto"/>
                  <w:vAlign w:val="center"/>
                </w:tcPr>
                <w:p w14:paraId="5F7271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7</w:t>
                  </w:r>
                </w:p>
              </w:tc>
              <w:tc>
                <w:tcPr>
                  <w:tcW w:w="388" w:type="pct"/>
                  <w:vMerge w:val="restart"/>
                  <w:tcBorders>
                    <w:tl2br w:val="nil"/>
                    <w:tr2bl w:val="nil"/>
                  </w:tcBorders>
                  <w:shd w:val="clear" w:color="auto" w:fill="auto"/>
                  <w:vAlign w:val="center"/>
                </w:tcPr>
                <w:p w14:paraId="6977A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rPr>
                      <w:rFonts w:hint="default" w:ascii="Times New Roman" w:hAnsi="Times New Roman" w:cs="Times New Roman"/>
                      <w:color w:val="auto"/>
                      <w:kern w:val="0"/>
                      <w:sz w:val="21"/>
                      <w:szCs w:val="21"/>
                      <w:highlight w:val="none"/>
                      <w:lang w:bidi="ar"/>
                    </w:rPr>
                  </w:pPr>
                  <w:r>
                    <w:rPr>
                      <w:rFonts w:hint="eastAsia" w:cs="Times New Roman"/>
                      <w:i w:val="0"/>
                      <w:iCs w:val="0"/>
                      <w:color w:val="auto"/>
                      <w:sz w:val="21"/>
                      <w:szCs w:val="21"/>
                      <w:highlight w:val="none"/>
                      <w:u w:val="none"/>
                      <w:lang w:val="en-US" w:eastAsia="zh-CN"/>
                    </w:rPr>
                    <w:t>FQ14配套风机</w:t>
                  </w:r>
                </w:p>
              </w:tc>
              <w:tc>
                <w:tcPr>
                  <w:tcW w:w="520" w:type="pct"/>
                  <w:vMerge w:val="restart"/>
                  <w:tcBorders>
                    <w:tl2br w:val="nil"/>
                    <w:tr2bl w:val="nil"/>
                  </w:tcBorders>
                  <w:shd w:val="clear" w:color="auto" w:fill="auto"/>
                  <w:vAlign w:val="center"/>
                </w:tcPr>
                <w:p w14:paraId="41EB21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16000m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619" w:type="pct"/>
                  <w:vMerge w:val="restart"/>
                  <w:tcBorders>
                    <w:tl2br w:val="nil"/>
                    <w:tr2bl w:val="nil"/>
                  </w:tcBorders>
                  <w:shd w:val="clear" w:color="auto" w:fill="auto"/>
                  <w:vAlign w:val="center"/>
                </w:tcPr>
                <w:p w14:paraId="7649C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w:t>
                  </w:r>
                </w:p>
              </w:tc>
              <w:tc>
                <w:tcPr>
                  <w:tcW w:w="425" w:type="pct"/>
                  <w:vMerge w:val="restart"/>
                  <w:tcBorders>
                    <w:tl2br w:val="nil"/>
                    <w:tr2bl w:val="nil"/>
                  </w:tcBorders>
                  <w:shd w:val="clear" w:color="auto" w:fill="auto"/>
                  <w:vAlign w:val="center"/>
                </w:tcPr>
                <w:p w14:paraId="77DD54B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rPr>
                    <w:t>135</w:t>
                  </w:r>
                </w:p>
              </w:tc>
              <w:tc>
                <w:tcPr>
                  <w:tcW w:w="325" w:type="pct"/>
                  <w:vMerge w:val="restart"/>
                  <w:tcBorders>
                    <w:tl2br w:val="nil"/>
                    <w:tr2bl w:val="nil"/>
                  </w:tcBorders>
                  <w:shd w:val="clear" w:color="auto" w:fill="auto"/>
                  <w:vAlign w:val="center"/>
                </w:tcPr>
                <w:p w14:paraId="087319B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kern w:val="2"/>
                      <w:sz w:val="21"/>
                      <w:szCs w:val="21"/>
                      <w:highlight w:val="none"/>
                      <w:lang w:val="en-US" w:eastAsia="zh-CN"/>
                    </w:rPr>
                    <w:t>62</w:t>
                  </w:r>
                </w:p>
              </w:tc>
              <w:tc>
                <w:tcPr>
                  <w:tcW w:w="349" w:type="pct"/>
                  <w:vMerge w:val="restart"/>
                  <w:tcBorders>
                    <w:tl2br w:val="nil"/>
                    <w:tr2bl w:val="nil"/>
                  </w:tcBorders>
                  <w:shd w:val="clear" w:color="auto" w:fill="auto"/>
                  <w:vAlign w:val="center"/>
                </w:tcPr>
                <w:p w14:paraId="79DF6BE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i w:val="0"/>
                      <w:iCs w:val="0"/>
                      <w:color w:val="auto"/>
                      <w:kern w:val="0"/>
                      <w:sz w:val="21"/>
                      <w:szCs w:val="21"/>
                      <w:highlight w:val="none"/>
                      <w:u w:val="none"/>
                      <w:lang w:val="en-US" w:eastAsia="zh-CN" w:bidi="ar"/>
                    </w:rPr>
                    <w:t>22</w:t>
                  </w:r>
                </w:p>
              </w:tc>
              <w:tc>
                <w:tcPr>
                  <w:tcW w:w="594" w:type="pct"/>
                  <w:vMerge w:val="restart"/>
                  <w:tcBorders>
                    <w:tl2br w:val="nil"/>
                    <w:tr2bl w:val="nil"/>
                  </w:tcBorders>
                  <w:shd w:val="clear" w:color="auto" w:fill="auto"/>
                  <w:vAlign w:val="center"/>
                </w:tcPr>
                <w:p w14:paraId="01B55F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85</w:t>
                  </w:r>
                </w:p>
              </w:tc>
              <w:tc>
                <w:tcPr>
                  <w:tcW w:w="323" w:type="pct"/>
                  <w:tcBorders>
                    <w:bottom w:val="single" w:color="auto" w:sz="4" w:space="0"/>
                    <w:tl2br w:val="nil"/>
                    <w:tr2bl w:val="nil"/>
                  </w:tcBorders>
                  <w:shd w:val="clear" w:color="auto" w:fill="auto"/>
                  <w:vAlign w:val="center"/>
                </w:tcPr>
                <w:p w14:paraId="4A0A8F9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东</w:t>
                  </w:r>
                </w:p>
              </w:tc>
              <w:tc>
                <w:tcPr>
                  <w:tcW w:w="333" w:type="pct"/>
                  <w:tcBorders>
                    <w:bottom w:val="single" w:color="auto" w:sz="4" w:space="0"/>
                    <w:tl2br w:val="nil"/>
                    <w:tr2bl w:val="nil"/>
                  </w:tcBorders>
                  <w:shd w:val="clear" w:color="auto" w:fill="auto"/>
                  <w:vAlign w:val="center"/>
                </w:tcPr>
                <w:p w14:paraId="03D0946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240</w:t>
                  </w:r>
                </w:p>
              </w:tc>
              <w:tc>
                <w:tcPr>
                  <w:tcW w:w="482" w:type="pct"/>
                  <w:vMerge w:val="continue"/>
                  <w:tcBorders>
                    <w:tl2br w:val="nil"/>
                    <w:tr2bl w:val="nil"/>
                  </w:tcBorders>
                  <w:shd w:val="clear" w:color="auto" w:fill="auto"/>
                  <w:vAlign w:val="center"/>
                </w:tcPr>
                <w:p w14:paraId="17999E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rPr>
                      <w:rFonts w:hint="default" w:ascii="Times New Roman" w:hAnsi="Times New Roman" w:cs="Times New Roman"/>
                      <w:color w:val="auto"/>
                      <w:szCs w:val="21"/>
                      <w:highlight w:val="none"/>
                    </w:rPr>
                  </w:pPr>
                </w:p>
              </w:tc>
              <w:tc>
                <w:tcPr>
                  <w:tcW w:w="385" w:type="pct"/>
                  <w:vMerge w:val="restart"/>
                  <w:tcBorders>
                    <w:tl2br w:val="nil"/>
                    <w:tr2bl w:val="nil"/>
                  </w:tcBorders>
                  <w:shd w:val="clear" w:color="auto" w:fill="auto"/>
                  <w:vAlign w:val="center"/>
                </w:tcPr>
                <w:p w14:paraId="76BA4A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cs="Times New Roman"/>
                      <w:color w:val="auto"/>
                      <w:kern w:val="0"/>
                      <w:szCs w:val="21"/>
                      <w:highlight w:val="none"/>
                      <w:lang w:bidi="ar"/>
                    </w:rPr>
                  </w:pPr>
                  <w:r>
                    <w:rPr>
                      <w:rFonts w:hint="eastAsia" w:cs="Times New Roman"/>
                      <w:color w:val="auto"/>
                      <w:kern w:val="0"/>
                      <w:szCs w:val="21"/>
                      <w:highlight w:val="none"/>
                      <w:lang w:val="en-US" w:eastAsia="zh-CN" w:bidi="ar"/>
                    </w:rPr>
                    <w:t>昼间</w:t>
                  </w:r>
                </w:p>
              </w:tc>
            </w:tr>
            <w:tr w14:paraId="26C9AC53">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28" w:hRule="atLeast"/>
                <w:jc w:val="center"/>
              </w:trPr>
              <w:tc>
                <w:tcPr>
                  <w:tcW w:w="253" w:type="pct"/>
                  <w:vMerge w:val="continue"/>
                  <w:tcBorders>
                    <w:tl2br w:val="nil"/>
                    <w:tr2bl w:val="nil"/>
                  </w:tcBorders>
                  <w:shd w:val="clear" w:color="auto" w:fill="auto"/>
                  <w:vAlign w:val="center"/>
                </w:tcPr>
                <w:p w14:paraId="7D5F4C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45CB3E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7F5B8BD4">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7EFF55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4FCE90C9">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rPr>
                  </w:pPr>
                </w:p>
              </w:tc>
              <w:tc>
                <w:tcPr>
                  <w:tcW w:w="325" w:type="pct"/>
                  <w:vMerge w:val="continue"/>
                  <w:tcBorders>
                    <w:tl2br w:val="nil"/>
                    <w:tr2bl w:val="nil"/>
                  </w:tcBorders>
                  <w:shd w:val="clear" w:color="auto" w:fill="auto"/>
                  <w:vAlign w:val="center"/>
                </w:tcPr>
                <w:p w14:paraId="120D3859">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rPr>
                  </w:pPr>
                </w:p>
              </w:tc>
              <w:tc>
                <w:tcPr>
                  <w:tcW w:w="349" w:type="pct"/>
                  <w:vMerge w:val="continue"/>
                  <w:tcBorders>
                    <w:tl2br w:val="nil"/>
                    <w:tr2bl w:val="nil"/>
                  </w:tcBorders>
                  <w:shd w:val="clear" w:color="auto" w:fill="auto"/>
                  <w:vAlign w:val="center"/>
                </w:tcPr>
                <w:p w14:paraId="3C81017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94" w:type="pct"/>
                  <w:vMerge w:val="continue"/>
                  <w:tcBorders>
                    <w:tl2br w:val="nil"/>
                    <w:tr2bl w:val="nil"/>
                  </w:tcBorders>
                  <w:shd w:val="clear" w:color="auto" w:fill="auto"/>
                  <w:vAlign w:val="center"/>
                </w:tcPr>
                <w:p w14:paraId="20644F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bottom w:val="single" w:color="auto" w:sz="4" w:space="0"/>
                    <w:tl2br w:val="nil"/>
                    <w:tr2bl w:val="nil"/>
                  </w:tcBorders>
                  <w:shd w:val="clear" w:color="auto" w:fill="auto"/>
                  <w:vAlign w:val="center"/>
                </w:tcPr>
                <w:p w14:paraId="121CE3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南</w:t>
                  </w:r>
                </w:p>
              </w:tc>
              <w:tc>
                <w:tcPr>
                  <w:tcW w:w="333" w:type="pct"/>
                  <w:tcBorders>
                    <w:top w:val="single" w:color="auto" w:sz="4" w:space="0"/>
                    <w:bottom w:val="single" w:color="auto" w:sz="4" w:space="0"/>
                    <w:tl2br w:val="nil"/>
                    <w:tr2bl w:val="nil"/>
                  </w:tcBorders>
                  <w:shd w:val="clear" w:color="auto" w:fill="auto"/>
                  <w:vAlign w:val="center"/>
                </w:tcPr>
                <w:p w14:paraId="7A9C4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62</w:t>
                  </w:r>
                </w:p>
              </w:tc>
              <w:tc>
                <w:tcPr>
                  <w:tcW w:w="482" w:type="pct"/>
                  <w:vMerge w:val="continue"/>
                  <w:tcBorders>
                    <w:tl2br w:val="nil"/>
                    <w:tr2bl w:val="nil"/>
                  </w:tcBorders>
                  <w:shd w:val="clear" w:color="auto" w:fill="auto"/>
                  <w:vAlign w:val="center"/>
                </w:tcPr>
                <w:p w14:paraId="13DD46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1192F9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cs="Times New Roman"/>
                      <w:color w:val="auto"/>
                      <w:kern w:val="0"/>
                      <w:szCs w:val="21"/>
                      <w:highlight w:val="none"/>
                      <w:lang w:bidi="ar"/>
                    </w:rPr>
                  </w:pPr>
                </w:p>
              </w:tc>
            </w:tr>
            <w:tr w14:paraId="1B2EB119">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62" w:hRule="atLeast"/>
                <w:jc w:val="center"/>
              </w:trPr>
              <w:tc>
                <w:tcPr>
                  <w:tcW w:w="253" w:type="pct"/>
                  <w:vMerge w:val="continue"/>
                  <w:tcBorders>
                    <w:tl2br w:val="nil"/>
                    <w:tr2bl w:val="nil"/>
                  </w:tcBorders>
                  <w:shd w:val="clear" w:color="auto" w:fill="auto"/>
                  <w:vAlign w:val="center"/>
                </w:tcPr>
                <w:p w14:paraId="3333F3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077790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64084F4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671D2A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2C72899C">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rPr>
                  </w:pPr>
                </w:p>
              </w:tc>
              <w:tc>
                <w:tcPr>
                  <w:tcW w:w="325" w:type="pct"/>
                  <w:vMerge w:val="continue"/>
                  <w:tcBorders>
                    <w:tl2br w:val="nil"/>
                    <w:tr2bl w:val="nil"/>
                  </w:tcBorders>
                  <w:shd w:val="clear" w:color="auto" w:fill="auto"/>
                  <w:vAlign w:val="center"/>
                </w:tcPr>
                <w:p w14:paraId="08CE9E82">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rPr>
                  </w:pPr>
                </w:p>
              </w:tc>
              <w:tc>
                <w:tcPr>
                  <w:tcW w:w="349" w:type="pct"/>
                  <w:vMerge w:val="continue"/>
                  <w:tcBorders>
                    <w:tl2br w:val="nil"/>
                    <w:tr2bl w:val="nil"/>
                  </w:tcBorders>
                  <w:shd w:val="clear" w:color="auto" w:fill="auto"/>
                  <w:vAlign w:val="center"/>
                </w:tcPr>
                <w:p w14:paraId="01C9D4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94" w:type="pct"/>
                  <w:vMerge w:val="continue"/>
                  <w:tcBorders>
                    <w:tl2br w:val="nil"/>
                    <w:tr2bl w:val="nil"/>
                  </w:tcBorders>
                  <w:shd w:val="clear" w:color="auto" w:fill="auto"/>
                  <w:vAlign w:val="center"/>
                </w:tcPr>
                <w:p w14:paraId="7CE18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bottom w:val="single" w:color="auto" w:sz="4" w:space="0"/>
                    <w:tl2br w:val="nil"/>
                    <w:tr2bl w:val="nil"/>
                  </w:tcBorders>
                  <w:shd w:val="clear" w:color="auto" w:fill="auto"/>
                  <w:vAlign w:val="center"/>
                </w:tcPr>
                <w:p w14:paraId="41A54D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西</w:t>
                  </w:r>
                </w:p>
              </w:tc>
              <w:tc>
                <w:tcPr>
                  <w:tcW w:w="333" w:type="pct"/>
                  <w:tcBorders>
                    <w:top w:val="single" w:color="auto" w:sz="4" w:space="0"/>
                    <w:bottom w:val="single" w:color="auto" w:sz="4" w:space="0"/>
                    <w:tl2br w:val="nil"/>
                    <w:tr2bl w:val="nil"/>
                  </w:tcBorders>
                  <w:shd w:val="clear" w:color="auto" w:fill="auto"/>
                  <w:vAlign w:val="center"/>
                </w:tcPr>
                <w:p w14:paraId="47553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135</w:t>
                  </w:r>
                </w:p>
              </w:tc>
              <w:tc>
                <w:tcPr>
                  <w:tcW w:w="482" w:type="pct"/>
                  <w:vMerge w:val="continue"/>
                  <w:tcBorders>
                    <w:tl2br w:val="nil"/>
                    <w:tr2bl w:val="nil"/>
                  </w:tcBorders>
                  <w:shd w:val="clear" w:color="auto" w:fill="auto"/>
                  <w:vAlign w:val="center"/>
                </w:tcPr>
                <w:p w14:paraId="032BF0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10BFBB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cs="Times New Roman"/>
                      <w:color w:val="auto"/>
                      <w:kern w:val="0"/>
                      <w:szCs w:val="21"/>
                      <w:highlight w:val="none"/>
                      <w:lang w:bidi="ar"/>
                    </w:rPr>
                  </w:pPr>
                </w:p>
              </w:tc>
            </w:tr>
            <w:tr w14:paraId="2BABAF7A">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119" w:hRule="atLeast"/>
                <w:jc w:val="center"/>
              </w:trPr>
              <w:tc>
                <w:tcPr>
                  <w:tcW w:w="253" w:type="pct"/>
                  <w:vMerge w:val="continue"/>
                  <w:tcBorders>
                    <w:tl2br w:val="nil"/>
                    <w:tr2bl w:val="nil"/>
                  </w:tcBorders>
                  <w:shd w:val="clear" w:color="auto" w:fill="auto"/>
                  <w:vAlign w:val="center"/>
                </w:tcPr>
                <w:p w14:paraId="487011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color w:val="auto"/>
                      <w:kern w:val="0"/>
                      <w:szCs w:val="21"/>
                      <w:highlight w:val="none"/>
                      <w:lang w:val="en-US" w:eastAsia="zh-CN" w:bidi="ar"/>
                    </w:rPr>
                  </w:pPr>
                </w:p>
              </w:tc>
              <w:tc>
                <w:tcPr>
                  <w:tcW w:w="388" w:type="pct"/>
                  <w:vMerge w:val="continue"/>
                  <w:tcBorders>
                    <w:tl2br w:val="nil"/>
                    <w:tr2bl w:val="nil"/>
                  </w:tcBorders>
                  <w:shd w:val="clear" w:color="auto" w:fill="auto"/>
                  <w:vAlign w:val="center"/>
                </w:tcPr>
                <w:p w14:paraId="6586E0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cs="Times New Roman"/>
                      <w:i w:val="0"/>
                      <w:iCs w:val="0"/>
                      <w:color w:val="auto"/>
                      <w:sz w:val="21"/>
                      <w:szCs w:val="21"/>
                      <w:highlight w:val="none"/>
                      <w:u w:val="none"/>
                      <w:lang w:val="en-US" w:eastAsia="zh-CN"/>
                    </w:rPr>
                  </w:pPr>
                </w:p>
              </w:tc>
              <w:tc>
                <w:tcPr>
                  <w:tcW w:w="520" w:type="pct"/>
                  <w:vMerge w:val="continue"/>
                  <w:tcBorders>
                    <w:tl2br w:val="nil"/>
                    <w:tr2bl w:val="nil"/>
                  </w:tcBorders>
                  <w:shd w:val="clear" w:color="auto" w:fill="auto"/>
                  <w:vAlign w:val="center"/>
                </w:tcPr>
                <w:p w14:paraId="3AC5708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jc w:val="center"/>
                    <w:textAlignment w:val="center"/>
                    <w:rPr>
                      <w:rFonts w:hint="eastAsia" w:cs="Times New Roman"/>
                      <w:color w:val="auto"/>
                      <w:sz w:val="21"/>
                      <w:szCs w:val="21"/>
                      <w:highlight w:val="none"/>
                      <w:lang w:val="en-US" w:eastAsia="zh-CN"/>
                    </w:rPr>
                  </w:pPr>
                </w:p>
              </w:tc>
              <w:tc>
                <w:tcPr>
                  <w:tcW w:w="619" w:type="pct"/>
                  <w:vMerge w:val="continue"/>
                  <w:tcBorders>
                    <w:tl2br w:val="nil"/>
                    <w:tr2bl w:val="nil"/>
                  </w:tcBorders>
                  <w:shd w:val="clear" w:color="auto" w:fill="auto"/>
                  <w:vAlign w:val="center"/>
                </w:tcPr>
                <w:p w14:paraId="0C2F19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color w:val="auto"/>
                      <w:kern w:val="0"/>
                      <w:sz w:val="21"/>
                      <w:szCs w:val="21"/>
                      <w:highlight w:val="none"/>
                      <w:lang w:val="en-US" w:eastAsia="zh-CN" w:bidi="ar"/>
                    </w:rPr>
                  </w:pPr>
                </w:p>
              </w:tc>
              <w:tc>
                <w:tcPr>
                  <w:tcW w:w="425" w:type="pct"/>
                  <w:vMerge w:val="continue"/>
                  <w:tcBorders>
                    <w:tl2br w:val="nil"/>
                    <w:tr2bl w:val="nil"/>
                  </w:tcBorders>
                  <w:shd w:val="clear" w:color="auto" w:fill="auto"/>
                  <w:vAlign w:val="center"/>
                </w:tcPr>
                <w:p w14:paraId="52A4E94E">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rPr>
                  </w:pPr>
                </w:p>
              </w:tc>
              <w:tc>
                <w:tcPr>
                  <w:tcW w:w="325" w:type="pct"/>
                  <w:vMerge w:val="continue"/>
                  <w:tcBorders>
                    <w:tl2br w:val="nil"/>
                    <w:tr2bl w:val="nil"/>
                  </w:tcBorders>
                  <w:shd w:val="clear" w:color="auto" w:fill="auto"/>
                  <w:vAlign w:val="center"/>
                </w:tcPr>
                <w:p w14:paraId="0551530F">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rPr>
                  </w:pPr>
                </w:p>
              </w:tc>
              <w:tc>
                <w:tcPr>
                  <w:tcW w:w="349" w:type="pct"/>
                  <w:vMerge w:val="continue"/>
                  <w:tcBorders>
                    <w:tl2br w:val="nil"/>
                    <w:tr2bl w:val="nil"/>
                  </w:tcBorders>
                  <w:shd w:val="clear" w:color="auto" w:fill="auto"/>
                  <w:vAlign w:val="center"/>
                </w:tcPr>
                <w:p w14:paraId="7EB72DF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94" w:type="pct"/>
                  <w:vMerge w:val="continue"/>
                  <w:tcBorders>
                    <w:tl2br w:val="nil"/>
                    <w:tr2bl w:val="nil"/>
                  </w:tcBorders>
                  <w:shd w:val="clear" w:color="auto" w:fill="auto"/>
                  <w:vAlign w:val="center"/>
                </w:tcPr>
                <w:p w14:paraId="02873A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cs="Times New Roman"/>
                      <w:color w:val="auto"/>
                      <w:kern w:val="0"/>
                      <w:sz w:val="21"/>
                      <w:szCs w:val="21"/>
                      <w:highlight w:val="none"/>
                      <w:lang w:val="en-US" w:eastAsia="zh-CN" w:bidi="ar"/>
                    </w:rPr>
                  </w:pPr>
                </w:p>
              </w:tc>
              <w:tc>
                <w:tcPr>
                  <w:tcW w:w="323" w:type="pct"/>
                  <w:tcBorders>
                    <w:top w:val="single" w:color="auto" w:sz="4" w:space="0"/>
                    <w:tl2br w:val="nil"/>
                    <w:tr2bl w:val="nil"/>
                  </w:tcBorders>
                  <w:shd w:val="clear" w:color="auto" w:fill="auto"/>
                  <w:vAlign w:val="center"/>
                </w:tcPr>
                <w:p w14:paraId="0C57C2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北</w:t>
                  </w:r>
                </w:p>
              </w:tc>
              <w:tc>
                <w:tcPr>
                  <w:tcW w:w="333" w:type="pct"/>
                  <w:tcBorders>
                    <w:top w:val="single" w:color="auto" w:sz="4" w:space="0"/>
                    <w:tl2br w:val="nil"/>
                    <w:tr2bl w:val="nil"/>
                  </w:tcBorders>
                  <w:shd w:val="clear" w:color="auto" w:fill="auto"/>
                  <w:vAlign w:val="center"/>
                </w:tcPr>
                <w:p w14:paraId="09CC9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158</w:t>
                  </w:r>
                </w:p>
              </w:tc>
              <w:tc>
                <w:tcPr>
                  <w:tcW w:w="482" w:type="pct"/>
                  <w:vMerge w:val="continue"/>
                  <w:tcBorders>
                    <w:tl2br w:val="nil"/>
                    <w:tr2bl w:val="nil"/>
                  </w:tcBorders>
                  <w:shd w:val="clear" w:color="auto" w:fill="auto"/>
                  <w:vAlign w:val="center"/>
                </w:tcPr>
                <w:p w14:paraId="5AE6CC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85" w:type="pct"/>
                  <w:vMerge w:val="continue"/>
                  <w:tcBorders>
                    <w:tl2br w:val="nil"/>
                    <w:tr2bl w:val="nil"/>
                  </w:tcBorders>
                  <w:shd w:val="clear" w:color="auto" w:fill="auto"/>
                  <w:vAlign w:val="center"/>
                </w:tcPr>
                <w:p w14:paraId="73FBCD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cs="Times New Roman"/>
                      <w:color w:val="auto"/>
                      <w:kern w:val="0"/>
                      <w:szCs w:val="21"/>
                      <w:highlight w:val="none"/>
                      <w:lang w:bidi="ar"/>
                    </w:rPr>
                  </w:pPr>
                </w:p>
              </w:tc>
            </w:tr>
          </w:tbl>
          <w:p w14:paraId="229310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注：选取</w:t>
            </w:r>
            <w:r>
              <w:rPr>
                <w:rFonts w:hint="eastAsia" w:cs="Times New Roman"/>
                <w:b/>
                <w:bCs/>
                <w:color w:val="auto"/>
                <w:szCs w:val="21"/>
                <w:highlight w:val="none"/>
                <w:lang w:eastAsia="zh-CN"/>
              </w:rPr>
              <w:t>一车间</w:t>
            </w:r>
            <w:r>
              <w:rPr>
                <w:rFonts w:hint="default" w:ascii="Times New Roman" w:hAnsi="Times New Roman" w:cs="Times New Roman"/>
                <w:b/>
                <w:bCs/>
                <w:color w:val="auto"/>
                <w:szCs w:val="21"/>
                <w:highlight w:val="none"/>
              </w:rPr>
              <w:t>西南角为0点，XYZ为设备相对0点位置。</w:t>
            </w:r>
          </w:p>
          <w:p w14:paraId="4ADC9F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color w:val="auto"/>
                <w:szCs w:val="21"/>
                <w:highlight w:val="none"/>
                <w:lang w:val="en-US" w:eastAsia="zh-CN"/>
              </w:rPr>
            </w:pPr>
            <w:r>
              <w:rPr>
                <w:rFonts w:hint="eastAsia" w:cs="Times New Roman"/>
                <w:b/>
                <w:bCs/>
                <w:color w:val="auto"/>
                <w:szCs w:val="21"/>
                <w:highlight w:val="none"/>
                <w:lang w:val="en-US" w:eastAsia="zh-CN"/>
              </w:rPr>
              <w:t>*：</w:t>
            </w:r>
            <w:r>
              <w:rPr>
                <w:rStyle w:val="27"/>
                <w:rFonts w:hint="default" w:ascii="Segoe UI" w:hAnsi="Segoe UI" w:eastAsia="Segoe UI" w:cs="Segoe UI"/>
                <w:b/>
                <w:bCs/>
                <w:i w:val="0"/>
                <w:iCs w:val="0"/>
                <w:caps w:val="0"/>
                <w:color w:val="auto"/>
                <w:spacing w:val="0"/>
                <w:sz w:val="24"/>
                <w:szCs w:val="24"/>
                <w:highlight w:val="none"/>
                <w:shd w:val="clear" w:fill="FFFFFF"/>
              </w:rPr>
              <w:t>现有项目风机昼夜运行，本项目新增工段风机仅昼间启用，故本次环评不涉及夜间噪声分析。</w:t>
            </w:r>
          </w:p>
          <w:p w14:paraId="4EF8DA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color w:val="auto"/>
                <w:sz w:val="24"/>
                <w:szCs w:val="24"/>
                <w:highlight w:val="none"/>
              </w:rPr>
            </w:pPr>
            <w:r>
              <w:rPr>
                <w:rFonts w:hint="default"/>
                <w:b/>
                <w:bCs/>
                <w:color w:val="auto"/>
                <w:kern w:val="0"/>
                <w:sz w:val="24"/>
                <w:szCs w:val="24"/>
                <w:highlight w:val="none"/>
              </w:rPr>
              <w:t>（2）厂界达标情况分析</w:t>
            </w:r>
          </w:p>
          <w:p w14:paraId="2C5BF95A">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textAlignment w:val="auto"/>
              <w:rPr>
                <w:rFonts w:hint="default"/>
                <w:color w:val="auto"/>
                <w:sz w:val="24"/>
                <w:highlight w:val="none"/>
              </w:rPr>
            </w:pPr>
            <w:r>
              <w:rPr>
                <w:rFonts w:hint="default"/>
                <w:color w:val="auto"/>
                <w:sz w:val="24"/>
                <w:szCs w:val="24"/>
                <w:highlight w:val="none"/>
              </w:rPr>
              <w:t>根据HJ2.4-20</w:t>
            </w:r>
            <w:r>
              <w:rPr>
                <w:rFonts w:hint="eastAsia"/>
                <w:color w:val="auto"/>
                <w:sz w:val="24"/>
                <w:szCs w:val="24"/>
                <w:highlight w:val="none"/>
                <w:lang w:val="en-US" w:eastAsia="zh-CN"/>
              </w:rPr>
              <w:t>21要求，室内声源和室外声源分别按照导则附录B和附录A相关公式分别计算，</w:t>
            </w:r>
            <w:r>
              <w:rPr>
                <w:rFonts w:hint="eastAsia"/>
                <w:color w:val="auto"/>
                <w:sz w:val="24"/>
                <w:highlight w:val="none"/>
                <w:lang w:val="en-US" w:eastAsia="zh-CN"/>
              </w:rPr>
              <w:t>建</w:t>
            </w:r>
            <w:r>
              <w:rPr>
                <w:rFonts w:hint="eastAsia"/>
                <w:color w:val="auto"/>
                <w:sz w:val="24"/>
                <w:highlight w:val="none"/>
              </w:rPr>
              <w:t>成后对厂界噪声影响值见表4</w:t>
            </w:r>
            <w:r>
              <w:rPr>
                <w:rFonts w:hint="default"/>
                <w:color w:val="auto"/>
                <w:sz w:val="24"/>
                <w:highlight w:val="none"/>
              </w:rPr>
              <w:t>-</w:t>
            </w:r>
            <w:r>
              <w:rPr>
                <w:rFonts w:hint="eastAsia"/>
                <w:color w:val="auto"/>
                <w:sz w:val="24"/>
                <w:highlight w:val="none"/>
                <w:lang w:val="en-US" w:eastAsia="zh-CN"/>
              </w:rPr>
              <w:t>18</w:t>
            </w:r>
            <w:r>
              <w:rPr>
                <w:rFonts w:hint="eastAsia"/>
                <w:color w:val="auto"/>
                <w:sz w:val="24"/>
                <w:highlight w:val="none"/>
              </w:rPr>
              <w:t>。</w:t>
            </w:r>
          </w:p>
          <w:p w14:paraId="310F7B5F">
            <w:pPr>
              <w:pStyle w:val="4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18 </w:t>
            </w:r>
            <w:r>
              <w:rPr>
                <w:rFonts w:hint="default" w:ascii="Times New Roman" w:hAnsi="Times New Roman" w:eastAsia="宋体" w:cs="Times New Roman"/>
                <w:b/>
                <w:color w:val="auto"/>
                <w:kern w:val="2"/>
                <w:sz w:val="24"/>
                <w:szCs w:val="24"/>
                <w:highlight w:val="none"/>
              </w:rPr>
              <w:t>厂界噪声预测结果</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15"/>
              <w:gridCol w:w="1804"/>
              <w:gridCol w:w="1998"/>
              <w:gridCol w:w="1995"/>
              <w:gridCol w:w="2106"/>
              <w:gridCol w:w="2104"/>
              <w:gridCol w:w="2085"/>
            </w:tblGrid>
            <w:tr w14:paraId="670C8F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557" w:type="pct"/>
                  <w:tcBorders>
                    <w:tl2br w:val="nil"/>
                    <w:tr2bl w:val="nil"/>
                  </w:tcBorders>
                  <w:vAlign w:val="center"/>
                </w:tcPr>
                <w:p w14:paraId="721908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序号</w:t>
                  </w:r>
                </w:p>
              </w:tc>
              <w:tc>
                <w:tcPr>
                  <w:tcW w:w="663" w:type="pct"/>
                  <w:tcBorders>
                    <w:tl2br w:val="nil"/>
                    <w:tr2bl w:val="nil"/>
                  </w:tcBorders>
                  <w:vAlign w:val="center"/>
                </w:tcPr>
                <w:p w14:paraId="586C29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预测点位置</w:t>
                  </w:r>
                </w:p>
              </w:tc>
              <w:tc>
                <w:tcPr>
                  <w:tcW w:w="734" w:type="pct"/>
                  <w:tcBorders>
                    <w:tl2br w:val="nil"/>
                    <w:tr2bl w:val="nil"/>
                  </w:tcBorders>
                  <w:vAlign w:val="center"/>
                </w:tcPr>
                <w:p w14:paraId="0A750A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现有项目噪声总</w:t>
                  </w:r>
                  <w:r>
                    <w:rPr>
                      <w:rFonts w:hint="eastAsia" w:ascii="Times New Roman" w:hAnsi="Times New Roman" w:eastAsia="宋体" w:cs="Times New Roman"/>
                      <w:b/>
                      <w:bCs/>
                      <w:color w:val="auto"/>
                      <w:kern w:val="0"/>
                      <w:sz w:val="21"/>
                      <w:szCs w:val="21"/>
                      <w:highlight w:val="none"/>
                      <w:lang w:eastAsia="zh-CN" w:bidi="ar"/>
                    </w:rPr>
                    <w:t>贡献</w:t>
                  </w:r>
                  <w:r>
                    <w:rPr>
                      <w:rFonts w:hint="default" w:ascii="Times New Roman" w:hAnsi="Times New Roman" w:eastAsia="宋体" w:cs="Times New Roman"/>
                      <w:b/>
                      <w:bCs/>
                      <w:color w:val="auto"/>
                      <w:kern w:val="0"/>
                      <w:sz w:val="21"/>
                      <w:szCs w:val="21"/>
                      <w:highlight w:val="none"/>
                      <w:lang w:eastAsia="zh-CN" w:bidi="ar"/>
                    </w:rPr>
                    <w:t>值</w:t>
                  </w:r>
                  <w:r>
                    <w:rPr>
                      <w:rFonts w:hint="default" w:ascii="Times New Roman" w:hAnsi="Times New Roman" w:eastAsia="宋体" w:cs="Times New Roman"/>
                      <w:b/>
                      <w:bCs/>
                      <w:color w:val="auto"/>
                      <w:kern w:val="0"/>
                      <w:sz w:val="21"/>
                      <w:szCs w:val="21"/>
                      <w:highlight w:val="none"/>
                      <w:lang w:bidi="ar"/>
                    </w:rPr>
                    <w:t>dB(A)</w:t>
                  </w:r>
                </w:p>
              </w:tc>
              <w:tc>
                <w:tcPr>
                  <w:tcW w:w="733" w:type="pct"/>
                  <w:tcBorders>
                    <w:tl2br w:val="nil"/>
                    <w:tr2bl w:val="nil"/>
                  </w:tcBorders>
                  <w:vAlign w:val="center"/>
                </w:tcPr>
                <w:p w14:paraId="1EE391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kern w:val="0"/>
                      <w:sz w:val="21"/>
                      <w:szCs w:val="21"/>
                      <w:highlight w:val="none"/>
                      <w:lang w:eastAsia="zh-CN" w:bidi="ar"/>
                    </w:rPr>
                    <w:t>本项目</w:t>
                  </w:r>
                  <w:r>
                    <w:rPr>
                      <w:rFonts w:hint="default" w:ascii="Times New Roman" w:hAnsi="Times New Roman" w:eastAsia="宋体" w:cs="Times New Roman"/>
                      <w:b/>
                      <w:bCs/>
                      <w:color w:val="auto"/>
                      <w:kern w:val="0"/>
                      <w:sz w:val="21"/>
                      <w:szCs w:val="21"/>
                      <w:highlight w:val="none"/>
                      <w:lang w:bidi="ar"/>
                    </w:rPr>
                    <w:t>噪声贡献值dB(A)</w:t>
                  </w:r>
                </w:p>
              </w:tc>
              <w:tc>
                <w:tcPr>
                  <w:tcW w:w="774" w:type="pct"/>
                  <w:tcBorders>
                    <w:tl2br w:val="nil"/>
                    <w:tr2bl w:val="nil"/>
                  </w:tcBorders>
                  <w:vAlign w:val="center"/>
                </w:tcPr>
                <w:p w14:paraId="659A03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kern w:val="0"/>
                      <w:sz w:val="21"/>
                      <w:szCs w:val="21"/>
                      <w:highlight w:val="none"/>
                      <w:lang w:bidi="ar"/>
                    </w:rPr>
                  </w:pPr>
                  <w:r>
                    <w:rPr>
                      <w:rFonts w:hint="eastAsia" w:ascii="Times New Roman" w:hAnsi="Times New Roman" w:eastAsia="宋体" w:cs="Times New Roman"/>
                      <w:b/>
                      <w:bCs/>
                      <w:color w:val="auto"/>
                      <w:kern w:val="0"/>
                      <w:sz w:val="21"/>
                      <w:szCs w:val="21"/>
                      <w:highlight w:val="none"/>
                      <w:lang w:eastAsia="zh-CN" w:bidi="ar"/>
                    </w:rPr>
                    <w:t>总贡献</w:t>
                  </w:r>
                  <w:r>
                    <w:rPr>
                      <w:rFonts w:hint="default" w:ascii="Times New Roman" w:hAnsi="Times New Roman" w:eastAsia="宋体" w:cs="Times New Roman"/>
                      <w:b/>
                      <w:bCs/>
                      <w:color w:val="auto"/>
                      <w:kern w:val="0"/>
                      <w:sz w:val="21"/>
                      <w:szCs w:val="21"/>
                      <w:highlight w:val="none"/>
                      <w:lang w:bidi="ar"/>
                    </w:rPr>
                    <w:t>值dB(A)</w:t>
                  </w:r>
                </w:p>
              </w:tc>
              <w:tc>
                <w:tcPr>
                  <w:tcW w:w="773" w:type="pct"/>
                  <w:tcBorders>
                    <w:tl2br w:val="nil"/>
                    <w:tr2bl w:val="nil"/>
                  </w:tcBorders>
                  <w:vAlign w:val="center"/>
                </w:tcPr>
                <w:p w14:paraId="196E76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噪声标准值dB(A)</w:t>
                  </w:r>
                </w:p>
              </w:tc>
              <w:tc>
                <w:tcPr>
                  <w:tcW w:w="762" w:type="pct"/>
                  <w:tcBorders>
                    <w:tl2br w:val="nil"/>
                    <w:tr2bl w:val="nil"/>
                  </w:tcBorders>
                  <w:vAlign w:val="center"/>
                </w:tcPr>
                <w:p w14:paraId="3B9A80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达标情况</w:t>
                  </w:r>
                </w:p>
              </w:tc>
            </w:tr>
            <w:tr w14:paraId="23C784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60A95B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1</w:t>
                  </w:r>
                </w:p>
              </w:tc>
              <w:tc>
                <w:tcPr>
                  <w:tcW w:w="663" w:type="pct"/>
                  <w:tcBorders>
                    <w:tl2br w:val="nil"/>
                    <w:tr2bl w:val="nil"/>
                  </w:tcBorders>
                  <w:vAlign w:val="center"/>
                </w:tcPr>
                <w:p w14:paraId="54CC6A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东厂界</w:t>
                  </w:r>
                </w:p>
              </w:tc>
              <w:tc>
                <w:tcPr>
                  <w:tcW w:w="734" w:type="pct"/>
                  <w:tcBorders>
                    <w:tl2br w:val="nil"/>
                    <w:tr2bl w:val="nil"/>
                  </w:tcBorders>
                  <w:vAlign w:val="center"/>
                </w:tcPr>
                <w:p w14:paraId="05354C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47.1 </w:t>
                  </w:r>
                </w:p>
              </w:tc>
              <w:tc>
                <w:tcPr>
                  <w:tcW w:w="733" w:type="pct"/>
                  <w:tcBorders>
                    <w:tl2br w:val="nil"/>
                    <w:tr2bl w:val="nil"/>
                  </w:tcBorders>
                  <w:vAlign w:val="center"/>
                </w:tcPr>
                <w:p w14:paraId="3CD75E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28.8 </w:t>
                  </w:r>
                </w:p>
              </w:tc>
              <w:tc>
                <w:tcPr>
                  <w:tcW w:w="774" w:type="pct"/>
                  <w:tcBorders>
                    <w:tl2br w:val="nil"/>
                    <w:tr2bl w:val="nil"/>
                  </w:tcBorders>
                  <w:vAlign w:val="center"/>
                </w:tcPr>
                <w:p w14:paraId="677BDE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47.2</w:t>
                  </w:r>
                </w:p>
              </w:tc>
              <w:tc>
                <w:tcPr>
                  <w:tcW w:w="773" w:type="pct"/>
                  <w:tcBorders>
                    <w:tl2br w:val="nil"/>
                    <w:tr2bl w:val="nil"/>
                  </w:tcBorders>
                  <w:vAlign w:val="center"/>
                </w:tcPr>
                <w:p w14:paraId="12324E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762" w:type="pct"/>
                  <w:tcBorders>
                    <w:tl2br w:val="nil"/>
                    <w:tr2bl w:val="nil"/>
                  </w:tcBorders>
                  <w:vAlign w:val="center"/>
                </w:tcPr>
                <w:p w14:paraId="7BFB01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达标</w:t>
                  </w:r>
                </w:p>
              </w:tc>
            </w:tr>
            <w:tr w14:paraId="09E3D4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5A122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highlight w:val="none"/>
                      <w:lang w:eastAsia="zh-CN"/>
                    </w:rPr>
                  </w:pPr>
                  <w:r>
                    <w:rPr>
                      <w:rFonts w:hint="eastAsia" w:cs="Times New Roman"/>
                      <w:color w:val="auto"/>
                      <w:kern w:val="0"/>
                      <w:sz w:val="21"/>
                      <w:szCs w:val="21"/>
                      <w:highlight w:val="none"/>
                      <w:lang w:val="en-US" w:eastAsia="zh-CN" w:bidi="ar"/>
                    </w:rPr>
                    <w:t>2</w:t>
                  </w:r>
                </w:p>
              </w:tc>
              <w:tc>
                <w:tcPr>
                  <w:tcW w:w="663" w:type="pct"/>
                  <w:tcBorders>
                    <w:tl2br w:val="nil"/>
                    <w:tr2bl w:val="nil"/>
                  </w:tcBorders>
                  <w:vAlign w:val="center"/>
                </w:tcPr>
                <w:p w14:paraId="3F79CB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南厂界</w:t>
                  </w:r>
                </w:p>
              </w:tc>
              <w:tc>
                <w:tcPr>
                  <w:tcW w:w="734" w:type="pct"/>
                  <w:tcBorders>
                    <w:tl2br w:val="nil"/>
                    <w:tr2bl w:val="nil"/>
                  </w:tcBorders>
                  <w:vAlign w:val="center"/>
                </w:tcPr>
                <w:p w14:paraId="6AA5B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46.5 </w:t>
                  </w:r>
                </w:p>
              </w:tc>
              <w:tc>
                <w:tcPr>
                  <w:tcW w:w="733" w:type="pct"/>
                  <w:tcBorders>
                    <w:tl2br w:val="nil"/>
                    <w:tr2bl w:val="nil"/>
                  </w:tcBorders>
                  <w:vAlign w:val="center"/>
                </w:tcPr>
                <w:p w14:paraId="630FB3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31.6</w:t>
                  </w:r>
                </w:p>
              </w:tc>
              <w:tc>
                <w:tcPr>
                  <w:tcW w:w="774" w:type="pct"/>
                  <w:tcBorders>
                    <w:tl2br w:val="nil"/>
                    <w:tr2bl w:val="nil"/>
                  </w:tcBorders>
                  <w:vAlign w:val="center"/>
                </w:tcPr>
                <w:p w14:paraId="6C0C06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i w:val="0"/>
                      <w:iCs w:val="0"/>
                      <w:color w:val="auto"/>
                      <w:kern w:val="0"/>
                      <w:sz w:val="21"/>
                      <w:szCs w:val="21"/>
                      <w:highlight w:val="none"/>
                      <w:u w:val="none"/>
                      <w:lang w:val="en-US" w:eastAsia="zh-CN" w:bidi="ar"/>
                    </w:rPr>
                    <w:t>46.5</w:t>
                  </w:r>
                </w:p>
              </w:tc>
              <w:tc>
                <w:tcPr>
                  <w:tcW w:w="773" w:type="pct"/>
                  <w:tcBorders>
                    <w:tl2br w:val="nil"/>
                    <w:tr2bl w:val="nil"/>
                  </w:tcBorders>
                  <w:vAlign w:val="center"/>
                </w:tcPr>
                <w:p w14:paraId="0C43DF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762" w:type="pct"/>
                  <w:tcBorders>
                    <w:tl2br w:val="nil"/>
                    <w:tr2bl w:val="nil"/>
                  </w:tcBorders>
                  <w:vAlign w:val="center"/>
                </w:tcPr>
                <w:p w14:paraId="765AC3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达标</w:t>
                  </w:r>
                </w:p>
              </w:tc>
            </w:tr>
            <w:tr w14:paraId="69EFA7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305B46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w:t>
                  </w:r>
                </w:p>
              </w:tc>
              <w:tc>
                <w:tcPr>
                  <w:tcW w:w="663" w:type="pct"/>
                  <w:tcBorders>
                    <w:tl2br w:val="nil"/>
                    <w:tr2bl w:val="nil"/>
                  </w:tcBorders>
                  <w:vAlign w:val="center"/>
                </w:tcPr>
                <w:p w14:paraId="1BDC51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西厂界</w:t>
                  </w:r>
                </w:p>
              </w:tc>
              <w:tc>
                <w:tcPr>
                  <w:tcW w:w="734" w:type="pct"/>
                  <w:tcBorders>
                    <w:tl2br w:val="nil"/>
                    <w:tr2bl w:val="nil"/>
                  </w:tcBorders>
                  <w:vAlign w:val="center"/>
                </w:tcPr>
                <w:p w14:paraId="5A49DA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37.9 </w:t>
                  </w:r>
                </w:p>
              </w:tc>
              <w:tc>
                <w:tcPr>
                  <w:tcW w:w="733" w:type="pct"/>
                  <w:tcBorders>
                    <w:tl2br w:val="nil"/>
                    <w:tr2bl w:val="nil"/>
                  </w:tcBorders>
                  <w:vAlign w:val="center"/>
                </w:tcPr>
                <w:p w14:paraId="44B49C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i w:val="0"/>
                      <w:iCs w:val="0"/>
                      <w:color w:val="auto"/>
                      <w:kern w:val="0"/>
                      <w:sz w:val="21"/>
                      <w:szCs w:val="21"/>
                      <w:highlight w:val="none"/>
                      <w:u w:val="none"/>
                      <w:lang w:val="en-US" w:eastAsia="zh-CN" w:bidi="ar"/>
                    </w:rPr>
                    <w:t>23.1</w:t>
                  </w:r>
                </w:p>
              </w:tc>
              <w:tc>
                <w:tcPr>
                  <w:tcW w:w="774" w:type="pct"/>
                  <w:tcBorders>
                    <w:tl2br w:val="nil"/>
                    <w:tr2bl w:val="nil"/>
                  </w:tcBorders>
                  <w:vAlign w:val="center"/>
                </w:tcPr>
                <w:p w14:paraId="3F8706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38.0</w:t>
                  </w:r>
                </w:p>
              </w:tc>
              <w:tc>
                <w:tcPr>
                  <w:tcW w:w="773" w:type="pct"/>
                  <w:tcBorders>
                    <w:tl2br w:val="nil"/>
                    <w:tr2bl w:val="nil"/>
                  </w:tcBorders>
                  <w:vAlign w:val="center"/>
                </w:tcPr>
                <w:p w14:paraId="712756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762" w:type="pct"/>
                  <w:tcBorders>
                    <w:tl2br w:val="nil"/>
                    <w:tr2bl w:val="nil"/>
                  </w:tcBorders>
                  <w:vAlign w:val="center"/>
                </w:tcPr>
                <w:p w14:paraId="3658BB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达标</w:t>
                  </w:r>
                </w:p>
              </w:tc>
            </w:tr>
            <w:tr w14:paraId="196CC4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57" w:type="pct"/>
                  <w:tcBorders>
                    <w:tl2br w:val="nil"/>
                    <w:tr2bl w:val="nil"/>
                  </w:tcBorders>
                  <w:vAlign w:val="center"/>
                </w:tcPr>
                <w:p w14:paraId="168BBC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w:t>
                  </w:r>
                </w:p>
              </w:tc>
              <w:tc>
                <w:tcPr>
                  <w:tcW w:w="663" w:type="pct"/>
                  <w:tcBorders>
                    <w:tl2br w:val="nil"/>
                    <w:tr2bl w:val="nil"/>
                  </w:tcBorders>
                  <w:vAlign w:val="center"/>
                </w:tcPr>
                <w:p w14:paraId="5A11B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北厂界</w:t>
                  </w:r>
                </w:p>
              </w:tc>
              <w:tc>
                <w:tcPr>
                  <w:tcW w:w="734" w:type="pct"/>
                  <w:tcBorders>
                    <w:tl2br w:val="nil"/>
                    <w:tr2bl w:val="nil"/>
                  </w:tcBorders>
                  <w:vAlign w:val="center"/>
                </w:tcPr>
                <w:p w14:paraId="18CA5C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42.3 </w:t>
                  </w:r>
                </w:p>
              </w:tc>
              <w:tc>
                <w:tcPr>
                  <w:tcW w:w="733" w:type="pct"/>
                  <w:tcBorders>
                    <w:tl2br w:val="nil"/>
                    <w:tr2bl w:val="nil"/>
                  </w:tcBorders>
                  <w:vAlign w:val="center"/>
                </w:tcPr>
                <w:p w14:paraId="65E724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49.0 </w:t>
                  </w:r>
                </w:p>
              </w:tc>
              <w:tc>
                <w:tcPr>
                  <w:tcW w:w="774" w:type="pct"/>
                  <w:tcBorders>
                    <w:tl2br w:val="nil"/>
                    <w:tr2bl w:val="nil"/>
                  </w:tcBorders>
                  <w:vAlign w:val="center"/>
                </w:tcPr>
                <w:p w14:paraId="6043B4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i w:val="0"/>
                      <w:iCs w:val="0"/>
                      <w:color w:val="auto"/>
                      <w:kern w:val="0"/>
                      <w:sz w:val="21"/>
                      <w:szCs w:val="21"/>
                      <w:highlight w:val="none"/>
                      <w:u w:val="none"/>
                      <w:lang w:val="en-US" w:eastAsia="zh-CN" w:bidi="ar"/>
                    </w:rPr>
                    <w:t>49.9</w:t>
                  </w:r>
                </w:p>
              </w:tc>
              <w:tc>
                <w:tcPr>
                  <w:tcW w:w="773" w:type="pct"/>
                  <w:tcBorders>
                    <w:tl2br w:val="nil"/>
                    <w:tr2bl w:val="nil"/>
                  </w:tcBorders>
                  <w:vAlign w:val="center"/>
                </w:tcPr>
                <w:p w14:paraId="06379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w:t>
                  </w:r>
                </w:p>
              </w:tc>
              <w:tc>
                <w:tcPr>
                  <w:tcW w:w="762" w:type="pct"/>
                  <w:tcBorders>
                    <w:tl2br w:val="nil"/>
                    <w:tr2bl w:val="nil"/>
                  </w:tcBorders>
                  <w:vAlign w:val="center"/>
                </w:tcPr>
                <w:p w14:paraId="0CA56A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达标</w:t>
                  </w:r>
                </w:p>
              </w:tc>
            </w:tr>
            <w:tr w14:paraId="397D4C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000" w:type="pct"/>
                  <w:gridSpan w:val="7"/>
                  <w:tcBorders>
                    <w:tl2br w:val="nil"/>
                    <w:tr2bl w:val="nil"/>
                  </w:tcBorders>
                  <w:vAlign w:val="center"/>
                </w:tcPr>
                <w:p w14:paraId="55F038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center"/>
                    <w:rPr>
                      <w:rFonts w:hint="default" w:ascii="Times New Roman" w:hAnsi="Times New Roman" w:eastAsia="宋体" w:cs="Times New Roman"/>
                      <w:color w:val="auto"/>
                      <w:kern w:val="0"/>
                      <w:sz w:val="21"/>
                      <w:szCs w:val="21"/>
                      <w:highlight w:val="none"/>
                      <w:lang w:bidi="ar"/>
                    </w:rPr>
                  </w:pPr>
                  <w:r>
                    <w:rPr>
                      <w:rFonts w:hint="eastAsia" w:cs="Times New Roman"/>
                      <w:b/>
                      <w:bCs/>
                      <w:color w:val="auto"/>
                      <w:kern w:val="0"/>
                      <w:sz w:val="21"/>
                      <w:szCs w:val="21"/>
                      <w:highlight w:val="none"/>
                      <w:lang w:val="en-US" w:eastAsia="zh-CN" w:bidi="ar"/>
                    </w:rPr>
                    <w:t>注：</w:t>
                  </w:r>
                  <w:r>
                    <w:rPr>
                      <w:rFonts w:hint="default" w:ascii="Times New Roman" w:hAnsi="Times New Roman" w:eastAsia="宋体" w:cs="Times New Roman"/>
                      <w:b/>
                      <w:bCs/>
                      <w:color w:val="auto"/>
                      <w:kern w:val="0"/>
                      <w:sz w:val="21"/>
                      <w:szCs w:val="21"/>
                      <w:highlight w:val="none"/>
                      <w:lang w:val="en-US" w:eastAsia="zh-CN" w:bidi="ar"/>
                    </w:rPr>
                    <w:t>现有项目</w:t>
                  </w:r>
                  <w:r>
                    <w:rPr>
                      <w:rFonts w:hint="default" w:ascii="Times New Roman" w:hAnsi="Times New Roman" w:eastAsia="宋体" w:cs="Times New Roman"/>
                      <w:b/>
                      <w:bCs/>
                      <w:color w:val="auto"/>
                      <w:kern w:val="0"/>
                      <w:sz w:val="21"/>
                      <w:szCs w:val="21"/>
                      <w:highlight w:val="none"/>
                      <w:lang w:eastAsia="zh-CN" w:bidi="ar"/>
                    </w:rPr>
                    <w:t>噪声</w:t>
                  </w:r>
                  <w:r>
                    <w:rPr>
                      <w:rFonts w:hint="default" w:ascii="Times New Roman" w:hAnsi="Times New Roman" w:eastAsia="宋体" w:cs="Times New Roman"/>
                      <w:b/>
                      <w:bCs/>
                      <w:color w:val="auto"/>
                      <w:kern w:val="0"/>
                      <w:sz w:val="21"/>
                      <w:szCs w:val="21"/>
                      <w:highlight w:val="none"/>
                      <w:lang w:val="en-US" w:eastAsia="zh-CN" w:bidi="ar"/>
                    </w:rPr>
                    <w:t>总</w:t>
                  </w:r>
                  <w:r>
                    <w:rPr>
                      <w:rFonts w:hint="default" w:ascii="Times New Roman" w:hAnsi="Times New Roman" w:eastAsia="宋体" w:cs="Times New Roman"/>
                      <w:b/>
                      <w:bCs/>
                      <w:color w:val="auto"/>
                      <w:kern w:val="0"/>
                      <w:sz w:val="21"/>
                      <w:szCs w:val="21"/>
                      <w:highlight w:val="none"/>
                      <w:lang w:eastAsia="zh-CN" w:bidi="ar"/>
                    </w:rPr>
                    <w:t>贡献值</w:t>
                  </w:r>
                  <w:r>
                    <w:rPr>
                      <w:rFonts w:hint="default" w:ascii="Times New Roman" w:hAnsi="Times New Roman" w:eastAsia="宋体" w:cs="Times New Roman"/>
                      <w:b/>
                      <w:bCs/>
                      <w:color w:val="auto"/>
                      <w:kern w:val="0"/>
                      <w:sz w:val="21"/>
                      <w:szCs w:val="21"/>
                      <w:highlight w:val="none"/>
                      <w:lang w:val="en-US" w:eastAsia="zh-CN" w:bidi="ar"/>
                    </w:rPr>
                    <w:t>参考《年产一亿个口腔隐形正畸产品的个性化定制与柔性制造协同创新模式应用项目环境影响评价报告表》</w:t>
                  </w:r>
                </w:p>
              </w:tc>
            </w:tr>
          </w:tbl>
          <w:p w14:paraId="69402CE6">
            <w:pPr>
              <w:pStyle w:val="12"/>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highlight w:val="none"/>
              </w:rPr>
            </w:pPr>
            <w:r>
              <w:rPr>
                <w:rFonts w:hint="default"/>
                <w:color w:val="auto"/>
                <w:sz w:val="24"/>
                <w:highlight w:val="none"/>
              </w:rPr>
              <w:t>根据预测，通过厂房隔声等措施后，噪声源对厂界的</w:t>
            </w:r>
            <w:r>
              <w:rPr>
                <w:rFonts w:hint="eastAsia"/>
                <w:color w:val="auto"/>
                <w:sz w:val="24"/>
                <w:highlight w:val="none"/>
              </w:rPr>
              <w:t>预测</w:t>
            </w:r>
            <w:r>
              <w:rPr>
                <w:rFonts w:hint="default"/>
                <w:color w:val="auto"/>
                <w:sz w:val="24"/>
                <w:highlight w:val="none"/>
              </w:rPr>
              <w:t>值能达到《工业企业厂界环境噪声排放标准》（GB12348-2008）中的</w:t>
            </w:r>
            <w:r>
              <w:rPr>
                <w:rFonts w:hint="eastAsia"/>
                <w:color w:val="auto"/>
                <w:sz w:val="24"/>
                <w:highlight w:val="none"/>
                <w:lang w:val="en-US" w:eastAsia="zh-CN"/>
              </w:rPr>
              <w:t>2</w:t>
            </w:r>
            <w:r>
              <w:rPr>
                <w:rFonts w:hint="default"/>
                <w:color w:val="auto"/>
                <w:sz w:val="24"/>
                <w:highlight w:val="none"/>
              </w:rPr>
              <w:t>类标准：昼间≤</w:t>
            </w:r>
            <w:r>
              <w:rPr>
                <w:rFonts w:hint="eastAsia"/>
                <w:color w:val="auto"/>
                <w:sz w:val="24"/>
                <w:highlight w:val="none"/>
                <w:lang w:val="en-US" w:eastAsia="zh-CN"/>
              </w:rPr>
              <w:t>60</w:t>
            </w:r>
            <w:r>
              <w:rPr>
                <w:rFonts w:hint="default"/>
                <w:color w:val="auto"/>
                <w:sz w:val="24"/>
                <w:highlight w:val="none"/>
              </w:rPr>
              <w:t>dB（A）</w:t>
            </w:r>
            <w:r>
              <w:rPr>
                <w:rFonts w:hint="eastAsia"/>
                <w:color w:val="auto"/>
                <w:sz w:val="24"/>
                <w:highlight w:val="none"/>
              </w:rPr>
              <w:t>。综上，项目产生的噪声对周围声环境影响较小，噪声防治措施可行。</w:t>
            </w:r>
          </w:p>
          <w:p w14:paraId="5031AC92">
            <w:pPr>
              <w:keepNext w:val="0"/>
              <w:keepLines w:val="0"/>
              <w:suppressLineNumbers w:val="0"/>
              <w:adjustRightInd w:val="0"/>
              <w:snapToGrid w:val="0"/>
              <w:spacing w:before="120" w:beforeLines="50" w:beforeAutospacing="0" w:after="0" w:afterAutospacing="0" w:line="360" w:lineRule="auto"/>
              <w:ind w:left="0" w:right="0" w:firstLine="482" w:firstLineChars="200"/>
              <w:rPr>
                <w:rFonts w:hint="eastAsia" w:ascii="Times New Roman" w:hAnsi="Times New Roman" w:eastAsia="宋体" w:cs="Times New Roman"/>
                <w:b/>
                <w:bCs/>
                <w:color w:val="auto"/>
                <w:kern w:val="0"/>
                <w:sz w:val="24"/>
                <w:szCs w:val="24"/>
                <w:highlight w:val="none"/>
                <w:lang w:eastAsia="zh-CN"/>
              </w:rPr>
            </w:pPr>
            <w:r>
              <w:rPr>
                <w:rFonts w:hint="eastAsia" w:ascii="Times New Roman" w:hAnsi="Times New Roman" w:eastAsia="宋体" w:cs="Times New Roman"/>
                <w:b/>
                <w:bCs/>
                <w:color w:val="auto"/>
                <w:kern w:val="0"/>
                <w:sz w:val="24"/>
                <w:szCs w:val="24"/>
                <w:highlight w:val="none"/>
                <w:lang w:eastAsia="zh-CN"/>
              </w:rPr>
              <w:t>（</w:t>
            </w:r>
            <w:r>
              <w:rPr>
                <w:rFonts w:hint="eastAsia" w:ascii="Times New Roman" w:hAnsi="Times New Roman" w:eastAsia="宋体" w:cs="Times New Roman"/>
                <w:b/>
                <w:bCs/>
                <w:color w:val="auto"/>
                <w:kern w:val="0"/>
                <w:sz w:val="24"/>
                <w:szCs w:val="24"/>
                <w:highlight w:val="none"/>
                <w:lang w:val="en-US" w:eastAsia="zh-CN"/>
              </w:rPr>
              <w:t>4</w:t>
            </w:r>
            <w:r>
              <w:rPr>
                <w:rFonts w:hint="eastAsia" w:ascii="Times New Roman" w:hAnsi="Times New Roman" w:eastAsia="宋体" w:cs="Times New Roman"/>
                <w:b/>
                <w:bCs/>
                <w:color w:val="auto"/>
                <w:kern w:val="0"/>
                <w:sz w:val="24"/>
                <w:szCs w:val="24"/>
                <w:highlight w:val="none"/>
                <w:lang w:eastAsia="zh-CN"/>
              </w:rPr>
              <w:t>）噪声监测计划</w:t>
            </w:r>
          </w:p>
          <w:p w14:paraId="25970F8A">
            <w:pPr>
              <w:pStyle w:val="49"/>
              <w:keepNext w:val="0"/>
              <w:keepLines w:val="0"/>
              <w:suppressLineNumbers w:val="0"/>
              <w:spacing w:before="0" w:beforeAutospacing="0" w:after="0" w:afterAutospacing="0"/>
              <w:ind w:left="0" w:right="0" w:firstLine="480"/>
              <w:rPr>
                <w:rFonts w:hint="default"/>
                <w:b/>
                <w:bCs/>
                <w:snapToGrid w:val="0"/>
                <w:color w:val="auto"/>
                <w:szCs w:val="24"/>
                <w:highlight w:val="none"/>
              </w:rPr>
            </w:pPr>
            <w:r>
              <w:rPr>
                <w:rFonts w:hint="default"/>
                <w:bCs/>
                <w:color w:val="auto"/>
                <w:szCs w:val="24"/>
                <w:highlight w:val="none"/>
              </w:rPr>
              <w:t>根据《排污单位自行监测技术指南  总则》（HJ819-2017）5.4厂界环境噪声监测，厂界噪声最低监测频次为季度，</w:t>
            </w:r>
            <w:r>
              <w:rPr>
                <w:rFonts w:hint="eastAsia"/>
                <w:bCs/>
                <w:color w:val="auto"/>
                <w:szCs w:val="24"/>
                <w:highlight w:val="none"/>
                <w:lang w:val="en-US" w:eastAsia="zh-CN"/>
              </w:rPr>
              <w:t>因</w:t>
            </w:r>
            <w:r>
              <w:rPr>
                <w:rFonts w:hint="default"/>
                <w:bCs/>
                <w:color w:val="auto"/>
                <w:szCs w:val="24"/>
                <w:highlight w:val="none"/>
              </w:rPr>
              <w:t>本项目建成后</w:t>
            </w:r>
            <w:r>
              <w:rPr>
                <w:rFonts w:hint="eastAsia"/>
                <w:bCs/>
                <w:color w:val="auto"/>
                <w:szCs w:val="24"/>
                <w:highlight w:val="none"/>
                <w:lang w:val="en-US" w:eastAsia="zh-CN"/>
              </w:rPr>
              <w:t>全厂</w:t>
            </w:r>
            <w:r>
              <w:rPr>
                <w:rFonts w:hint="default"/>
                <w:bCs/>
                <w:color w:val="auto"/>
                <w:szCs w:val="24"/>
                <w:highlight w:val="none"/>
              </w:rPr>
              <w:t>有夜间生产，厂界噪声监测频次为一季度开展一次，昼夜间均需监测</w:t>
            </w:r>
            <w:r>
              <w:rPr>
                <w:rFonts w:hint="default"/>
                <w:snapToGrid w:val="0"/>
                <w:color w:val="auto"/>
                <w:szCs w:val="24"/>
                <w:highlight w:val="none"/>
              </w:rPr>
              <w:t>。</w:t>
            </w:r>
          </w:p>
          <w:p w14:paraId="747DCE28">
            <w:pPr>
              <w:pStyle w:val="46"/>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 xml:space="preserve">19  </w:t>
            </w:r>
            <w:r>
              <w:rPr>
                <w:rFonts w:hint="default" w:ascii="Times New Roman" w:hAnsi="Times New Roman" w:eastAsia="宋体"/>
                <w:b/>
                <w:color w:val="auto"/>
                <w:kern w:val="2"/>
                <w:highlight w:val="none"/>
              </w:rPr>
              <w:t>噪声监测计划</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2061"/>
              <w:gridCol w:w="3001"/>
              <w:gridCol w:w="1871"/>
              <w:gridCol w:w="1838"/>
              <w:gridCol w:w="4839"/>
            </w:tblGrid>
            <w:tr w14:paraId="1665C43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536" w:hRule="atLeast"/>
                <w:jc w:val="center"/>
              </w:trPr>
              <w:tc>
                <w:tcPr>
                  <w:tcW w:w="757" w:type="pct"/>
                  <w:vAlign w:val="center"/>
                </w:tcPr>
                <w:p w14:paraId="7BE23DA8">
                  <w:pPr>
                    <w:pStyle w:val="38"/>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1102" w:type="pct"/>
                  <w:vAlign w:val="center"/>
                </w:tcPr>
                <w:p w14:paraId="255E1361">
                  <w:pPr>
                    <w:pStyle w:val="38"/>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687" w:type="pct"/>
                  <w:vAlign w:val="center"/>
                </w:tcPr>
                <w:p w14:paraId="7EC91D93">
                  <w:pPr>
                    <w:pStyle w:val="38"/>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监测指标</w:t>
                  </w:r>
                </w:p>
              </w:tc>
              <w:tc>
                <w:tcPr>
                  <w:tcW w:w="675" w:type="pct"/>
                  <w:vAlign w:val="center"/>
                </w:tcPr>
                <w:p w14:paraId="76E7B345">
                  <w:pPr>
                    <w:pStyle w:val="38"/>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1777" w:type="pct"/>
                  <w:vAlign w:val="center"/>
                </w:tcPr>
                <w:p w14:paraId="3EFE92BC">
                  <w:pPr>
                    <w:pStyle w:val="38"/>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执行排放标准</w:t>
                  </w:r>
                </w:p>
              </w:tc>
            </w:tr>
            <w:tr w14:paraId="31999A2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694" w:hRule="atLeast"/>
                <w:jc w:val="center"/>
              </w:trPr>
              <w:tc>
                <w:tcPr>
                  <w:tcW w:w="757" w:type="pct"/>
                  <w:vAlign w:val="center"/>
                </w:tcPr>
                <w:p w14:paraId="687F623E">
                  <w:pPr>
                    <w:pStyle w:val="3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102" w:type="pct"/>
                  <w:vAlign w:val="center"/>
                </w:tcPr>
                <w:p w14:paraId="51140187">
                  <w:pPr>
                    <w:pStyle w:val="3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东、南、西、北各厂界厂界外1m</w:t>
                  </w:r>
                </w:p>
              </w:tc>
              <w:tc>
                <w:tcPr>
                  <w:tcW w:w="687" w:type="pct"/>
                  <w:vAlign w:val="center"/>
                </w:tcPr>
                <w:p w14:paraId="14E5D4CF">
                  <w:pPr>
                    <w:pStyle w:val="3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连续等效A声级</w:t>
                  </w:r>
                </w:p>
              </w:tc>
              <w:tc>
                <w:tcPr>
                  <w:tcW w:w="675" w:type="pct"/>
                  <w:vAlign w:val="center"/>
                </w:tcPr>
                <w:p w14:paraId="123BF638">
                  <w:pPr>
                    <w:pStyle w:val="3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1次/季度</w:t>
                  </w:r>
                </w:p>
                <w:p w14:paraId="3FD05899">
                  <w:pPr>
                    <w:pStyle w:val="3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夜间</w:t>
                  </w:r>
                </w:p>
              </w:tc>
              <w:tc>
                <w:tcPr>
                  <w:tcW w:w="1777" w:type="pct"/>
                  <w:vAlign w:val="center"/>
                </w:tcPr>
                <w:p w14:paraId="6A898B3F">
                  <w:pPr>
                    <w:pStyle w:val="3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bl>
          <w:p w14:paraId="5E861B6D">
            <w:pPr>
              <w:pStyle w:val="12"/>
              <w:keepNext w:val="0"/>
              <w:keepLines w:val="0"/>
              <w:numPr>
                <w:ilvl w:val="0"/>
                <w:numId w:val="0"/>
              </w:numPr>
              <w:suppressLineNumbers w:val="0"/>
              <w:tabs>
                <w:tab w:val="clear" w:pos="2040"/>
              </w:tabs>
              <w:spacing w:before="0" w:beforeAutospacing="0" w:after="0" w:afterAutospacing="0"/>
              <w:ind w:left="0" w:right="0"/>
              <w:rPr>
                <w:rFonts w:hint="eastAsia"/>
                <w:color w:val="auto"/>
                <w:sz w:val="24"/>
                <w:highlight w:val="none"/>
              </w:rPr>
            </w:pPr>
          </w:p>
        </w:tc>
      </w:tr>
    </w:tbl>
    <w:p w14:paraId="3C5EE742">
      <w:pPr>
        <w:pStyle w:val="12"/>
        <w:numPr>
          <w:ilvl w:val="0"/>
          <w:numId w:val="0"/>
        </w:numPr>
        <w:tabs>
          <w:tab w:val="clear" w:pos="2040"/>
        </w:tabs>
        <w:rPr>
          <w:rFonts w:ascii="Times New Roman" w:hAnsi="Times New Roman" w:eastAsia="宋体"/>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9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923"/>
      </w:tblGrid>
      <w:tr w14:paraId="458E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3" w:hRule="atLeast"/>
        </w:trPr>
        <w:tc>
          <w:tcPr>
            <w:tcW w:w="426" w:type="dxa"/>
            <w:vAlign w:val="center"/>
          </w:tcPr>
          <w:p w14:paraId="6F066915">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运营</w:t>
            </w:r>
          </w:p>
          <w:p w14:paraId="01AB4F18">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期环</w:t>
            </w:r>
          </w:p>
          <w:p w14:paraId="22052192">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境影</w:t>
            </w:r>
          </w:p>
          <w:p w14:paraId="0F11F6D4">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响和</w:t>
            </w:r>
          </w:p>
          <w:p w14:paraId="72F5FEE0">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保护措施</w:t>
            </w:r>
          </w:p>
        </w:tc>
        <w:tc>
          <w:tcPr>
            <w:tcW w:w="8923" w:type="dxa"/>
          </w:tcPr>
          <w:p w14:paraId="0DF5C3CE">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sz w:val="24"/>
                <w:highlight w:val="none"/>
              </w:rPr>
              <w:t>固体废物</w:t>
            </w:r>
          </w:p>
          <w:p w14:paraId="258CA5B3">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本项目</w:t>
            </w:r>
            <w:r>
              <w:rPr>
                <w:rFonts w:hint="default" w:ascii="Times New Roman" w:hAnsi="Times New Roman" w:eastAsia="宋体" w:cs="Times New Roman"/>
                <w:b/>
                <w:bCs/>
                <w:color w:val="auto"/>
                <w:sz w:val="24"/>
                <w:highlight w:val="none"/>
              </w:rPr>
              <w:t>固体废物产生情况</w:t>
            </w:r>
          </w:p>
          <w:p w14:paraId="0EE35CAD">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60" w:leftChars="0" w:right="0" w:firstLine="480" w:firstLineChars="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宋体"/>
                <w:b/>
                <w:bCs/>
                <w:color w:val="auto"/>
                <w:kern w:val="2"/>
                <w:sz w:val="24"/>
                <w:szCs w:val="24"/>
                <w:highlight w:val="none"/>
                <w:lang w:val="en-US" w:eastAsia="zh-CN" w:bidi="ar-SA"/>
              </w:rPr>
              <w:t>①</w:t>
            </w:r>
            <w:r>
              <w:rPr>
                <w:rFonts w:hint="eastAsia" w:cs="Times New Roman"/>
                <w:b/>
                <w:bCs/>
                <w:color w:val="auto"/>
                <w:sz w:val="24"/>
                <w:highlight w:val="none"/>
                <w:lang w:val="en-US" w:eastAsia="zh-CN"/>
              </w:rPr>
              <w:t>（硅油-脱模剂）废包装桶</w:t>
            </w:r>
            <w:r>
              <w:rPr>
                <w:rFonts w:hint="eastAsia" w:ascii="Times New Roman" w:hAnsi="Times New Roman" w:eastAsia="宋体" w:cs="Times New Roman"/>
                <w:b/>
                <w:bCs/>
                <w:color w:val="auto"/>
                <w:sz w:val="24"/>
                <w:highlight w:val="none"/>
                <w:lang w:val="en-US" w:eastAsia="zh-CN"/>
              </w:rPr>
              <w:t>：</w:t>
            </w:r>
            <w:r>
              <w:rPr>
                <w:rFonts w:hint="eastAsia" w:cs="Times New Roman"/>
                <w:color w:val="auto"/>
                <w:sz w:val="24"/>
                <w:highlight w:val="none"/>
                <w:lang w:val="en-US" w:eastAsia="zh-CN"/>
              </w:rPr>
              <w:t>本</w:t>
            </w:r>
            <w:r>
              <w:rPr>
                <w:rFonts w:hint="eastAsia" w:ascii="Times New Roman" w:hAnsi="Times New Roman" w:eastAsia="宋体" w:cs="Times New Roman"/>
                <w:color w:val="auto"/>
                <w:kern w:val="2"/>
                <w:sz w:val="24"/>
                <w:szCs w:val="24"/>
                <w:highlight w:val="none"/>
                <w:lang w:val="en-US" w:eastAsia="zh-CN" w:bidi="ar-SA"/>
              </w:rPr>
              <w:t>项目新增硅油-脱模剂</w:t>
            </w:r>
            <w:r>
              <w:rPr>
                <w:rFonts w:hint="eastAsia" w:cs="Times New Roman"/>
                <w:color w:val="auto"/>
                <w:kern w:val="2"/>
                <w:sz w:val="24"/>
                <w:szCs w:val="24"/>
                <w:highlight w:val="none"/>
                <w:lang w:val="en-US" w:eastAsia="zh-CN" w:bidi="ar-SA"/>
              </w:rPr>
              <w:t>2.9t/a</w:t>
            </w:r>
            <w:r>
              <w:rPr>
                <w:rFonts w:hint="eastAsia" w:ascii="Times New Roman" w:hAnsi="Times New Roman" w:eastAsia="宋体" w:cs="Times New Roman"/>
                <w:color w:val="auto"/>
                <w:kern w:val="2"/>
                <w:sz w:val="24"/>
                <w:szCs w:val="24"/>
                <w:highlight w:val="none"/>
                <w:lang w:val="en-US" w:eastAsia="zh-CN" w:bidi="ar-SA"/>
              </w:rPr>
              <w:t>，使用铁桶包装，规格为13.5kg/桶，年使用量共约</w:t>
            </w:r>
            <w:r>
              <w:rPr>
                <w:rFonts w:hint="eastAsia" w:cs="Times New Roman"/>
                <w:color w:val="auto"/>
                <w:kern w:val="2"/>
                <w:sz w:val="24"/>
                <w:szCs w:val="24"/>
                <w:highlight w:val="none"/>
                <w:lang w:val="en-US" w:eastAsia="zh-CN" w:bidi="ar-SA"/>
              </w:rPr>
              <w:t>215</w:t>
            </w:r>
            <w:r>
              <w:rPr>
                <w:rFonts w:hint="eastAsia" w:ascii="Times New Roman" w:hAnsi="Times New Roman" w:eastAsia="宋体" w:cs="Times New Roman"/>
                <w:color w:val="auto"/>
                <w:kern w:val="2"/>
                <w:sz w:val="24"/>
                <w:szCs w:val="24"/>
                <w:highlight w:val="none"/>
                <w:lang w:val="en-US" w:eastAsia="zh-CN" w:bidi="ar-SA"/>
              </w:rPr>
              <w:t>个，桶重1.5kg/个，共产生废包装桶</w:t>
            </w:r>
            <w:r>
              <w:rPr>
                <w:rFonts w:hint="eastAsia" w:cs="Times New Roman"/>
                <w:color w:val="auto"/>
                <w:kern w:val="2"/>
                <w:sz w:val="24"/>
                <w:szCs w:val="24"/>
                <w:highlight w:val="none"/>
                <w:lang w:val="en-US" w:eastAsia="zh-CN" w:bidi="ar-SA"/>
              </w:rPr>
              <w:t>0.3225</w:t>
            </w:r>
            <w:r>
              <w:rPr>
                <w:rFonts w:hint="eastAsia" w:ascii="Times New Roman" w:hAnsi="Times New Roman" w:eastAsia="宋体" w:cs="Times New Roman"/>
                <w:color w:val="auto"/>
                <w:kern w:val="2"/>
                <w:sz w:val="24"/>
                <w:szCs w:val="24"/>
                <w:highlight w:val="none"/>
                <w:lang w:val="en-US" w:eastAsia="zh-CN" w:bidi="ar-SA"/>
              </w:rPr>
              <w:t>t/a。</w:t>
            </w:r>
          </w:p>
          <w:p w14:paraId="74400653">
            <w:pPr>
              <w:pStyle w:val="1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textAlignment w:val="auto"/>
              <w:rPr>
                <w:rFonts w:hint="eastAsia" w:eastAsia="宋体"/>
                <w:color w:val="auto"/>
                <w:sz w:val="24"/>
                <w:highlight w:val="none"/>
                <w:lang w:val="en-US" w:eastAsia="zh-CN"/>
              </w:rPr>
            </w:pPr>
            <w:r>
              <w:rPr>
                <w:rFonts w:hint="eastAsia" w:ascii="Times New Roman" w:hAnsi="Times New Roman" w:eastAsia="宋体" w:cs="宋体"/>
                <w:b/>
                <w:bCs/>
                <w:color w:val="auto"/>
                <w:kern w:val="2"/>
                <w:sz w:val="24"/>
                <w:szCs w:val="24"/>
                <w:highlight w:val="none"/>
                <w:lang w:val="en-US" w:eastAsia="zh-CN" w:bidi="ar-SA"/>
              </w:rPr>
              <w:t>②</w:t>
            </w:r>
            <w:r>
              <w:rPr>
                <w:rFonts w:hint="default" w:ascii="Times New Roman" w:hAnsi="Times New Roman" w:eastAsia="宋体" w:cs="Times New Roman"/>
                <w:b/>
                <w:bCs/>
                <w:color w:val="auto"/>
                <w:sz w:val="24"/>
                <w:highlight w:val="none"/>
                <w:lang w:val="en-US" w:eastAsia="zh-CN"/>
              </w:rPr>
              <w:t>废活性炭：</w:t>
            </w:r>
            <w:r>
              <w:rPr>
                <w:rFonts w:hint="eastAsia"/>
                <w:color w:val="auto"/>
                <w:sz w:val="24"/>
                <w:szCs w:val="24"/>
                <w:highlight w:val="none"/>
                <w:lang w:eastAsia="zh-CN"/>
              </w:rPr>
              <w:t>活性炭产生量</w:t>
            </w:r>
            <w:r>
              <w:rPr>
                <w:rFonts w:hint="eastAsia"/>
                <w:color w:val="auto"/>
                <w:sz w:val="24"/>
                <w:highlight w:val="none"/>
                <w:lang w:eastAsia="zh-CN"/>
              </w:rPr>
              <w:t>根据《省生态环境厅关于将排污单位活性炭使用更换纳入排污许可管理的通知》（苏环办〔</w:t>
            </w:r>
            <w:r>
              <w:rPr>
                <w:rFonts w:hint="eastAsia"/>
                <w:color w:val="auto"/>
                <w:sz w:val="24"/>
                <w:highlight w:val="none"/>
                <w:lang w:val="en-US" w:eastAsia="zh-CN"/>
              </w:rPr>
              <w:t>2021〕218号</w:t>
            </w:r>
            <w:r>
              <w:rPr>
                <w:rFonts w:hint="eastAsia"/>
                <w:color w:val="auto"/>
                <w:sz w:val="24"/>
                <w:highlight w:val="none"/>
                <w:lang w:eastAsia="zh-CN"/>
              </w:rPr>
              <w:t>）计算，活性炭的动态吸附量约</w:t>
            </w:r>
            <w:r>
              <w:rPr>
                <w:rFonts w:hint="eastAsia"/>
                <w:color w:val="auto"/>
                <w:sz w:val="24"/>
                <w:highlight w:val="none"/>
                <w:lang w:val="en-US" w:eastAsia="zh-CN"/>
              </w:rPr>
              <w:t>10%</w:t>
            </w:r>
            <w:r>
              <w:rPr>
                <w:rFonts w:hint="eastAsia"/>
                <w:color w:val="auto"/>
                <w:sz w:val="24"/>
                <w:highlight w:val="none"/>
                <w:lang w:eastAsia="zh-CN"/>
              </w:rPr>
              <w:t>。</w:t>
            </w:r>
          </w:p>
          <w:p w14:paraId="42A0A293">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eastAsia="宋体"/>
                <w:color w:val="auto"/>
                <w:sz w:val="24"/>
                <w:highlight w:val="none"/>
                <w:lang w:val="en-US" w:eastAsia="zh-CN"/>
              </w:rPr>
            </w:pPr>
            <w:r>
              <w:rPr>
                <w:rFonts w:hint="eastAsia"/>
                <w:color w:val="auto"/>
                <w:sz w:val="24"/>
                <w:highlight w:val="none"/>
                <w:lang w:val="en-US" w:eastAsia="zh-CN"/>
              </w:rPr>
              <w:t>T=m×s÷（c×10</w:t>
            </w:r>
            <w:r>
              <w:rPr>
                <w:rFonts w:hint="eastAsia"/>
                <w:color w:val="auto"/>
                <w:sz w:val="24"/>
                <w:highlight w:val="none"/>
                <w:vertAlign w:val="superscript"/>
                <w:lang w:val="en-US" w:eastAsia="zh-CN"/>
              </w:rPr>
              <w:t>-6</w:t>
            </w:r>
            <w:r>
              <w:rPr>
                <w:rFonts w:hint="eastAsia"/>
                <w:color w:val="auto"/>
                <w:sz w:val="24"/>
                <w:highlight w:val="none"/>
                <w:lang w:val="en-US" w:eastAsia="zh-CN"/>
              </w:rPr>
              <w:t>×Q×t）</w:t>
            </w:r>
          </w:p>
          <w:p w14:paraId="6B0FB8FD">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eastAsia="宋体"/>
                <w:color w:val="auto"/>
                <w:sz w:val="24"/>
                <w:highlight w:val="none"/>
                <w:lang w:val="en-US" w:eastAsia="zh-CN"/>
              </w:rPr>
            </w:pPr>
            <w:r>
              <w:rPr>
                <w:rFonts w:hint="eastAsia"/>
                <w:color w:val="auto"/>
                <w:sz w:val="24"/>
                <w:highlight w:val="none"/>
                <w:lang w:val="en-US" w:eastAsia="zh-CN"/>
              </w:rPr>
              <w:t>T－更换周期，天；</w:t>
            </w:r>
          </w:p>
          <w:p w14:paraId="33AB5CD5">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color w:val="auto"/>
                <w:sz w:val="24"/>
                <w:highlight w:val="none"/>
                <w:lang w:val="en-US" w:eastAsia="zh-CN"/>
              </w:rPr>
            </w:pPr>
            <w:r>
              <w:rPr>
                <w:rFonts w:hint="eastAsia"/>
                <w:color w:val="auto"/>
                <w:sz w:val="24"/>
                <w:highlight w:val="none"/>
                <w:lang w:val="en-US" w:eastAsia="zh-CN"/>
              </w:rPr>
              <w:t>m－活性炭的用量，kg；</w:t>
            </w:r>
          </w:p>
          <w:p w14:paraId="5632DD26">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color w:val="auto"/>
                <w:sz w:val="24"/>
                <w:highlight w:val="none"/>
                <w:lang w:val="en-US" w:eastAsia="zh-CN"/>
              </w:rPr>
            </w:pPr>
            <w:r>
              <w:rPr>
                <w:rFonts w:hint="eastAsia"/>
                <w:color w:val="auto"/>
                <w:sz w:val="24"/>
                <w:highlight w:val="none"/>
                <w:lang w:val="en-US" w:eastAsia="zh-CN"/>
              </w:rPr>
              <w:t>s－动态吸附量，%；</w:t>
            </w:r>
          </w:p>
          <w:p w14:paraId="51283D36">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color w:val="auto"/>
                <w:sz w:val="24"/>
                <w:highlight w:val="none"/>
                <w:lang w:val="en-US" w:eastAsia="zh-CN"/>
              </w:rPr>
            </w:pPr>
            <w:r>
              <w:rPr>
                <w:rFonts w:hint="eastAsia"/>
                <w:color w:val="auto"/>
                <w:sz w:val="24"/>
                <w:highlight w:val="none"/>
                <w:lang w:val="en-US" w:eastAsia="zh-CN"/>
              </w:rPr>
              <w:t>C－活性炭削减的非甲烷总烃浓度，mg/m</w:t>
            </w:r>
            <w:r>
              <w:rPr>
                <w:rFonts w:hint="eastAsia"/>
                <w:color w:val="auto"/>
                <w:sz w:val="24"/>
                <w:highlight w:val="none"/>
                <w:vertAlign w:val="superscript"/>
                <w:lang w:val="en-US" w:eastAsia="zh-CN"/>
              </w:rPr>
              <w:t>3</w:t>
            </w:r>
            <w:r>
              <w:rPr>
                <w:rFonts w:hint="eastAsia"/>
                <w:color w:val="auto"/>
                <w:sz w:val="24"/>
                <w:highlight w:val="none"/>
                <w:lang w:val="en-US" w:eastAsia="zh-CN"/>
              </w:rPr>
              <w:t>；</w:t>
            </w:r>
          </w:p>
          <w:p w14:paraId="34A64F4C">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eastAsia"/>
                <w:color w:val="auto"/>
                <w:sz w:val="24"/>
                <w:highlight w:val="none"/>
                <w:lang w:val="en-US" w:eastAsia="zh-CN"/>
              </w:rPr>
            </w:pPr>
            <w:r>
              <w:rPr>
                <w:rFonts w:hint="eastAsia"/>
                <w:color w:val="auto"/>
                <w:sz w:val="24"/>
                <w:highlight w:val="none"/>
                <w:lang w:val="en-US" w:eastAsia="zh-CN"/>
              </w:rPr>
              <w:t>Q－风量，单位m</w:t>
            </w:r>
            <w:r>
              <w:rPr>
                <w:rFonts w:hint="eastAsia"/>
                <w:color w:val="auto"/>
                <w:sz w:val="24"/>
                <w:highlight w:val="none"/>
                <w:vertAlign w:val="superscript"/>
                <w:lang w:val="en-US" w:eastAsia="zh-CN"/>
              </w:rPr>
              <w:t>3</w:t>
            </w:r>
            <w:r>
              <w:rPr>
                <w:rFonts w:hint="eastAsia"/>
                <w:color w:val="auto"/>
                <w:sz w:val="24"/>
                <w:highlight w:val="none"/>
                <w:lang w:val="en-US" w:eastAsia="zh-CN"/>
              </w:rPr>
              <w:t>/h；</w:t>
            </w:r>
          </w:p>
          <w:p w14:paraId="6840193B">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eastAsia="宋体"/>
                <w:color w:val="auto"/>
                <w:sz w:val="24"/>
                <w:highlight w:val="none"/>
                <w:lang w:val="en-US" w:eastAsia="zh-CN"/>
              </w:rPr>
            </w:pPr>
            <w:r>
              <w:rPr>
                <w:rFonts w:hint="eastAsia"/>
                <w:color w:val="auto"/>
                <w:sz w:val="24"/>
                <w:highlight w:val="none"/>
                <w:lang w:val="en-US" w:eastAsia="zh-CN"/>
              </w:rPr>
              <w:t>t－运行时间，单位h/d；</w:t>
            </w:r>
          </w:p>
          <w:p w14:paraId="1CCBB039">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60" w:leftChars="0" w:right="0" w:firstLine="480" w:firstLineChars="0"/>
              <w:textAlignment w:val="auto"/>
              <w:rPr>
                <w:rFonts w:hint="default" w:ascii="Times New Roman" w:hAnsi="Times New Roman" w:eastAsia="宋体" w:cs="Times New Roman"/>
                <w:color w:val="auto"/>
                <w:sz w:val="24"/>
                <w:highlight w:val="none"/>
                <w:lang w:val="en-US" w:eastAsia="zh-CN"/>
              </w:rPr>
            </w:pPr>
            <w:r>
              <w:rPr>
                <w:rFonts w:hint="eastAsia"/>
                <w:color w:val="auto"/>
                <w:sz w:val="24"/>
                <w:highlight w:val="none"/>
                <w:lang w:eastAsia="zh-CN"/>
              </w:rPr>
              <w:t>本项目</w:t>
            </w:r>
            <w:r>
              <w:rPr>
                <w:rFonts w:hint="eastAsia"/>
                <w:color w:val="auto"/>
                <w:sz w:val="24"/>
                <w:highlight w:val="none"/>
                <w:lang w:val="en-US" w:eastAsia="zh-CN"/>
              </w:rPr>
              <w:t>3号楼生产车间产生的喷涂硅油-脱模剂废气依托现有的压膜、喷涂烘干废气配套的一级蜂窝状活性炭+一级颗粒状活性炭吸附装置（共计填充4.22t）进行处理；1号楼、2号楼、4号楼生产车间产生的喷涂硅油-脱模剂废气依托现有的压膜废气配套二级颗粒状活性炭吸附装置（每套装置填充2.00t）；废活性炭产生情况如下：</w:t>
            </w:r>
          </w:p>
          <w:p w14:paraId="5C2B9E80">
            <w:pPr>
              <w:pStyle w:val="5"/>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425" w:leftChars="0" w:right="0" w:hanging="425"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20</w:t>
            </w:r>
            <w:r>
              <w:rPr>
                <w:rFonts w:hint="eastAsia"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sz w:val="24"/>
                <w:szCs w:val="24"/>
                <w:highlight w:val="none"/>
                <w:lang w:val="en-US" w:eastAsia="zh-CN"/>
              </w:rPr>
              <w:t>本项目废活性炭产生情况一览表</w:t>
            </w:r>
          </w:p>
          <w:tbl>
            <w:tblPr>
              <w:tblStyle w:val="25"/>
              <w:tblW w:w="870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62"/>
              <w:gridCol w:w="1027"/>
              <w:gridCol w:w="831"/>
              <w:gridCol w:w="1003"/>
              <w:gridCol w:w="1639"/>
              <w:gridCol w:w="714"/>
              <w:gridCol w:w="1426"/>
            </w:tblGrid>
            <w:tr w14:paraId="7C2FE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84" w:type="pct"/>
                  <w:tcBorders>
                    <w:tl2br w:val="nil"/>
                    <w:tr2bl w:val="nil"/>
                  </w:tcBorders>
                  <w:noWrap w:val="0"/>
                  <w:vAlign w:val="center"/>
                </w:tcPr>
                <w:p w14:paraId="774D2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44"/>
                      <w:sz w:val="21"/>
                      <w:szCs w:val="20"/>
                      <w:highlight w:val="none"/>
                      <w:lang w:val="en-US" w:eastAsia="zh-CN" w:bidi="ar-SA"/>
                    </w:rPr>
                  </w:pPr>
                  <w:r>
                    <w:rPr>
                      <w:rFonts w:hint="default" w:ascii="Times New Roman" w:hAnsi="Times New Roman" w:eastAsia="宋体" w:cs="Times New Roman"/>
                      <w:b/>
                      <w:bCs/>
                      <w:color w:val="auto"/>
                      <w:kern w:val="44"/>
                      <w:sz w:val="21"/>
                      <w:szCs w:val="20"/>
                      <w:highlight w:val="none"/>
                      <w:lang w:val="en-US" w:eastAsia="zh-CN" w:bidi="ar-SA"/>
                    </w:rPr>
                    <w:t>活性炭吸附装置配套排气筒编号</w:t>
                  </w:r>
                </w:p>
              </w:tc>
              <w:tc>
                <w:tcPr>
                  <w:tcW w:w="590" w:type="pct"/>
                  <w:tcBorders>
                    <w:tl2br w:val="nil"/>
                    <w:tr2bl w:val="nil"/>
                  </w:tcBorders>
                  <w:noWrap w:val="0"/>
                  <w:vAlign w:val="center"/>
                </w:tcPr>
                <w:p w14:paraId="27C9B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44"/>
                      <w:sz w:val="21"/>
                      <w:szCs w:val="20"/>
                      <w:highlight w:val="none"/>
                      <w:lang w:val="en-US" w:eastAsia="zh-CN" w:bidi="ar-SA"/>
                    </w:rPr>
                  </w:pPr>
                  <w:r>
                    <w:rPr>
                      <w:rFonts w:hint="default" w:ascii="Times New Roman" w:hAnsi="Times New Roman" w:eastAsia="宋体" w:cs="Times New Roman"/>
                      <w:b/>
                      <w:bCs/>
                      <w:color w:val="auto"/>
                      <w:kern w:val="44"/>
                      <w:sz w:val="21"/>
                      <w:szCs w:val="20"/>
                      <w:highlight w:val="none"/>
                      <w:lang w:val="en-US" w:eastAsia="zh-CN" w:bidi="ar-SA"/>
                    </w:rPr>
                    <w:t>活性炭填充量t</w:t>
                  </w:r>
                </w:p>
              </w:tc>
              <w:tc>
                <w:tcPr>
                  <w:tcW w:w="477" w:type="pct"/>
                  <w:tcBorders>
                    <w:tl2br w:val="nil"/>
                    <w:tr2bl w:val="nil"/>
                  </w:tcBorders>
                  <w:noWrap w:val="0"/>
                  <w:vAlign w:val="center"/>
                </w:tcPr>
                <w:p w14:paraId="1B5590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44"/>
                      <w:sz w:val="21"/>
                      <w:szCs w:val="20"/>
                      <w:highlight w:val="none"/>
                      <w:lang w:val="en-US" w:eastAsia="zh-CN" w:bidi="ar-SA"/>
                    </w:rPr>
                  </w:pPr>
                  <w:r>
                    <w:rPr>
                      <w:rFonts w:hint="default" w:ascii="Times New Roman" w:hAnsi="Times New Roman" w:eastAsia="宋体" w:cs="Times New Roman"/>
                      <w:b/>
                      <w:bCs/>
                      <w:color w:val="auto"/>
                      <w:kern w:val="44"/>
                      <w:sz w:val="21"/>
                      <w:szCs w:val="20"/>
                      <w:highlight w:val="none"/>
                      <w:lang w:val="en-US" w:eastAsia="zh-CN" w:bidi="ar-SA"/>
                    </w:rPr>
                    <w:t>吸附效率</w:t>
                  </w:r>
                </w:p>
              </w:tc>
              <w:tc>
                <w:tcPr>
                  <w:tcW w:w="576" w:type="pct"/>
                  <w:tcBorders>
                    <w:tl2br w:val="nil"/>
                    <w:tr2bl w:val="nil"/>
                  </w:tcBorders>
                  <w:noWrap w:val="0"/>
                  <w:vAlign w:val="center"/>
                </w:tcPr>
                <w:p w14:paraId="747284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44"/>
                      <w:sz w:val="21"/>
                      <w:szCs w:val="20"/>
                      <w:highlight w:val="none"/>
                      <w:lang w:val="en-US" w:eastAsia="zh-CN" w:bidi="ar-SA"/>
                    </w:rPr>
                  </w:pPr>
                  <w:r>
                    <w:rPr>
                      <w:rFonts w:hint="default" w:ascii="Times New Roman" w:hAnsi="Times New Roman" w:eastAsia="宋体" w:cs="Times New Roman"/>
                      <w:b/>
                      <w:bCs/>
                      <w:color w:val="auto"/>
                      <w:kern w:val="44"/>
                      <w:sz w:val="21"/>
                      <w:szCs w:val="20"/>
                      <w:highlight w:val="none"/>
                      <w:lang w:val="en-US" w:eastAsia="zh-CN" w:bidi="ar-SA"/>
                    </w:rPr>
                    <w:t>废气吸附量t/a</w:t>
                  </w:r>
                </w:p>
              </w:tc>
              <w:tc>
                <w:tcPr>
                  <w:tcW w:w="941" w:type="pct"/>
                  <w:tcBorders>
                    <w:tl2br w:val="nil"/>
                    <w:tr2bl w:val="nil"/>
                  </w:tcBorders>
                  <w:noWrap w:val="0"/>
                  <w:vAlign w:val="center"/>
                </w:tcPr>
                <w:p w14:paraId="4503C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44"/>
                      <w:sz w:val="21"/>
                      <w:szCs w:val="20"/>
                      <w:highlight w:val="none"/>
                      <w:lang w:val="en-US" w:eastAsia="zh-CN" w:bidi="ar-SA"/>
                    </w:rPr>
                  </w:pPr>
                  <w:r>
                    <w:rPr>
                      <w:rFonts w:hint="eastAsia" w:ascii="Times New Roman" w:hAnsi="Times New Roman" w:eastAsia="宋体" w:cs="Times New Roman"/>
                      <w:b/>
                      <w:bCs/>
                      <w:color w:val="auto"/>
                      <w:kern w:val="44"/>
                      <w:sz w:val="21"/>
                      <w:szCs w:val="20"/>
                      <w:highlight w:val="none"/>
                      <w:lang w:val="en-US" w:eastAsia="zh-CN" w:bidi="ar-SA"/>
                    </w:rPr>
                    <w:t>更换周期</w:t>
                  </w:r>
                </w:p>
              </w:tc>
              <w:tc>
                <w:tcPr>
                  <w:tcW w:w="410" w:type="pct"/>
                  <w:tcBorders>
                    <w:tl2br w:val="nil"/>
                    <w:tr2bl w:val="nil"/>
                  </w:tcBorders>
                  <w:noWrap w:val="0"/>
                  <w:vAlign w:val="center"/>
                </w:tcPr>
                <w:p w14:paraId="20C773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44"/>
                      <w:sz w:val="21"/>
                      <w:szCs w:val="20"/>
                      <w:highlight w:val="none"/>
                      <w:lang w:val="en-US" w:eastAsia="zh-CN" w:bidi="ar-SA"/>
                    </w:rPr>
                  </w:pPr>
                  <w:r>
                    <w:rPr>
                      <w:rFonts w:hint="default" w:ascii="Times New Roman" w:hAnsi="Times New Roman" w:eastAsia="宋体" w:cs="Times New Roman"/>
                      <w:b/>
                      <w:bCs/>
                      <w:color w:val="auto"/>
                      <w:kern w:val="44"/>
                      <w:sz w:val="21"/>
                      <w:szCs w:val="20"/>
                      <w:highlight w:val="none"/>
                      <w:lang w:val="en-US" w:eastAsia="zh-CN" w:bidi="ar-SA"/>
                    </w:rPr>
                    <w:t>年更换次数/次</w:t>
                  </w:r>
                </w:p>
              </w:tc>
              <w:tc>
                <w:tcPr>
                  <w:tcW w:w="819" w:type="pct"/>
                  <w:tcBorders>
                    <w:tl2br w:val="nil"/>
                    <w:tr2bl w:val="nil"/>
                  </w:tcBorders>
                  <w:noWrap w:val="0"/>
                  <w:vAlign w:val="center"/>
                </w:tcPr>
                <w:p w14:paraId="0ED837E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b/>
                      <w:bCs/>
                      <w:color w:val="auto"/>
                      <w:sz w:val="21"/>
                      <w:szCs w:val="20"/>
                      <w:highlight w:val="none"/>
                      <w:lang w:val="en-US" w:eastAsia="zh-CN"/>
                    </w:rPr>
                    <w:t>废活性炭产生量t/a</w:t>
                  </w:r>
                </w:p>
              </w:tc>
            </w:tr>
            <w:tr w14:paraId="0C038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84" w:type="pct"/>
                  <w:tcBorders>
                    <w:tl2br w:val="nil"/>
                    <w:tr2bl w:val="nil"/>
                  </w:tcBorders>
                  <w:noWrap w:val="0"/>
                  <w:vAlign w:val="center"/>
                </w:tcPr>
                <w:p w14:paraId="49DEEA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44"/>
                      <w:sz w:val="21"/>
                      <w:szCs w:val="20"/>
                      <w:highlight w:val="none"/>
                      <w:lang w:val="en-US" w:eastAsia="zh-CN" w:bidi="ar-SA"/>
                    </w:rPr>
                  </w:pPr>
                  <w:r>
                    <w:rPr>
                      <w:rFonts w:hint="default" w:ascii="Times New Roman" w:hAnsi="Times New Roman" w:eastAsia="宋体" w:cs="Times New Roman"/>
                      <w:color w:val="auto"/>
                      <w:kern w:val="44"/>
                      <w:sz w:val="21"/>
                      <w:szCs w:val="20"/>
                      <w:highlight w:val="none"/>
                      <w:lang w:val="en-US" w:eastAsia="zh-CN" w:bidi="ar-SA"/>
                    </w:rPr>
                    <w:t>二级活性炭（FQ</w:t>
                  </w:r>
                  <w:r>
                    <w:rPr>
                      <w:rFonts w:hint="eastAsia" w:cs="Times New Roman"/>
                      <w:color w:val="auto"/>
                      <w:kern w:val="44"/>
                      <w:sz w:val="21"/>
                      <w:szCs w:val="20"/>
                      <w:highlight w:val="none"/>
                      <w:lang w:val="en-US" w:eastAsia="zh-CN" w:bidi="ar-SA"/>
                    </w:rPr>
                    <w:t>0</w:t>
                  </w:r>
                  <w:r>
                    <w:rPr>
                      <w:rFonts w:hint="eastAsia" w:ascii="Times New Roman" w:hAnsi="Times New Roman" w:eastAsia="宋体" w:cs="Times New Roman"/>
                      <w:color w:val="auto"/>
                      <w:kern w:val="44"/>
                      <w:sz w:val="21"/>
                      <w:szCs w:val="20"/>
                      <w:highlight w:val="none"/>
                      <w:lang w:val="en-US" w:eastAsia="zh-CN" w:bidi="ar-SA"/>
                    </w:rPr>
                    <w:t>7</w:t>
                  </w:r>
                  <w:r>
                    <w:rPr>
                      <w:rFonts w:hint="default" w:ascii="Times New Roman" w:hAnsi="Times New Roman" w:eastAsia="宋体" w:cs="Times New Roman"/>
                      <w:color w:val="auto"/>
                      <w:kern w:val="44"/>
                      <w:sz w:val="21"/>
                      <w:szCs w:val="20"/>
                      <w:highlight w:val="none"/>
                      <w:lang w:val="en-US" w:eastAsia="zh-CN" w:bidi="ar-SA"/>
                    </w:rPr>
                    <w:t>）</w:t>
                  </w:r>
                </w:p>
              </w:tc>
              <w:tc>
                <w:tcPr>
                  <w:tcW w:w="590" w:type="pct"/>
                  <w:tcBorders>
                    <w:tl2br w:val="nil"/>
                    <w:tr2bl w:val="nil"/>
                  </w:tcBorders>
                  <w:noWrap w:val="0"/>
                  <w:vAlign w:val="center"/>
                </w:tcPr>
                <w:p w14:paraId="641E8B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4.22</w:t>
                  </w:r>
                </w:p>
              </w:tc>
              <w:tc>
                <w:tcPr>
                  <w:tcW w:w="477" w:type="pct"/>
                  <w:tcBorders>
                    <w:tl2br w:val="nil"/>
                    <w:tr2bl w:val="nil"/>
                  </w:tcBorders>
                  <w:noWrap w:val="0"/>
                  <w:vAlign w:val="center"/>
                </w:tcPr>
                <w:p w14:paraId="190B77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10%</w:t>
                  </w:r>
                </w:p>
              </w:tc>
              <w:tc>
                <w:tcPr>
                  <w:tcW w:w="576" w:type="pct"/>
                  <w:tcBorders>
                    <w:tl2br w:val="nil"/>
                    <w:tr2bl w:val="nil"/>
                  </w:tcBorders>
                  <w:noWrap w:val="0"/>
                  <w:vAlign w:val="center"/>
                </w:tcPr>
                <w:p w14:paraId="506F3B2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1.0725</w:t>
                  </w:r>
                </w:p>
              </w:tc>
              <w:tc>
                <w:tcPr>
                  <w:tcW w:w="941" w:type="pct"/>
                  <w:tcBorders>
                    <w:tl2br w:val="nil"/>
                    <w:tr2bl w:val="nil"/>
                  </w:tcBorders>
                  <w:noWrap w:val="0"/>
                  <w:vAlign w:val="center"/>
                </w:tcPr>
                <w:p w14:paraId="7CF966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一季度/次</w:t>
                  </w:r>
                </w:p>
              </w:tc>
              <w:tc>
                <w:tcPr>
                  <w:tcW w:w="410" w:type="pct"/>
                  <w:tcBorders>
                    <w:tl2br w:val="nil"/>
                    <w:tr2bl w:val="nil"/>
                  </w:tcBorders>
                  <w:noWrap w:val="0"/>
                  <w:vAlign w:val="center"/>
                </w:tcPr>
                <w:p w14:paraId="5F6FB39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w:t>
                  </w:r>
                </w:p>
              </w:tc>
              <w:tc>
                <w:tcPr>
                  <w:tcW w:w="819" w:type="pct"/>
                  <w:tcBorders>
                    <w:tl2br w:val="nil"/>
                    <w:tr2bl w:val="nil"/>
                  </w:tcBorders>
                  <w:noWrap w:val="0"/>
                  <w:vAlign w:val="center"/>
                </w:tcPr>
                <w:p w14:paraId="04F928A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17.95</w:t>
                  </w:r>
                </w:p>
              </w:tc>
            </w:tr>
            <w:tr w14:paraId="56E18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184" w:type="pct"/>
                  <w:tcBorders>
                    <w:tl2br w:val="nil"/>
                    <w:tr2bl w:val="nil"/>
                  </w:tcBorders>
                  <w:noWrap w:val="0"/>
                  <w:vAlign w:val="center"/>
                </w:tcPr>
                <w:p w14:paraId="71F009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二级活性炭（FQ</w:t>
                  </w:r>
                  <w:r>
                    <w:rPr>
                      <w:rFonts w:hint="eastAsia" w:cs="Times New Roman"/>
                      <w:color w:val="auto"/>
                      <w:sz w:val="21"/>
                      <w:szCs w:val="20"/>
                      <w:highlight w:val="none"/>
                      <w:lang w:val="en-US" w:eastAsia="zh-CN"/>
                    </w:rPr>
                    <w:t>0</w:t>
                  </w:r>
                  <w:r>
                    <w:rPr>
                      <w:rFonts w:hint="eastAsia" w:ascii="Times New Roman" w:hAnsi="Times New Roman" w:eastAsia="宋体" w:cs="Times New Roman"/>
                      <w:color w:val="auto"/>
                      <w:sz w:val="21"/>
                      <w:szCs w:val="20"/>
                      <w:highlight w:val="none"/>
                      <w:lang w:val="en-US" w:eastAsia="zh-CN"/>
                    </w:rPr>
                    <w:t>9</w:t>
                  </w:r>
                  <w:r>
                    <w:rPr>
                      <w:rFonts w:hint="default" w:ascii="Times New Roman" w:hAnsi="Times New Roman" w:eastAsia="宋体" w:cs="Times New Roman"/>
                      <w:color w:val="auto"/>
                      <w:sz w:val="21"/>
                      <w:szCs w:val="20"/>
                      <w:highlight w:val="none"/>
                      <w:lang w:val="en-US" w:eastAsia="zh-CN"/>
                    </w:rPr>
                    <w:t>）</w:t>
                  </w:r>
                </w:p>
              </w:tc>
              <w:tc>
                <w:tcPr>
                  <w:tcW w:w="590" w:type="pct"/>
                  <w:tcBorders>
                    <w:tl2br w:val="nil"/>
                    <w:tr2bl w:val="nil"/>
                  </w:tcBorders>
                  <w:noWrap w:val="0"/>
                  <w:vAlign w:val="center"/>
                </w:tcPr>
                <w:p w14:paraId="220E34A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2.00</w:t>
                  </w:r>
                </w:p>
              </w:tc>
              <w:tc>
                <w:tcPr>
                  <w:tcW w:w="477" w:type="pct"/>
                  <w:tcBorders>
                    <w:tl2br w:val="nil"/>
                    <w:tr2bl w:val="nil"/>
                  </w:tcBorders>
                  <w:noWrap w:val="0"/>
                  <w:vAlign w:val="center"/>
                </w:tcPr>
                <w:p w14:paraId="69F900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10%</w:t>
                  </w:r>
                </w:p>
              </w:tc>
              <w:tc>
                <w:tcPr>
                  <w:tcW w:w="576" w:type="pct"/>
                  <w:tcBorders>
                    <w:tl2br w:val="nil"/>
                    <w:tr2bl w:val="nil"/>
                  </w:tcBorders>
                  <w:noWrap w:val="0"/>
                  <w:vAlign w:val="center"/>
                </w:tcPr>
                <w:p w14:paraId="400A6E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0.5325</w:t>
                  </w:r>
                </w:p>
              </w:tc>
              <w:tc>
                <w:tcPr>
                  <w:tcW w:w="941" w:type="pct"/>
                  <w:tcBorders>
                    <w:tl2br w:val="nil"/>
                    <w:tr2bl w:val="nil"/>
                  </w:tcBorders>
                  <w:noWrap w:val="0"/>
                  <w:vAlign w:val="center"/>
                </w:tcPr>
                <w:p w14:paraId="4B24B23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一季度/次</w:t>
                  </w:r>
                </w:p>
              </w:tc>
              <w:tc>
                <w:tcPr>
                  <w:tcW w:w="410" w:type="pct"/>
                  <w:tcBorders>
                    <w:tl2br w:val="nil"/>
                    <w:tr2bl w:val="nil"/>
                  </w:tcBorders>
                  <w:noWrap w:val="0"/>
                  <w:vAlign w:val="center"/>
                </w:tcPr>
                <w:p w14:paraId="2EA337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w:t>
                  </w:r>
                </w:p>
              </w:tc>
              <w:tc>
                <w:tcPr>
                  <w:tcW w:w="819" w:type="pct"/>
                  <w:tcBorders>
                    <w:tl2br w:val="nil"/>
                    <w:tr2bl w:val="nil"/>
                  </w:tcBorders>
                  <w:noWrap w:val="0"/>
                  <w:vAlign w:val="center"/>
                </w:tcPr>
                <w:p w14:paraId="312875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8.533</w:t>
                  </w:r>
                </w:p>
              </w:tc>
            </w:tr>
            <w:tr w14:paraId="41227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184" w:type="pct"/>
                  <w:tcBorders>
                    <w:tl2br w:val="nil"/>
                    <w:tr2bl w:val="nil"/>
                  </w:tcBorders>
                  <w:noWrap w:val="0"/>
                  <w:vAlign w:val="center"/>
                </w:tcPr>
                <w:p w14:paraId="4622C8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二级活性炭（FQ</w:t>
                  </w:r>
                  <w:r>
                    <w:rPr>
                      <w:rFonts w:hint="eastAsia" w:ascii="Times New Roman" w:hAnsi="Times New Roman" w:eastAsia="宋体" w:cs="Times New Roman"/>
                      <w:color w:val="auto"/>
                      <w:sz w:val="21"/>
                      <w:szCs w:val="20"/>
                      <w:highlight w:val="none"/>
                      <w:lang w:val="en-US" w:eastAsia="zh-CN"/>
                    </w:rPr>
                    <w:t>10</w:t>
                  </w:r>
                  <w:r>
                    <w:rPr>
                      <w:rFonts w:hint="default" w:ascii="Times New Roman" w:hAnsi="Times New Roman" w:eastAsia="宋体" w:cs="Times New Roman"/>
                      <w:color w:val="auto"/>
                      <w:sz w:val="21"/>
                      <w:szCs w:val="20"/>
                      <w:highlight w:val="none"/>
                      <w:lang w:val="en-US" w:eastAsia="zh-CN"/>
                    </w:rPr>
                    <w:t>）</w:t>
                  </w:r>
                </w:p>
              </w:tc>
              <w:tc>
                <w:tcPr>
                  <w:tcW w:w="590" w:type="pct"/>
                  <w:tcBorders>
                    <w:tl2br w:val="nil"/>
                    <w:tr2bl w:val="nil"/>
                  </w:tcBorders>
                  <w:noWrap w:val="0"/>
                  <w:vAlign w:val="center"/>
                </w:tcPr>
                <w:p w14:paraId="6F779D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2.00</w:t>
                  </w:r>
                </w:p>
              </w:tc>
              <w:tc>
                <w:tcPr>
                  <w:tcW w:w="477" w:type="pct"/>
                  <w:tcBorders>
                    <w:tl2br w:val="nil"/>
                    <w:tr2bl w:val="nil"/>
                  </w:tcBorders>
                  <w:noWrap w:val="0"/>
                  <w:vAlign w:val="center"/>
                </w:tcPr>
                <w:p w14:paraId="4522840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10%</w:t>
                  </w:r>
                </w:p>
              </w:tc>
              <w:tc>
                <w:tcPr>
                  <w:tcW w:w="576" w:type="pct"/>
                  <w:tcBorders>
                    <w:tl2br w:val="nil"/>
                    <w:tr2bl w:val="nil"/>
                  </w:tcBorders>
                  <w:noWrap w:val="0"/>
                  <w:vAlign w:val="center"/>
                </w:tcPr>
                <w:p w14:paraId="03A0E53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0.5325</w:t>
                  </w:r>
                </w:p>
              </w:tc>
              <w:tc>
                <w:tcPr>
                  <w:tcW w:w="941" w:type="pct"/>
                  <w:tcBorders>
                    <w:tl2br w:val="nil"/>
                    <w:tr2bl w:val="nil"/>
                  </w:tcBorders>
                  <w:noWrap w:val="0"/>
                  <w:vAlign w:val="center"/>
                </w:tcPr>
                <w:p w14:paraId="249F30D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一季度/次</w:t>
                  </w:r>
                </w:p>
              </w:tc>
              <w:tc>
                <w:tcPr>
                  <w:tcW w:w="410" w:type="pct"/>
                  <w:tcBorders>
                    <w:tl2br w:val="nil"/>
                    <w:tr2bl w:val="nil"/>
                  </w:tcBorders>
                  <w:noWrap w:val="0"/>
                  <w:vAlign w:val="center"/>
                </w:tcPr>
                <w:p w14:paraId="02F4727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w:t>
                  </w:r>
                </w:p>
              </w:tc>
              <w:tc>
                <w:tcPr>
                  <w:tcW w:w="819" w:type="pct"/>
                  <w:tcBorders>
                    <w:tl2br w:val="nil"/>
                    <w:tr2bl w:val="nil"/>
                  </w:tcBorders>
                  <w:noWrap w:val="0"/>
                  <w:vAlign w:val="center"/>
                </w:tcPr>
                <w:p w14:paraId="16D01B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8.533</w:t>
                  </w:r>
                </w:p>
              </w:tc>
            </w:tr>
            <w:tr w14:paraId="3F976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84" w:type="pct"/>
                  <w:tcBorders>
                    <w:tl2br w:val="nil"/>
                    <w:tr2bl w:val="nil"/>
                  </w:tcBorders>
                  <w:noWrap w:val="0"/>
                  <w:vAlign w:val="center"/>
                </w:tcPr>
                <w:p w14:paraId="5D1F3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二级活性炭（FQ</w:t>
                  </w:r>
                  <w:r>
                    <w:rPr>
                      <w:rFonts w:hint="eastAsia" w:ascii="Times New Roman" w:hAnsi="Times New Roman" w:eastAsia="宋体" w:cs="Times New Roman"/>
                      <w:color w:val="auto"/>
                      <w:sz w:val="21"/>
                      <w:szCs w:val="20"/>
                      <w:highlight w:val="none"/>
                      <w:lang w:val="en-US" w:eastAsia="zh-CN"/>
                    </w:rPr>
                    <w:t>11</w:t>
                  </w:r>
                  <w:r>
                    <w:rPr>
                      <w:rFonts w:hint="default" w:ascii="Times New Roman" w:hAnsi="Times New Roman" w:eastAsia="宋体" w:cs="Times New Roman"/>
                      <w:color w:val="auto"/>
                      <w:sz w:val="21"/>
                      <w:szCs w:val="20"/>
                      <w:highlight w:val="none"/>
                      <w:lang w:val="en-US" w:eastAsia="zh-CN"/>
                    </w:rPr>
                    <w:t>）</w:t>
                  </w:r>
                </w:p>
              </w:tc>
              <w:tc>
                <w:tcPr>
                  <w:tcW w:w="590" w:type="pct"/>
                  <w:tcBorders>
                    <w:tl2br w:val="nil"/>
                    <w:tr2bl w:val="nil"/>
                  </w:tcBorders>
                  <w:noWrap w:val="0"/>
                  <w:vAlign w:val="center"/>
                </w:tcPr>
                <w:p w14:paraId="46F5EC7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2.00</w:t>
                  </w:r>
                </w:p>
              </w:tc>
              <w:tc>
                <w:tcPr>
                  <w:tcW w:w="477" w:type="pct"/>
                  <w:tcBorders>
                    <w:tl2br w:val="nil"/>
                    <w:tr2bl w:val="nil"/>
                  </w:tcBorders>
                  <w:noWrap w:val="0"/>
                  <w:vAlign w:val="center"/>
                </w:tcPr>
                <w:p w14:paraId="5FD148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lang w:val="en-US" w:eastAsia="zh-CN"/>
                    </w:rPr>
                    <w:t>10%</w:t>
                  </w:r>
                </w:p>
              </w:tc>
              <w:tc>
                <w:tcPr>
                  <w:tcW w:w="576" w:type="pct"/>
                  <w:tcBorders>
                    <w:tl2br w:val="nil"/>
                    <w:tr2bl w:val="nil"/>
                  </w:tcBorders>
                  <w:noWrap w:val="0"/>
                  <w:vAlign w:val="center"/>
                </w:tcPr>
                <w:p w14:paraId="293A93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0.5325</w:t>
                  </w:r>
                </w:p>
              </w:tc>
              <w:tc>
                <w:tcPr>
                  <w:tcW w:w="941" w:type="pct"/>
                  <w:tcBorders>
                    <w:tl2br w:val="nil"/>
                    <w:tr2bl w:val="nil"/>
                  </w:tcBorders>
                  <w:noWrap w:val="0"/>
                  <w:vAlign w:val="center"/>
                </w:tcPr>
                <w:p w14:paraId="1AC6547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一季度/次</w:t>
                  </w:r>
                </w:p>
              </w:tc>
              <w:tc>
                <w:tcPr>
                  <w:tcW w:w="410" w:type="pct"/>
                  <w:tcBorders>
                    <w:tl2br w:val="nil"/>
                    <w:tr2bl w:val="nil"/>
                  </w:tcBorders>
                  <w:noWrap w:val="0"/>
                  <w:vAlign w:val="center"/>
                </w:tcPr>
                <w:p w14:paraId="77A0AF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w:t>
                  </w:r>
                </w:p>
              </w:tc>
              <w:tc>
                <w:tcPr>
                  <w:tcW w:w="819" w:type="pct"/>
                  <w:tcBorders>
                    <w:tl2br w:val="nil"/>
                    <w:tr2bl w:val="nil"/>
                  </w:tcBorders>
                  <w:noWrap w:val="0"/>
                  <w:vAlign w:val="center"/>
                </w:tcPr>
                <w:p w14:paraId="2823D6E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8.533</w:t>
                  </w:r>
                </w:p>
              </w:tc>
            </w:tr>
          </w:tbl>
          <w:p w14:paraId="7C69B7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z w:val="24"/>
                <w:highlight w:val="none"/>
                <w:lang w:val="en-US" w:eastAsia="zh-CN"/>
              </w:rPr>
            </w:pPr>
            <w:r>
              <w:rPr>
                <w:rFonts w:hint="eastAsia"/>
                <w:color w:val="auto"/>
                <w:sz w:val="21"/>
                <w:szCs w:val="21"/>
                <w:highlight w:val="none"/>
                <w:lang w:val="en-US" w:eastAsia="zh-CN"/>
              </w:rPr>
              <w:t>*注：</w:t>
            </w:r>
            <w:r>
              <w:rPr>
                <w:rFonts w:hint="eastAsia"/>
                <w:color w:val="auto"/>
                <w:sz w:val="21"/>
                <w:szCs w:val="21"/>
                <w:highlight w:val="none"/>
                <w:vertAlign w:val="baseline"/>
                <w:lang w:val="en-US" w:eastAsia="zh-CN"/>
              </w:rPr>
              <w:t>《省生态环境厅关于深入开展涉VOCs治理重点工作核查的通知》（苏环办[2022]218号）中规定活性炭更换周期一般不应超过累计运行500小时或3个月</w:t>
            </w:r>
            <w:r>
              <w:rPr>
                <w:rFonts w:hint="default" w:ascii="Times New Roman" w:hAnsi="Times New Roman" w:eastAsia="宋体" w:cs="Times New Roman"/>
                <w:b w:val="0"/>
                <w:bCs w:val="0"/>
                <w:color w:val="auto"/>
                <w:sz w:val="24"/>
                <w:highlight w:val="none"/>
                <w:lang w:val="en-US" w:eastAsia="zh-CN"/>
              </w:rPr>
              <w:t>。</w:t>
            </w:r>
          </w:p>
          <w:p w14:paraId="26651D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shd w:val="clear" w:color="auto" w:fill="auto"/>
                <w:lang w:val="en-US" w:eastAsia="zh-CN"/>
              </w:rPr>
            </w:pPr>
            <w:r>
              <w:rPr>
                <w:rFonts w:hint="eastAsia" w:cs="Times New Roman"/>
                <w:b w:val="0"/>
                <w:bCs/>
                <w:color w:val="auto"/>
                <w:sz w:val="24"/>
                <w:highlight w:val="none"/>
                <w:lang w:val="en-US" w:eastAsia="zh-CN"/>
              </w:rPr>
              <w:t>由上表计算可知，本次技术改造后新增废活性炭产生量约为43.549t/a。</w:t>
            </w:r>
          </w:p>
          <w:p w14:paraId="2066FD18">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ascii="Times New Roman" w:hAnsi="Times New Roman" w:eastAsia="宋体" w:cs="Calibri"/>
                <w:color w:val="auto"/>
                <w:sz w:val="24"/>
                <w:highlight w:val="none"/>
                <w:lang w:val="en-US" w:eastAsia="zh-CN"/>
              </w:rPr>
            </w:pPr>
            <w:r>
              <w:rPr>
                <w:rFonts w:hint="default" w:ascii="Times New Roman" w:hAnsi="Times New Roman" w:eastAsia="宋体" w:cs="Calibri"/>
                <w:b/>
                <w:bCs/>
                <w:color w:val="auto"/>
                <w:sz w:val="24"/>
                <w:highlight w:val="none"/>
                <w:lang w:val="en-US" w:eastAsia="zh-CN"/>
              </w:rPr>
              <w:t>③</w:t>
            </w:r>
            <w:r>
              <w:rPr>
                <w:rFonts w:hint="eastAsia" w:ascii="Times New Roman" w:hAnsi="Times New Roman" w:eastAsia="宋体" w:cs="Calibri"/>
                <w:b/>
                <w:bCs/>
                <w:color w:val="auto"/>
                <w:sz w:val="24"/>
                <w:highlight w:val="none"/>
                <w:lang w:val="en-US" w:eastAsia="zh-CN"/>
              </w:rPr>
              <w:t>废布袋：</w:t>
            </w:r>
            <w:r>
              <w:rPr>
                <w:rFonts w:hint="eastAsia" w:ascii="Times New Roman" w:hAnsi="Times New Roman" w:eastAsia="宋体" w:cs="Times New Roman"/>
                <w:b w:val="0"/>
                <w:bCs w:val="0"/>
                <w:color w:val="auto"/>
                <w:sz w:val="24"/>
                <w:highlight w:val="none"/>
                <w:lang w:eastAsia="zh-CN"/>
              </w:rPr>
              <w:t>本项目</w:t>
            </w:r>
            <w:r>
              <w:rPr>
                <w:rFonts w:hint="eastAsia" w:eastAsia="宋体" w:cs="Times New Roman"/>
                <w:b w:val="0"/>
                <w:bCs w:val="0"/>
                <w:color w:val="auto"/>
                <w:sz w:val="24"/>
                <w:highlight w:val="none"/>
                <w:lang w:val="en-US" w:eastAsia="zh-CN"/>
              </w:rPr>
              <w:t>精细抛光</w:t>
            </w:r>
            <w:r>
              <w:rPr>
                <w:rFonts w:hint="eastAsia" w:ascii="Times New Roman" w:hAnsi="Times New Roman" w:cs="Times New Roman"/>
                <w:color w:val="auto"/>
                <w:sz w:val="24"/>
                <w:szCs w:val="24"/>
                <w:highlight w:val="none"/>
                <w:lang w:eastAsia="zh-CN"/>
              </w:rPr>
              <w:t>工序废气处理设施定期</w:t>
            </w:r>
            <w:r>
              <w:rPr>
                <w:rFonts w:hint="eastAsia" w:cs="Times New Roman"/>
                <w:color w:val="auto"/>
                <w:sz w:val="24"/>
                <w:szCs w:val="24"/>
                <w:highlight w:val="none"/>
                <w:lang w:eastAsia="zh-CN"/>
              </w:rPr>
              <w:t>维护</w:t>
            </w:r>
            <w:r>
              <w:rPr>
                <w:rFonts w:hint="eastAsia" w:cs="Times New Roman"/>
                <w:b w:val="0"/>
                <w:bCs w:val="0"/>
                <w:color w:val="auto"/>
                <w:sz w:val="24"/>
                <w:highlight w:val="none"/>
                <w:lang w:eastAsia="zh-CN"/>
              </w:rPr>
              <w:t>会产生废布袋，根据企业提供信息，废布袋的产生量约为</w:t>
            </w:r>
            <w:r>
              <w:rPr>
                <w:rFonts w:hint="eastAsia" w:cs="Times New Roman"/>
                <w:b w:val="0"/>
                <w:bCs w:val="0"/>
                <w:color w:val="auto"/>
                <w:sz w:val="24"/>
                <w:highlight w:val="none"/>
                <w:lang w:val="en-US" w:eastAsia="zh-CN"/>
              </w:rPr>
              <w:t>2t/a；</w:t>
            </w:r>
          </w:p>
          <w:p w14:paraId="5EE77581">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cs="Times New Roman"/>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④</w:t>
            </w:r>
            <w:r>
              <w:rPr>
                <w:rFonts w:hint="eastAsia" w:ascii="宋体" w:hAnsi="宋体" w:cs="宋体"/>
                <w:b/>
                <w:bCs/>
                <w:color w:val="auto"/>
                <w:sz w:val="24"/>
                <w:highlight w:val="none"/>
                <w:lang w:val="en-US" w:eastAsia="zh-CN"/>
              </w:rPr>
              <w:t>粉尘：</w:t>
            </w:r>
            <w:r>
              <w:rPr>
                <w:rFonts w:hint="eastAsia" w:ascii="Times New Roman" w:hAnsi="Times New Roman" w:eastAsia="宋体" w:cs="Times New Roman"/>
                <w:b w:val="0"/>
                <w:bCs w:val="0"/>
                <w:color w:val="auto"/>
                <w:sz w:val="24"/>
                <w:highlight w:val="none"/>
                <w:lang w:eastAsia="zh-CN"/>
              </w:rPr>
              <w:t>本项目</w:t>
            </w:r>
            <w:r>
              <w:rPr>
                <w:rFonts w:hint="eastAsia" w:eastAsia="宋体" w:cs="Times New Roman"/>
                <w:b w:val="0"/>
                <w:bCs w:val="0"/>
                <w:color w:val="auto"/>
                <w:sz w:val="24"/>
                <w:highlight w:val="none"/>
                <w:lang w:val="en-US" w:eastAsia="zh-CN"/>
              </w:rPr>
              <w:t>精细抛光</w:t>
            </w:r>
            <w:r>
              <w:rPr>
                <w:rFonts w:hint="eastAsia" w:ascii="Times New Roman" w:hAnsi="Times New Roman" w:cs="Times New Roman"/>
                <w:color w:val="auto"/>
                <w:sz w:val="24"/>
                <w:szCs w:val="24"/>
                <w:highlight w:val="none"/>
                <w:lang w:eastAsia="zh-CN"/>
              </w:rPr>
              <w:t>工序废气处理设施定期清理</w:t>
            </w:r>
            <w:r>
              <w:rPr>
                <w:rFonts w:hint="eastAsia" w:cs="Times New Roman"/>
                <w:b w:val="0"/>
                <w:bCs w:val="0"/>
                <w:color w:val="auto"/>
                <w:sz w:val="24"/>
                <w:highlight w:val="none"/>
                <w:lang w:eastAsia="zh-CN"/>
              </w:rPr>
              <w:t>会产生粉尘，由上文废气产污核算可知，本项目</w:t>
            </w:r>
            <w:r>
              <w:rPr>
                <w:rFonts w:hint="eastAsia" w:cs="Times New Roman"/>
                <w:b w:val="0"/>
                <w:bCs w:val="0"/>
                <w:color w:val="auto"/>
                <w:sz w:val="24"/>
                <w:highlight w:val="none"/>
                <w:lang w:val="en-US" w:eastAsia="zh-CN"/>
              </w:rPr>
              <w:t>精细抛光</w:t>
            </w:r>
            <w:r>
              <w:rPr>
                <w:rFonts w:hint="eastAsia" w:ascii="Times New Roman" w:hAnsi="Times New Roman" w:cs="Times New Roman"/>
                <w:color w:val="auto"/>
                <w:sz w:val="24"/>
                <w:szCs w:val="24"/>
                <w:highlight w:val="none"/>
                <w:lang w:eastAsia="zh-CN"/>
              </w:rPr>
              <w:t>工序</w:t>
            </w:r>
            <w:r>
              <w:rPr>
                <w:rFonts w:hint="eastAsia" w:cs="Times New Roman"/>
                <w:b w:val="0"/>
                <w:bCs w:val="0"/>
                <w:color w:val="auto"/>
                <w:sz w:val="24"/>
                <w:highlight w:val="none"/>
                <w:lang w:eastAsia="zh-CN"/>
              </w:rPr>
              <w:t>配套废气处理设施定期清理约为</w:t>
            </w:r>
            <w:r>
              <w:rPr>
                <w:rFonts w:hint="eastAsia" w:cs="Times New Roman"/>
                <w:b w:val="0"/>
                <w:bCs w:val="0"/>
                <w:color w:val="auto"/>
                <w:sz w:val="24"/>
                <w:highlight w:val="none"/>
                <w:lang w:val="en-US" w:eastAsia="zh-CN"/>
              </w:rPr>
              <w:t>5.82t/a；</w:t>
            </w:r>
          </w:p>
          <w:p w14:paraId="692545F4">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ascii="Times New Roman" w:hAnsi="Times New Roman" w:eastAsia="宋体" w:cs="Calibri"/>
                <w:color w:val="auto"/>
                <w:sz w:val="24"/>
                <w:highlight w:val="none"/>
                <w:lang w:val="en-US" w:eastAsia="zh-CN"/>
              </w:rPr>
            </w:pPr>
            <w:r>
              <w:rPr>
                <w:rFonts w:hint="eastAsia" w:ascii="Times New Roman" w:hAnsi="Times New Roman" w:eastAsia="宋体" w:cs="Calibri"/>
                <w:b/>
                <w:bCs/>
                <w:color w:val="auto"/>
                <w:sz w:val="24"/>
                <w:highlight w:val="none"/>
                <w:lang w:val="en-US" w:eastAsia="zh-CN"/>
              </w:rPr>
              <w:t>⑤</w:t>
            </w:r>
            <w:r>
              <w:rPr>
                <w:rFonts w:hint="eastAsia" w:cs="Calibri"/>
                <w:b/>
                <w:bCs/>
                <w:color w:val="auto"/>
                <w:sz w:val="24"/>
                <w:highlight w:val="none"/>
                <w:lang w:val="en-US" w:eastAsia="zh-CN"/>
              </w:rPr>
              <w:t>废润滑油：</w:t>
            </w:r>
            <w:r>
              <w:rPr>
                <w:rFonts w:hint="eastAsia" w:cs="Calibri"/>
                <w:color w:val="auto"/>
                <w:sz w:val="24"/>
                <w:highlight w:val="none"/>
                <w:lang w:val="en-US" w:eastAsia="zh-CN"/>
              </w:rPr>
              <w:t>据建设单位介绍，企业通常在年度检维修作业期间使用润滑油，并采取即购即用模式，日常厂区内无润滑油储存库存。本项目新增设备维护过程中产生的废润滑油，产生量约为2t/a</w:t>
            </w:r>
            <w:r>
              <w:rPr>
                <w:rFonts w:hint="eastAsia" w:ascii="Times New Roman" w:hAnsi="Times New Roman" w:eastAsia="宋体" w:cs="Calibri"/>
                <w:color w:val="auto"/>
                <w:sz w:val="24"/>
                <w:highlight w:val="none"/>
                <w:lang w:val="en-US" w:eastAsia="zh-CN"/>
              </w:rPr>
              <w:t>。</w:t>
            </w:r>
          </w:p>
          <w:p w14:paraId="7E41F445">
            <w:pPr>
              <w:keepNext w:val="0"/>
              <w:keepLines w:val="0"/>
              <w:pageBreakBefore w:val="0"/>
              <w:widowControl w:val="0"/>
              <w:numPr>
                <w:ilvl w:val="0"/>
                <w:numId w:val="0"/>
              </w:numPr>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eastAsia" w:ascii="Times New Roman" w:hAnsi="Times New Roman" w:eastAsia="宋体" w:cs="Calibri"/>
                <w:b/>
                <w:bCs/>
                <w:color w:val="auto"/>
                <w:sz w:val="24"/>
                <w:highlight w:val="none"/>
                <w:lang w:val="en-US" w:eastAsia="zh-CN"/>
              </w:rPr>
            </w:pPr>
            <w:r>
              <w:rPr>
                <w:rFonts w:hint="eastAsia" w:ascii="Times New Roman" w:hAnsi="Times New Roman" w:eastAsia="宋体" w:cs="Calibri"/>
                <w:b/>
                <w:bCs/>
                <w:color w:val="auto"/>
                <w:sz w:val="24"/>
                <w:highlight w:val="none"/>
                <w:lang w:val="en-US" w:eastAsia="zh-CN"/>
              </w:rPr>
              <w:t>⑥设备清洗废液：</w:t>
            </w:r>
            <w:r>
              <w:rPr>
                <w:rFonts w:hint="eastAsia" w:ascii="Times New Roman" w:hAnsi="Times New Roman" w:eastAsia="宋体" w:cs="Calibri"/>
                <w:b w:val="0"/>
                <w:bCs w:val="0"/>
                <w:color w:val="auto"/>
                <w:sz w:val="24"/>
                <w:highlight w:val="none"/>
                <w:lang w:val="en-US" w:eastAsia="zh-CN"/>
              </w:rPr>
              <w:t>据建设单位介绍，本项目产生设备清洗废液20t/a。</w:t>
            </w:r>
          </w:p>
          <w:p w14:paraId="0BAAE4DC">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固体废物属性判定</w:t>
            </w:r>
          </w:p>
          <w:p w14:paraId="4A21BB63">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根据《中华人民共和国固体废物污染环境防治法》及《固体废物鉴别标准 通则》（GB34330-2017）的规定，判断项目生产过程中产生的副产物是否属于固体废物，判定结果见下表。</w:t>
            </w:r>
          </w:p>
          <w:p w14:paraId="134342AB">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21  </w:t>
            </w:r>
            <w:r>
              <w:rPr>
                <w:rFonts w:hint="default" w:ascii="Times New Roman" w:hAnsi="Times New Roman" w:eastAsia="宋体" w:cs="Times New Roman"/>
                <w:b/>
                <w:color w:val="auto"/>
                <w:kern w:val="2"/>
                <w:sz w:val="24"/>
                <w:szCs w:val="20"/>
                <w:highlight w:val="none"/>
                <w:lang w:val="en-US" w:eastAsia="zh-CN" w:bidi="ar-SA"/>
              </w:rPr>
              <w:t>本项目副产物产生情况及副产物属性判定表（固体废物属性）汇总表</w:t>
            </w:r>
          </w:p>
          <w:tbl>
            <w:tblPr>
              <w:tblStyle w:val="24"/>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098"/>
              <w:gridCol w:w="985"/>
              <w:gridCol w:w="583"/>
              <w:gridCol w:w="1330"/>
              <w:gridCol w:w="802"/>
              <w:gridCol w:w="849"/>
              <w:gridCol w:w="705"/>
              <w:gridCol w:w="1779"/>
            </w:tblGrid>
            <w:tr w14:paraId="7FCA8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267" w:type="pct"/>
                  <w:vMerge w:val="restart"/>
                  <w:tcMar>
                    <w:top w:w="0" w:type="dxa"/>
                    <w:left w:w="51" w:type="dxa"/>
                    <w:bottom w:w="0" w:type="dxa"/>
                    <w:right w:w="51" w:type="dxa"/>
                  </w:tcMar>
                  <w:vAlign w:val="center"/>
                </w:tcPr>
                <w:p w14:paraId="2983A8D8">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8"/>
                      <w:kern w:val="0"/>
                      <w:szCs w:val="21"/>
                      <w:highlight w:val="none"/>
                    </w:rPr>
                    <w:t>序号</w:t>
                  </w:r>
                </w:p>
              </w:tc>
              <w:tc>
                <w:tcPr>
                  <w:tcW w:w="639" w:type="pct"/>
                  <w:vMerge w:val="restart"/>
                  <w:tcMar>
                    <w:top w:w="0" w:type="dxa"/>
                    <w:left w:w="51" w:type="dxa"/>
                    <w:bottom w:w="0" w:type="dxa"/>
                    <w:right w:w="51" w:type="dxa"/>
                  </w:tcMar>
                  <w:vAlign w:val="center"/>
                </w:tcPr>
                <w:p w14:paraId="2E1304C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副产物名称</w:t>
                  </w:r>
                </w:p>
              </w:tc>
              <w:tc>
                <w:tcPr>
                  <w:tcW w:w="573" w:type="pct"/>
                  <w:vMerge w:val="restart"/>
                  <w:tcMar>
                    <w:top w:w="0" w:type="dxa"/>
                    <w:left w:w="51" w:type="dxa"/>
                    <w:bottom w:w="0" w:type="dxa"/>
                    <w:right w:w="51" w:type="dxa"/>
                  </w:tcMar>
                  <w:vAlign w:val="center"/>
                </w:tcPr>
                <w:p w14:paraId="5232D56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产生工序</w:t>
                  </w:r>
                </w:p>
              </w:tc>
              <w:tc>
                <w:tcPr>
                  <w:tcW w:w="339" w:type="pct"/>
                  <w:vMerge w:val="restart"/>
                  <w:tcMar>
                    <w:top w:w="0" w:type="dxa"/>
                    <w:left w:w="51" w:type="dxa"/>
                    <w:bottom w:w="0" w:type="dxa"/>
                    <w:right w:w="51" w:type="dxa"/>
                  </w:tcMar>
                  <w:vAlign w:val="center"/>
                </w:tcPr>
                <w:p w14:paraId="7F12A39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形态</w:t>
                  </w:r>
                </w:p>
              </w:tc>
              <w:tc>
                <w:tcPr>
                  <w:tcW w:w="774" w:type="pct"/>
                  <w:vMerge w:val="restart"/>
                  <w:tcMar>
                    <w:top w:w="0" w:type="dxa"/>
                    <w:left w:w="51" w:type="dxa"/>
                    <w:bottom w:w="0" w:type="dxa"/>
                    <w:right w:w="51" w:type="dxa"/>
                  </w:tcMar>
                  <w:vAlign w:val="center"/>
                </w:tcPr>
                <w:p w14:paraId="518E241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主要成分</w:t>
                  </w:r>
                </w:p>
              </w:tc>
              <w:tc>
                <w:tcPr>
                  <w:tcW w:w="467" w:type="pct"/>
                  <w:vMerge w:val="restart"/>
                  <w:tcMar>
                    <w:top w:w="0" w:type="dxa"/>
                    <w:left w:w="51" w:type="dxa"/>
                    <w:bottom w:w="0" w:type="dxa"/>
                    <w:right w:w="51" w:type="dxa"/>
                  </w:tcMar>
                  <w:vAlign w:val="center"/>
                </w:tcPr>
                <w:p w14:paraId="7CC2DE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预测产生量t/a</w:t>
                  </w:r>
                </w:p>
              </w:tc>
              <w:tc>
                <w:tcPr>
                  <w:tcW w:w="1939" w:type="pct"/>
                  <w:gridSpan w:val="3"/>
                  <w:tcMar>
                    <w:top w:w="0" w:type="dxa"/>
                    <w:left w:w="51" w:type="dxa"/>
                    <w:bottom w:w="0" w:type="dxa"/>
                    <w:right w:w="51" w:type="dxa"/>
                  </w:tcMar>
                  <w:vAlign w:val="center"/>
                </w:tcPr>
                <w:p w14:paraId="5F673EB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种类判断</w:t>
                  </w:r>
                </w:p>
              </w:tc>
            </w:tr>
            <w:tr w14:paraId="5A261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267" w:type="pct"/>
                  <w:vMerge w:val="continue"/>
                  <w:tcMar>
                    <w:top w:w="0" w:type="dxa"/>
                    <w:left w:w="51" w:type="dxa"/>
                    <w:bottom w:w="0" w:type="dxa"/>
                    <w:right w:w="51" w:type="dxa"/>
                  </w:tcMar>
                  <w:vAlign w:val="center"/>
                </w:tcPr>
                <w:p w14:paraId="15EC022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639" w:type="pct"/>
                  <w:vMerge w:val="continue"/>
                  <w:tcMar>
                    <w:top w:w="0" w:type="dxa"/>
                    <w:left w:w="51" w:type="dxa"/>
                    <w:bottom w:w="0" w:type="dxa"/>
                    <w:right w:w="51" w:type="dxa"/>
                  </w:tcMar>
                  <w:vAlign w:val="center"/>
                </w:tcPr>
                <w:p w14:paraId="79D74F77">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573" w:type="pct"/>
                  <w:vMerge w:val="continue"/>
                  <w:tcMar>
                    <w:top w:w="0" w:type="dxa"/>
                    <w:left w:w="51" w:type="dxa"/>
                    <w:bottom w:w="0" w:type="dxa"/>
                    <w:right w:w="51" w:type="dxa"/>
                  </w:tcMar>
                  <w:vAlign w:val="center"/>
                </w:tcPr>
                <w:p w14:paraId="668AB2F9">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339" w:type="pct"/>
                  <w:vMerge w:val="continue"/>
                  <w:tcMar>
                    <w:top w:w="0" w:type="dxa"/>
                    <w:left w:w="51" w:type="dxa"/>
                    <w:bottom w:w="0" w:type="dxa"/>
                    <w:right w:w="51" w:type="dxa"/>
                  </w:tcMar>
                  <w:vAlign w:val="center"/>
                </w:tcPr>
                <w:p w14:paraId="7FFB0C8E">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774" w:type="pct"/>
                  <w:vMerge w:val="continue"/>
                  <w:tcMar>
                    <w:top w:w="0" w:type="dxa"/>
                    <w:left w:w="51" w:type="dxa"/>
                    <w:bottom w:w="0" w:type="dxa"/>
                    <w:right w:w="51" w:type="dxa"/>
                  </w:tcMar>
                  <w:vAlign w:val="center"/>
                </w:tcPr>
                <w:p w14:paraId="4C623B1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467" w:type="pct"/>
                  <w:vMerge w:val="continue"/>
                  <w:tcMar>
                    <w:top w:w="0" w:type="dxa"/>
                    <w:left w:w="51" w:type="dxa"/>
                    <w:bottom w:w="0" w:type="dxa"/>
                    <w:right w:w="51" w:type="dxa"/>
                  </w:tcMar>
                  <w:vAlign w:val="center"/>
                </w:tcPr>
                <w:p w14:paraId="3C06409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b/>
                      <w:bCs/>
                      <w:color w:val="auto"/>
                      <w:szCs w:val="21"/>
                      <w:highlight w:val="none"/>
                    </w:rPr>
                  </w:pPr>
                </w:p>
              </w:tc>
              <w:tc>
                <w:tcPr>
                  <w:tcW w:w="494" w:type="pct"/>
                  <w:tcMar>
                    <w:top w:w="0" w:type="dxa"/>
                    <w:left w:w="51" w:type="dxa"/>
                    <w:bottom w:w="0" w:type="dxa"/>
                    <w:right w:w="51" w:type="dxa"/>
                  </w:tcMar>
                  <w:vAlign w:val="center"/>
                </w:tcPr>
                <w:p w14:paraId="0F69B81C">
                  <w:pPr>
                    <w:keepNext w:val="0"/>
                    <w:keepLines w:val="0"/>
                    <w:suppressLineNumbers w:val="0"/>
                    <w:adjustRightInd w:val="0"/>
                    <w:snapToGrid w:val="0"/>
                    <w:spacing w:before="0" w:beforeAutospacing="0" w:after="0" w:afterAutospacing="0"/>
                    <w:ind w:left="-113" w:right="-113"/>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固体废物</w:t>
                  </w:r>
                </w:p>
              </w:tc>
              <w:tc>
                <w:tcPr>
                  <w:tcW w:w="410" w:type="pct"/>
                  <w:tcMar>
                    <w:top w:w="0" w:type="dxa"/>
                    <w:left w:w="51" w:type="dxa"/>
                    <w:bottom w:w="0" w:type="dxa"/>
                    <w:right w:w="51" w:type="dxa"/>
                  </w:tcMar>
                  <w:vAlign w:val="center"/>
                </w:tcPr>
                <w:p w14:paraId="50FD7C65">
                  <w:pPr>
                    <w:keepNext w:val="0"/>
                    <w:keepLines w:val="0"/>
                    <w:suppressLineNumbers w:val="0"/>
                    <w:adjustRightInd w:val="0"/>
                    <w:snapToGrid w:val="0"/>
                    <w:spacing w:before="0" w:beforeAutospacing="0" w:after="0" w:afterAutospacing="0"/>
                    <w:ind w:left="-113" w:right="-113"/>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副产品</w:t>
                  </w:r>
                </w:p>
              </w:tc>
              <w:tc>
                <w:tcPr>
                  <w:tcW w:w="1034" w:type="pct"/>
                  <w:tcMar>
                    <w:top w:w="0" w:type="dxa"/>
                    <w:left w:w="51" w:type="dxa"/>
                    <w:bottom w:w="0" w:type="dxa"/>
                    <w:right w:w="51" w:type="dxa"/>
                  </w:tcMar>
                  <w:vAlign w:val="center"/>
                </w:tcPr>
                <w:p w14:paraId="5AC0DF8A">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判定依据</w:t>
                  </w:r>
                </w:p>
              </w:tc>
            </w:tr>
            <w:tr w14:paraId="0D0E9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50349B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val="en-US" w:eastAsia="zh-CN" w:bidi="ar"/>
                    </w:rPr>
                    <w:t>1</w:t>
                  </w:r>
                </w:p>
              </w:tc>
              <w:tc>
                <w:tcPr>
                  <w:tcW w:w="639" w:type="pct"/>
                  <w:tcMar>
                    <w:top w:w="0" w:type="dxa"/>
                    <w:left w:w="51" w:type="dxa"/>
                    <w:bottom w:w="0" w:type="dxa"/>
                    <w:right w:w="51" w:type="dxa"/>
                  </w:tcMar>
                  <w:vAlign w:val="center"/>
                </w:tcPr>
                <w:p w14:paraId="3203E8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（硅油-脱模剂）废包装桶</w:t>
                  </w:r>
                </w:p>
              </w:tc>
              <w:tc>
                <w:tcPr>
                  <w:tcW w:w="573" w:type="pct"/>
                  <w:tcMar>
                    <w:top w:w="0" w:type="dxa"/>
                    <w:left w:w="51" w:type="dxa"/>
                    <w:bottom w:w="0" w:type="dxa"/>
                    <w:right w:w="51" w:type="dxa"/>
                  </w:tcMar>
                  <w:vAlign w:val="center"/>
                </w:tcPr>
                <w:p w14:paraId="1F9CC8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喷涂硅油-脱模剂</w:t>
                  </w:r>
                </w:p>
              </w:tc>
              <w:tc>
                <w:tcPr>
                  <w:tcW w:w="339" w:type="pct"/>
                  <w:tcMar>
                    <w:top w:w="0" w:type="dxa"/>
                    <w:left w:w="51" w:type="dxa"/>
                    <w:bottom w:w="0" w:type="dxa"/>
                    <w:right w:w="51" w:type="dxa"/>
                  </w:tcMar>
                  <w:vAlign w:val="center"/>
                </w:tcPr>
                <w:p w14:paraId="313797F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固态</w:t>
                  </w:r>
                </w:p>
              </w:tc>
              <w:tc>
                <w:tcPr>
                  <w:tcW w:w="774" w:type="pct"/>
                  <w:tcMar>
                    <w:top w:w="0" w:type="dxa"/>
                    <w:left w:w="51" w:type="dxa"/>
                    <w:bottom w:w="0" w:type="dxa"/>
                    <w:right w:w="51" w:type="dxa"/>
                  </w:tcMar>
                  <w:vAlign w:val="center"/>
                </w:tcPr>
                <w:p w14:paraId="6965B4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硅油、包装容器</w:t>
                  </w:r>
                </w:p>
              </w:tc>
              <w:tc>
                <w:tcPr>
                  <w:tcW w:w="467" w:type="pct"/>
                  <w:tcMar>
                    <w:top w:w="0" w:type="dxa"/>
                    <w:left w:w="51" w:type="dxa"/>
                    <w:bottom w:w="0" w:type="dxa"/>
                    <w:right w:w="51" w:type="dxa"/>
                  </w:tcMar>
                  <w:vAlign w:val="center"/>
                </w:tcPr>
                <w:p w14:paraId="55FBD5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0.3225</w:t>
                  </w:r>
                </w:p>
              </w:tc>
              <w:tc>
                <w:tcPr>
                  <w:tcW w:w="494" w:type="pct"/>
                  <w:tcMar>
                    <w:top w:w="0" w:type="dxa"/>
                    <w:left w:w="51" w:type="dxa"/>
                    <w:bottom w:w="0" w:type="dxa"/>
                    <w:right w:w="51" w:type="dxa"/>
                  </w:tcMar>
                  <w:vAlign w:val="center"/>
                </w:tcPr>
                <w:p w14:paraId="1B6AB36D">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274F4C40">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4" w:type="pct"/>
                  <w:vMerge w:val="restart"/>
                  <w:tcMar>
                    <w:top w:w="0" w:type="dxa"/>
                    <w:left w:w="51" w:type="dxa"/>
                    <w:bottom w:w="0" w:type="dxa"/>
                    <w:right w:w="51" w:type="dxa"/>
                  </w:tcMar>
                  <w:vAlign w:val="center"/>
                </w:tcPr>
                <w:p w14:paraId="2700D8CD">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《固体废物鉴别标准 通则》（GB34330-2017）</w:t>
                  </w:r>
                </w:p>
              </w:tc>
            </w:tr>
            <w:tr w14:paraId="6BC2D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626F84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eastAsia="zh-CN" w:bidi="ar"/>
                    </w:rPr>
                  </w:pPr>
                  <w:r>
                    <w:rPr>
                      <w:rFonts w:hint="default" w:ascii="Times New Roman" w:hAnsi="Times New Roman" w:eastAsia="宋体" w:cs="Times New Roman"/>
                      <w:color w:val="auto"/>
                      <w:kern w:val="0"/>
                      <w:szCs w:val="21"/>
                      <w:highlight w:val="none"/>
                      <w:lang w:val="en-US" w:eastAsia="zh-CN" w:bidi="ar"/>
                    </w:rPr>
                    <w:t>2</w:t>
                  </w:r>
                </w:p>
              </w:tc>
              <w:tc>
                <w:tcPr>
                  <w:tcW w:w="639" w:type="pct"/>
                  <w:tcMar>
                    <w:top w:w="0" w:type="dxa"/>
                    <w:left w:w="51" w:type="dxa"/>
                    <w:bottom w:w="0" w:type="dxa"/>
                    <w:right w:w="51" w:type="dxa"/>
                  </w:tcMar>
                  <w:vAlign w:val="center"/>
                </w:tcPr>
                <w:p w14:paraId="07DD99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eastAsia="zh-CN" w:bidi="ar"/>
                    </w:rPr>
                    <w:t>废活性炭</w:t>
                  </w:r>
                </w:p>
              </w:tc>
              <w:tc>
                <w:tcPr>
                  <w:tcW w:w="573" w:type="pct"/>
                  <w:tcMar>
                    <w:top w:w="0" w:type="dxa"/>
                    <w:left w:w="51" w:type="dxa"/>
                    <w:bottom w:w="0" w:type="dxa"/>
                    <w:right w:w="51" w:type="dxa"/>
                  </w:tcMar>
                  <w:vAlign w:val="center"/>
                </w:tcPr>
                <w:p w14:paraId="35DB08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snapToGrid w:val="0"/>
                      <w:color w:val="auto"/>
                      <w:kern w:val="0"/>
                      <w:szCs w:val="21"/>
                      <w:highlight w:val="none"/>
                    </w:rPr>
                    <w:t>废气处理</w:t>
                  </w:r>
                </w:p>
              </w:tc>
              <w:tc>
                <w:tcPr>
                  <w:tcW w:w="339" w:type="pct"/>
                  <w:tcMar>
                    <w:top w:w="0" w:type="dxa"/>
                    <w:left w:w="51" w:type="dxa"/>
                    <w:bottom w:w="0" w:type="dxa"/>
                    <w:right w:w="51" w:type="dxa"/>
                  </w:tcMar>
                  <w:vAlign w:val="center"/>
                </w:tcPr>
                <w:p w14:paraId="6F5E49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固态</w:t>
                  </w:r>
                </w:p>
              </w:tc>
              <w:tc>
                <w:tcPr>
                  <w:tcW w:w="774" w:type="pct"/>
                  <w:tcMar>
                    <w:top w:w="0" w:type="dxa"/>
                    <w:left w:w="51" w:type="dxa"/>
                    <w:bottom w:w="0" w:type="dxa"/>
                    <w:right w:w="51" w:type="dxa"/>
                  </w:tcMar>
                  <w:vAlign w:val="center"/>
                </w:tcPr>
                <w:p w14:paraId="01A4C4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eastAsia="zh-CN" w:bidi="ar"/>
                    </w:rPr>
                  </w:pPr>
                  <w:r>
                    <w:rPr>
                      <w:rFonts w:hint="default" w:ascii="Times New Roman" w:hAnsi="Times New Roman" w:eastAsia="宋体" w:cs="Times New Roman"/>
                      <w:color w:val="auto"/>
                      <w:kern w:val="0"/>
                      <w:szCs w:val="21"/>
                      <w:highlight w:val="none"/>
                      <w:lang w:eastAsia="zh-CN" w:bidi="ar"/>
                    </w:rPr>
                    <w:t>活性炭、有机废气</w:t>
                  </w:r>
                </w:p>
              </w:tc>
              <w:tc>
                <w:tcPr>
                  <w:tcW w:w="467" w:type="pct"/>
                  <w:tcMar>
                    <w:top w:w="0" w:type="dxa"/>
                    <w:left w:w="51" w:type="dxa"/>
                    <w:bottom w:w="0" w:type="dxa"/>
                    <w:right w:w="51" w:type="dxa"/>
                  </w:tcMar>
                  <w:vAlign w:val="center"/>
                </w:tcPr>
                <w:p w14:paraId="1ABB66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43.549</w:t>
                  </w:r>
                </w:p>
              </w:tc>
              <w:tc>
                <w:tcPr>
                  <w:tcW w:w="494" w:type="pct"/>
                  <w:tcMar>
                    <w:top w:w="0" w:type="dxa"/>
                    <w:left w:w="51" w:type="dxa"/>
                    <w:bottom w:w="0" w:type="dxa"/>
                    <w:right w:w="51" w:type="dxa"/>
                  </w:tcMar>
                  <w:vAlign w:val="center"/>
                </w:tcPr>
                <w:p w14:paraId="1CD1FEC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5B17F9FD">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4" w:type="pct"/>
                  <w:vMerge w:val="continue"/>
                  <w:tcMar>
                    <w:top w:w="0" w:type="dxa"/>
                    <w:left w:w="51" w:type="dxa"/>
                    <w:bottom w:w="0" w:type="dxa"/>
                    <w:right w:w="51" w:type="dxa"/>
                  </w:tcMar>
                  <w:vAlign w:val="center"/>
                </w:tcPr>
                <w:p w14:paraId="08830CF4">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1C8F4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07AA37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3</w:t>
                  </w:r>
                </w:p>
              </w:tc>
              <w:tc>
                <w:tcPr>
                  <w:tcW w:w="639" w:type="pct"/>
                  <w:tcMar>
                    <w:top w:w="0" w:type="dxa"/>
                    <w:left w:w="51" w:type="dxa"/>
                    <w:bottom w:w="0" w:type="dxa"/>
                    <w:right w:w="51" w:type="dxa"/>
                  </w:tcMar>
                  <w:vAlign w:val="center"/>
                </w:tcPr>
                <w:p w14:paraId="33DB73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废布袋</w:t>
                  </w:r>
                </w:p>
              </w:tc>
              <w:tc>
                <w:tcPr>
                  <w:tcW w:w="573" w:type="pct"/>
                  <w:tcMar>
                    <w:top w:w="0" w:type="dxa"/>
                    <w:left w:w="51" w:type="dxa"/>
                    <w:bottom w:w="0" w:type="dxa"/>
                    <w:right w:w="51" w:type="dxa"/>
                  </w:tcMar>
                  <w:vAlign w:val="center"/>
                </w:tcPr>
                <w:p w14:paraId="2EE0FA6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废气处理</w:t>
                  </w:r>
                </w:p>
              </w:tc>
              <w:tc>
                <w:tcPr>
                  <w:tcW w:w="339" w:type="pct"/>
                  <w:tcMar>
                    <w:top w:w="0" w:type="dxa"/>
                    <w:left w:w="51" w:type="dxa"/>
                    <w:bottom w:w="0" w:type="dxa"/>
                    <w:right w:w="51" w:type="dxa"/>
                  </w:tcMar>
                  <w:vAlign w:val="center"/>
                </w:tcPr>
                <w:p w14:paraId="74AEDF2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固态</w:t>
                  </w:r>
                </w:p>
              </w:tc>
              <w:tc>
                <w:tcPr>
                  <w:tcW w:w="774" w:type="pct"/>
                  <w:tcMar>
                    <w:top w:w="0" w:type="dxa"/>
                    <w:left w:w="51" w:type="dxa"/>
                    <w:bottom w:w="0" w:type="dxa"/>
                    <w:right w:w="51" w:type="dxa"/>
                  </w:tcMar>
                  <w:vAlign w:val="center"/>
                </w:tcPr>
                <w:p w14:paraId="4DB707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纺织纤维、颗粒物</w:t>
                  </w:r>
                </w:p>
              </w:tc>
              <w:tc>
                <w:tcPr>
                  <w:tcW w:w="467" w:type="pct"/>
                  <w:tcMar>
                    <w:top w:w="0" w:type="dxa"/>
                    <w:left w:w="51" w:type="dxa"/>
                    <w:bottom w:w="0" w:type="dxa"/>
                    <w:right w:w="51" w:type="dxa"/>
                  </w:tcMar>
                  <w:vAlign w:val="center"/>
                </w:tcPr>
                <w:p w14:paraId="47AC7A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494" w:type="pct"/>
                  <w:tcMar>
                    <w:top w:w="0" w:type="dxa"/>
                    <w:left w:w="51" w:type="dxa"/>
                    <w:bottom w:w="0" w:type="dxa"/>
                    <w:right w:w="51" w:type="dxa"/>
                  </w:tcMar>
                  <w:vAlign w:val="center"/>
                </w:tcPr>
                <w:p w14:paraId="48F2836B">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03FA2610">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4" w:type="pct"/>
                  <w:vMerge w:val="continue"/>
                  <w:tcMar>
                    <w:top w:w="0" w:type="dxa"/>
                    <w:left w:w="51" w:type="dxa"/>
                    <w:bottom w:w="0" w:type="dxa"/>
                    <w:right w:w="51" w:type="dxa"/>
                  </w:tcMar>
                  <w:vAlign w:val="center"/>
                </w:tcPr>
                <w:p w14:paraId="0A9B1F4A">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76714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39C74D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4</w:t>
                  </w:r>
                </w:p>
              </w:tc>
              <w:tc>
                <w:tcPr>
                  <w:tcW w:w="639" w:type="pct"/>
                  <w:tcMar>
                    <w:top w:w="0" w:type="dxa"/>
                    <w:left w:w="51" w:type="dxa"/>
                    <w:bottom w:w="0" w:type="dxa"/>
                    <w:right w:w="51" w:type="dxa"/>
                  </w:tcMar>
                  <w:vAlign w:val="center"/>
                </w:tcPr>
                <w:p w14:paraId="50E023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粉尘</w:t>
                  </w:r>
                </w:p>
              </w:tc>
              <w:tc>
                <w:tcPr>
                  <w:tcW w:w="573" w:type="pct"/>
                  <w:tcMar>
                    <w:top w:w="0" w:type="dxa"/>
                    <w:left w:w="51" w:type="dxa"/>
                    <w:bottom w:w="0" w:type="dxa"/>
                    <w:right w:w="51" w:type="dxa"/>
                  </w:tcMar>
                  <w:vAlign w:val="center"/>
                </w:tcPr>
                <w:p w14:paraId="6B701D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废气处理</w:t>
                  </w:r>
                </w:p>
              </w:tc>
              <w:tc>
                <w:tcPr>
                  <w:tcW w:w="339" w:type="pct"/>
                  <w:tcMar>
                    <w:top w:w="0" w:type="dxa"/>
                    <w:left w:w="51" w:type="dxa"/>
                    <w:bottom w:w="0" w:type="dxa"/>
                    <w:right w:w="51" w:type="dxa"/>
                  </w:tcMar>
                  <w:vAlign w:val="center"/>
                </w:tcPr>
                <w:p w14:paraId="679161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固态</w:t>
                  </w:r>
                </w:p>
              </w:tc>
              <w:tc>
                <w:tcPr>
                  <w:tcW w:w="774" w:type="pct"/>
                  <w:tcMar>
                    <w:top w:w="0" w:type="dxa"/>
                    <w:left w:w="51" w:type="dxa"/>
                    <w:bottom w:w="0" w:type="dxa"/>
                    <w:right w:w="51" w:type="dxa"/>
                  </w:tcMar>
                  <w:vAlign w:val="center"/>
                </w:tcPr>
                <w:p w14:paraId="5FECCE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树脂</w:t>
                  </w:r>
                </w:p>
              </w:tc>
              <w:tc>
                <w:tcPr>
                  <w:tcW w:w="467" w:type="pct"/>
                  <w:tcMar>
                    <w:top w:w="0" w:type="dxa"/>
                    <w:left w:w="51" w:type="dxa"/>
                    <w:bottom w:w="0" w:type="dxa"/>
                    <w:right w:w="51" w:type="dxa"/>
                  </w:tcMar>
                  <w:vAlign w:val="center"/>
                </w:tcPr>
                <w:p w14:paraId="350893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5.82</w:t>
                  </w:r>
                </w:p>
              </w:tc>
              <w:tc>
                <w:tcPr>
                  <w:tcW w:w="494" w:type="pct"/>
                  <w:tcMar>
                    <w:top w:w="0" w:type="dxa"/>
                    <w:left w:w="51" w:type="dxa"/>
                    <w:bottom w:w="0" w:type="dxa"/>
                    <w:right w:w="51" w:type="dxa"/>
                  </w:tcMar>
                  <w:vAlign w:val="center"/>
                </w:tcPr>
                <w:p w14:paraId="668F56D2">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3CF6EAC1">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4" w:type="pct"/>
                  <w:vMerge w:val="continue"/>
                  <w:tcMar>
                    <w:top w:w="0" w:type="dxa"/>
                    <w:left w:w="51" w:type="dxa"/>
                    <w:bottom w:w="0" w:type="dxa"/>
                    <w:right w:w="51" w:type="dxa"/>
                  </w:tcMar>
                  <w:vAlign w:val="center"/>
                </w:tcPr>
                <w:p w14:paraId="0C85C599">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7F0D8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0EE48723">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5</w:t>
                  </w:r>
                </w:p>
              </w:tc>
              <w:tc>
                <w:tcPr>
                  <w:tcW w:w="639" w:type="pct"/>
                  <w:tcMar>
                    <w:top w:w="0" w:type="dxa"/>
                    <w:left w:w="51" w:type="dxa"/>
                    <w:bottom w:w="0" w:type="dxa"/>
                    <w:right w:w="51" w:type="dxa"/>
                  </w:tcMar>
                  <w:vAlign w:val="center"/>
                </w:tcPr>
                <w:p w14:paraId="69DF0891">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废润滑油</w:t>
                  </w:r>
                </w:p>
              </w:tc>
              <w:tc>
                <w:tcPr>
                  <w:tcW w:w="573" w:type="pct"/>
                  <w:tcMar>
                    <w:top w:w="0" w:type="dxa"/>
                    <w:left w:w="51" w:type="dxa"/>
                    <w:bottom w:w="0" w:type="dxa"/>
                    <w:right w:w="51" w:type="dxa"/>
                  </w:tcMar>
                  <w:vAlign w:val="center"/>
                </w:tcPr>
                <w:p w14:paraId="00604E38">
                  <w:pPr>
                    <w:keepNext w:val="0"/>
                    <w:keepLines w:val="0"/>
                    <w:widowControl/>
                    <w:suppressLineNumbers w:val="0"/>
                    <w:spacing w:before="0" w:beforeAutospacing="0" w:after="0" w:afterAutospacing="0"/>
                    <w:ind w:left="0" w:right="0"/>
                    <w:jc w:val="center"/>
                    <w:textAlignment w:val="center"/>
                    <w:rPr>
                      <w:rFonts w:hint="default"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设备维护</w:t>
                  </w:r>
                </w:p>
              </w:tc>
              <w:tc>
                <w:tcPr>
                  <w:tcW w:w="339" w:type="pct"/>
                  <w:tcMar>
                    <w:top w:w="0" w:type="dxa"/>
                    <w:left w:w="51" w:type="dxa"/>
                    <w:bottom w:w="0" w:type="dxa"/>
                    <w:right w:w="51" w:type="dxa"/>
                  </w:tcMar>
                  <w:vAlign w:val="center"/>
                </w:tcPr>
                <w:p w14:paraId="19BD2E4F">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液态</w:t>
                  </w:r>
                </w:p>
              </w:tc>
              <w:tc>
                <w:tcPr>
                  <w:tcW w:w="774" w:type="pct"/>
                  <w:tcMar>
                    <w:top w:w="0" w:type="dxa"/>
                    <w:left w:w="51" w:type="dxa"/>
                    <w:bottom w:w="0" w:type="dxa"/>
                    <w:right w:w="51" w:type="dxa"/>
                  </w:tcMar>
                  <w:vAlign w:val="center"/>
                </w:tcPr>
                <w:p w14:paraId="08F851D4">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润滑油</w:t>
                  </w:r>
                </w:p>
              </w:tc>
              <w:tc>
                <w:tcPr>
                  <w:tcW w:w="467" w:type="pct"/>
                  <w:tcMar>
                    <w:top w:w="0" w:type="dxa"/>
                    <w:left w:w="51" w:type="dxa"/>
                    <w:bottom w:w="0" w:type="dxa"/>
                    <w:right w:w="51" w:type="dxa"/>
                  </w:tcMar>
                  <w:vAlign w:val="center"/>
                </w:tcPr>
                <w:p w14:paraId="1C772BF8">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w:t>
                  </w:r>
                </w:p>
              </w:tc>
              <w:tc>
                <w:tcPr>
                  <w:tcW w:w="494" w:type="pct"/>
                  <w:tcMar>
                    <w:top w:w="0" w:type="dxa"/>
                    <w:left w:w="51" w:type="dxa"/>
                    <w:bottom w:w="0" w:type="dxa"/>
                    <w:right w:w="51" w:type="dxa"/>
                  </w:tcMar>
                  <w:vAlign w:val="center"/>
                </w:tcPr>
                <w:p w14:paraId="6C3F36B4">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339F4835">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4" w:type="pct"/>
                  <w:vMerge w:val="continue"/>
                  <w:tcMar>
                    <w:top w:w="0" w:type="dxa"/>
                    <w:left w:w="51" w:type="dxa"/>
                    <w:bottom w:w="0" w:type="dxa"/>
                    <w:right w:w="51" w:type="dxa"/>
                  </w:tcMar>
                  <w:vAlign w:val="center"/>
                </w:tcPr>
                <w:p w14:paraId="6B6127B3">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r w14:paraId="723F8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267" w:type="pct"/>
                  <w:tcMar>
                    <w:top w:w="0" w:type="dxa"/>
                    <w:left w:w="51" w:type="dxa"/>
                    <w:bottom w:w="0" w:type="dxa"/>
                    <w:right w:w="51" w:type="dxa"/>
                  </w:tcMar>
                  <w:vAlign w:val="center"/>
                </w:tcPr>
                <w:p w14:paraId="61ED641B">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w:t>
                  </w:r>
                </w:p>
              </w:tc>
              <w:tc>
                <w:tcPr>
                  <w:tcW w:w="639" w:type="pct"/>
                  <w:tcMar>
                    <w:top w:w="0" w:type="dxa"/>
                    <w:left w:w="51" w:type="dxa"/>
                    <w:bottom w:w="0" w:type="dxa"/>
                    <w:right w:w="51" w:type="dxa"/>
                  </w:tcMar>
                  <w:vAlign w:val="center"/>
                </w:tcPr>
                <w:p w14:paraId="4F73784F">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设备清洗废液</w:t>
                  </w:r>
                </w:p>
              </w:tc>
              <w:tc>
                <w:tcPr>
                  <w:tcW w:w="573" w:type="pct"/>
                  <w:tcMar>
                    <w:top w:w="0" w:type="dxa"/>
                    <w:left w:w="51" w:type="dxa"/>
                    <w:bottom w:w="0" w:type="dxa"/>
                    <w:right w:w="51" w:type="dxa"/>
                  </w:tcMar>
                  <w:vAlign w:val="center"/>
                </w:tcPr>
                <w:p w14:paraId="4EFA89AB">
                  <w:pPr>
                    <w:keepNext w:val="0"/>
                    <w:keepLines w:val="0"/>
                    <w:widowControl/>
                    <w:suppressLineNumbers w:val="0"/>
                    <w:spacing w:before="0" w:beforeAutospacing="0" w:after="0" w:afterAutospacing="0"/>
                    <w:ind w:left="0" w:right="0"/>
                    <w:jc w:val="center"/>
                    <w:textAlignment w:val="center"/>
                    <w:rPr>
                      <w:rFonts w:hint="default"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设备清洗</w:t>
                  </w:r>
                </w:p>
              </w:tc>
              <w:tc>
                <w:tcPr>
                  <w:tcW w:w="339" w:type="pct"/>
                  <w:tcMar>
                    <w:top w:w="0" w:type="dxa"/>
                    <w:left w:w="51" w:type="dxa"/>
                    <w:bottom w:w="0" w:type="dxa"/>
                    <w:right w:w="51" w:type="dxa"/>
                  </w:tcMar>
                  <w:vAlign w:val="center"/>
                </w:tcPr>
                <w:p w14:paraId="23824289">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液态</w:t>
                  </w:r>
                </w:p>
              </w:tc>
              <w:tc>
                <w:tcPr>
                  <w:tcW w:w="774" w:type="pct"/>
                  <w:tcMar>
                    <w:top w:w="0" w:type="dxa"/>
                    <w:left w:w="51" w:type="dxa"/>
                    <w:bottom w:w="0" w:type="dxa"/>
                    <w:right w:w="51" w:type="dxa"/>
                  </w:tcMar>
                  <w:vAlign w:val="center"/>
                </w:tcPr>
                <w:p w14:paraId="274F1CC3">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清洗液</w:t>
                  </w:r>
                </w:p>
              </w:tc>
              <w:tc>
                <w:tcPr>
                  <w:tcW w:w="467" w:type="pct"/>
                  <w:tcMar>
                    <w:top w:w="0" w:type="dxa"/>
                    <w:left w:w="51" w:type="dxa"/>
                    <w:bottom w:w="0" w:type="dxa"/>
                    <w:right w:w="51" w:type="dxa"/>
                  </w:tcMar>
                  <w:vAlign w:val="center"/>
                </w:tcPr>
                <w:p w14:paraId="1C1B5A11">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20</w:t>
                  </w:r>
                </w:p>
              </w:tc>
              <w:tc>
                <w:tcPr>
                  <w:tcW w:w="494" w:type="pct"/>
                  <w:tcMar>
                    <w:top w:w="0" w:type="dxa"/>
                    <w:left w:w="51" w:type="dxa"/>
                    <w:bottom w:w="0" w:type="dxa"/>
                    <w:right w:w="51" w:type="dxa"/>
                  </w:tcMar>
                  <w:vAlign w:val="center"/>
                </w:tcPr>
                <w:p w14:paraId="0EB003C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410" w:type="pct"/>
                  <w:tcMar>
                    <w:top w:w="0" w:type="dxa"/>
                    <w:left w:w="51" w:type="dxa"/>
                    <w:bottom w:w="0" w:type="dxa"/>
                    <w:right w:w="51" w:type="dxa"/>
                  </w:tcMar>
                  <w:vAlign w:val="center"/>
                </w:tcPr>
                <w:p w14:paraId="52910250">
                  <w:pPr>
                    <w:keepNext w:val="0"/>
                    <w:keepLines w:val="0"/>
                    <w:suppressLineNumbers w:val="0"/>
                    <w:adjustRightInd w:val="0"/>
                    <w:snapToGrid w:val="0"/>
                    <w:spacing w:before="0" w:beforeAutospacing="0" w:after="0" w:afterAutospacing="0"/>
                    <w:ind w:left="-50" w:leftChars="0" w:right="-5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034" w:type="pct"/>
                  <w:vMerge w:val="continue"/>
                  <w:tcMar>
                    <w:top w:w="0" w:type="dxa"/>
                    <w:left w:w="51" w:type="dxa"/>
                    <w:bottom w:w="0" w:type="dxa"/>
                    <w:right w:w="51" w:type="dxa"/>
                  </w:tcMar>
                  <w:vAlign w:val="center"/>
                </w:tcPr>
                <w:p w14:paraId="08496114">
                  <w:pPr>
                    <w:keepNext w:val="0"/>
                    <w:keepLines w:val="0"/>
                    <w:suppressLineNumbers w:val="0"/>
                    <w:adjustRightInd w:val="0"/>
                    <w:snapToGrid w:val="0"/>
                    <w:spacing w:before="0" w:beforeAutospacing="0" w:after="0" w:afterAutospacing="0"/>
                    <w:ind w:left="-50" w:right="-50"/>
                    <w:jc w:val="center"/>
                    <w:rPr>
                      <w:rFonts w:hint="default" w:ascii="Times New Roman" w:hAnsi="Times New Roman" w:eastAsia="宋体" w:cs="Times New Roman"/>
                      <w:color w:val="auto"/>
                      <w:szCs w:val="21"/>
                      <w:highlight w:val="none"/>
                    </w:rPr>
                  </w:pPr>
                </w:p>
              </w:tc>
            </w:tr>
          </w:tbl>
          <w:p w14:paraId="5CE5C66E">
            <w:pPr>
              <w:keepNext w:val="0"/>
              <w:keepLines w:val="0"/>
              <w:suppressLineNumbers w:val="0"/>
              <w:adjustRightInd w:val="0"/>
              <w:snapToGrid w:val="0"/>
              <w:spacing w:before="159" w:beforeLines="5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根据上表可知，本项目产生的各类副产物均属于固体废物。</w:t>
            </w:r>
          </w:p>
          <w:p w14:paraId="1FC6C17C">
            <w:pPr>
              <w:keepNext w:val="0"/>
              <w:keepLines w:val="0"/>
              <w:numPr>
                <w:ilvl w:val="0"/>
                <w:numId w:val="0"/>
              </w:numPr>
              <w:suppressLineNumbers w:val="0"/>
              <w:adjustRightInd w:val="0"/>
              <w:snapToGrid w:val="0"/>
              <w:spacing w:before="0" w:beforeAutospacing="0" w:after="0" w:afterAutospacing="0" w:line="360" w:lineRule="auto"/>
              <w:ind w:left="420" w:leftChars="200" w:right="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危险废物属性判定</w:t>
            </w:r>
          </w:p>
          <w:p w14:paraId="265F32F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根据《国家危险废物名录（202</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版）》以及《危险废物鉴别标准》，判定建设项目的固体废物是否属于危险废物。根据副产物产生情况分析和副产物属性判定，本项目固体废物分析结果及危险废物分析结果汇总下表。</w:t>
            </w:r>
          </w:p>
          <w:p w14:paraId="0B026546">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22  </w:t>
            </w:r>
            <w:r>
              <w:rPr>
                <w:rFonts w:hint="default" w:ascii="Times New Roman" w:hAnsi="Times New Roman" w:eastAsia="宋体" w:cs="Times New Roman"/>
                <w:b/>
                <w:bCs/>
                <w:color w:val="auto"/>
                <w:kern w:val="2"/>
                <w:sz w:val="24"/>
                <w:szCs w:val="20"/>
                <w:highlight w:val="none"/>
                <w:lang w:val="en-US" w:eastAsia="zh-CN" w:bidi="ar-SA"/>
              </w:rPr>
              <w:t>本项目固体废物分析结果汇总表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43"/>
              <w:gridCol w:w="707"/>
              <w:gridCol w:w="1047"/>
              <w:gridCol w:w="612"/>
              <w:gridCol w:w="1112"/>
              <w:gridCol w:w="488"/>
              <w:gridCol w:w="775"/>
              <w:gridCol w:w="575"/>
              <w:gridCol w:w="808"/>
              <w:gridCol w:w="1317"/>
              <w:gridCol w:w="918"/>
            </w:tblGrid>
            <w:tr w14:paraId="38E365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op w:val="single" w:color="000000" w:sz="12" w:space="0"/>
                    <w:tl2br w:val="nil"/>
                    <w:tr2bl w:val="nil"/>
                  </w:tcBorders>
                  <w:vAlign w:val="center"/>
                </w:tcPr>
                <w:p w14:paraId="19E5525C">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406" w:type="pct"/>
                  <w:tcBorders>
                    <w:top w:val="single" w:color="000000" w:sz="12" w:space="0"/>
                    <w:tl2br w:val="nil"/>
                    <w:tr2bl w:val="nil"/>
                  </w:tcBorders>
                  <w:vAlign w:val="center"/>
                </w:tcPr>
                <w:p w14:paraId="06229371">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eastAsia" w:cs="Times New Roman"/>
                      <w:b/>
                      <w:bCs/>
                      <w:color w:val="auto"/>
                      <w:szCs w:val="21"/>
                      <w:highlight w:val="none"/>
                      <w:lang w:eastAsia="zh-CN"/>
                    </w:rPr>
                    <w:t>固体废物</w:t>
                  </w:r>
                  <w:r>
                    <w:rPr>
                      <w:rFonts w:hint="default" w:ascii="Times New Roman" w:hAnsi="Times New Roman" w:eastAsia="宋体" w:cs="Times New Roman"/>
                      <w:b/>
                      <w:bCs/>
                      <w:color w:val="auto"/>
                      <w:szCs w:val="21"/>
                      <w:highlight w:val="none"/>
                    </w:rPr>
                    <w:t>名称</w:t>
                  </w:r>
                </w:p>
              </w:tc>
              <w:tc>
                <w:tcPr>
                  <w:tcW w:w="601" w:type="pct"/>
                  <w:tcBorders>
                    <w:top w:val="single" w:color="000000" w:sz="12" w:space="0"/>
                    <w:tl2br w:val="nil"/>
                    <w:tr2bl w:val="nil"/>
                  </w:tcBorders>
                  <w:vAlign w:val="center"/>
                </w:tcPr>
                <w:p w14:paraId="6FD7A116">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产生工序</w:t>
                  </w:r>
                </w:p>
              </w:tc>
              <w:tc>
                <w:tcPr>
                  <w:tcW w:w="351" w:type="pct"/>
                  <w:tcBorders>
                    <w:top w:val="single" w:color="000000" w:sz="12" w:space="0"/>
                    <w:tl2br w:val="nil"/>
                    <w:tr2bl w:val="nil"/>
                  </w:tcBorders>
                  <w:vAlign w:val="center"/>
                </w:tcPr>
                <w:p w14:paraId="7D896C15">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形态</w:t>
                  </w:r>
                </w:p>
              </w:tc>
              <w:tc>
                <w:tcPr>
                  <w:tcW w:w="638" w:type="pct"/>
                  <w:tcBorders>
                    <w:top w:val="single" w:color="000000" w:sz="12" w:space="0"/>
                    <w:tl2br w:val="nil"/>
                    <w:tr2bl w:val="nil"/>
                  </w:tcBorders>
                  <w:vAlign w:val="center"/>
                </w:tcPr>
                <w:p w14:paraId="10E51655">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主要成分</w:t>
                  </w:r>
                </w:p>
              </w:tc>
              <w:tc>
                <w:tcPr>
                  <w:tcW w:w="280" w:type="pct"/>
                  <w:tcBorders>
                    <w:top w:val="single" w:color="000000" w:sz="12" w:space="0"/>
                    <w:tl2br w:val="nil"/>
                    <w:tr2bl w:val="nil"/>
                  </w:tcBorders>
                  <w:vAlign w:val="center"/>
                </w:tcPr>
                <w:p w14:paraId="59A7CE3C">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属性</w:t>
                  </w:r>
                </w:p>
              </w:tc>
              <w:tc>
                <w:tcPr>
                  <w:tcW w:w="445" w:type="pct"/>
                  <w:tcBorders>
                    <w:top w:val="single" w:color="000000" w:sz="12" w:space="0"/>
                    <w:tl2br w:val="nil"/>
                    <w:tr2bl w:val="nil"/>
                  </w:tcBorders>
                  <w:vAlign w:val="center"/>
                </w:tcPr>
                <w:p w14:paraId="5F449EC6">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类别鉴别方法</w:t>
                  </w:r>
                </w:p>
              </w:tc>
              <w:tc>
                <w:tcPr>
                  <w:tcW w:w="330" w:type="pct"/>
                  <w:tcBorders>
                    <w:top w:val="single" w:color="000000" w:sz="12" w:space="0"/>
                    <w:tl2br w:val="nil"/>
                    <w:tr2bl w:val="nil"/>
                  </w:tcBorders>
                  <w:vAlign w:val="center"/>
                </w:tcPr>
                <w:p w14:paraId="60ED6016">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危险</w:t>
                  </w:r>
                </w:p>
                <w:p w14:paraId="5E340ED1">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特性</w:t>
                  </w:r>
                </w:p>
              </w:tc>
              <w:tc>
                <w:tcPr>
                  <w:tcW w:w="464" w:type="pct"/>
                  <w:tcBorders>
                    <w:top w:val="single" w:color="000000" w:sz="12" w:space="0"/>
                    <w:tl2br w:val="nil"/>
                    <w:tr2bl w:val="nil"/>
                  </w:tcBorders>
                  <w:vAlign w:val="center"/>
                </w:tcPr>
                <w:p w14:paraId="7F295A7E">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废物类别</w:t>
                  </w:r>
                </w:p>
              </w:tc>
              <w:tc>
                <w:tcPr>
                  <w:tcW w:w="756" w:type="pct"/>
                  <w:tcBorders>
                    <w:top w:val="single" w:color="000000" w:sz="12" w:space="0"/>
                    <w:tl2br w:val="nil"/>
                    <w:tr2bl w:val="nil"/>
                  </w:tcBorders>
                  <w:vAlign w:val="center"/>
                </w:tcPr>
                <w:p w14:paraId="1EC3832D">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废物代码</w:t>
                  </w:r>
                </w:p>
              </w:tc>
              <w:tc>
                <w:tcPr>
                  <w:tcW w:w="527" w:type="pct"/>
                  <w:tcBorders>
                    <w:top w:val="single" w:color="000000" w:sz="12" w:space="0"/>
                    <w:tl2br w:val="nil"/>
                    <w:tr2bl w:val="nil"/>
                  </w:tcBorders>
                  <w:vAlign w:val="center"/>
                </w:tcPr>
                <w:p w14:paraId="2D24E60D">
                  <w:pPr>
                    <w:keepNext w:val="0"/>
                    <w:keepLines w:val="0"/>
                    <w:pageBreakBefore w:val="0"/>
                    <w:suppressLineNumbers w:val="0"/>
                    <w:kinsoku/>
                    <w:wordWrap/>
                    <w:overflowPunct/>
                    <w:topLinePunct w:val="0"/>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产生量t/a</w:t>
                  </w:r>
                </w:p>
              </w:tc>
            </w:tr>
            <w:tr w14:paraId="64C5DC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4A0BFB1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1</w:t>
                  </w:r>
                </w:p>
              </w:tc>
              <w:tc>
                <w:tcPr>
                  <w:tcW w:w="406" w:type="pct"/>
                  <w:tcBorders>
                    <w:tl2br w:val="nil"/>
                    <w:tr2bl w:val="nil"/>
                  </w:tcBorders>
                  <w:vAlign w:val="center"/>
                </w:tcPr>
                <w:p w14:paraId="3290B9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rPr>
                  </w:pPr>
                  <w:r>
                    <w:rPr>
                      <w:rFonts w:hint="eastAsia" w:cs="Times New Roman"/>
                      <w:color w:val="auto"/>
                      <w:szCs w:val="21"/>
                      <w:highlight w:val="none"/>
                      <w:lang w:val="en-US" w:eastAsia="zh-CN"/>
                    </w:rPr>
                    <w:t>（硅油-脱模剂）废包装桶</w:t>
                  </w:r>
                </w:p>
              </w:tc>
              <w:tc>
                <w:tcPr>
                  <w:tcW w:w="601" w:type="pct"/>
                  <w:tcBorders>
                    <w:tl2br w:val="nil"/>
                    <w:tr2bl w:val="nil"/>
                  </w:tcBorders>
                  <w:vAlign w:val="center"/>
                </w:tcPr>
                <w:p w14:paraId="10C832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snapToGrid w:val="0"/>
                      <w:color w:val="auto"/>
                      <w:kern w:val="0"/>
                      <w:szCs w:val="21"/>
                      <w:highlight w:val="none"/>
                      <w:lang w:val="en-US" w:eastAsia="zh-CN"/>
                    </w:rPr>
                    <w:t>喷涂硅油-脱模剂</w:t>
                  </w:r>
                </w:p>
              </w:tc>
              <w:tc>
                <w:tcPr>
                  <w:tcW w:w="351" w:type="pct"/>
                  <w:tcBorders>
                    <w:tl2br w:val="nil"/>
                    <w:tr2bl w:val="nil"/>
                  </w:tcBorders>
                  <w:vAlign w:val="center"/>
                </w:tcPr>
                <w:p w14:paraId="6E6375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固态</w:t>
                  </w:r>
                </w:p>
              </w:tc>
              <w:tc>
                <w:tcPr>
                  <w:tcW w:w="638" w:type="pct"/>
                  <w:tcBorders>
                    <w:tl2br w:val="nil"/>
                    <w:tr2bl w:val="nil"/>
                  </w:tcBorders>
                  <w:vAlign w:val="center"/>
                </w:tcPr>
                <w:p w14:paraId="5A2D4C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kern w:val="0"/>
                      <w:szCs w:val="21"/>
                      <w:highlight w:val="none"/>
                      <w:lang w:val="en-US" w:eastAsia="zh-CN"/>
                    </w:rPr>
                    <w:t>硅油、包装容器</w:t>
                  </w:r>
                </w:p>
              </w:tc>
              <w:tc>
                <w:tcPr>
                  <w:tcW w:w="280" w:type="pct"/>
                  <w:vMerge w:val="restart"/>
                  <w:tcBorders>
                    <w:tl2br w:val="nil"/>
                    <w:tr2bl w:val="nil"/>
                  </w:tcBorders>
                  <w:vAlign w:val="center"/>
                </w:tcPr>
                <w:p w14:paraId="11FBCBB2">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kern w:val="0"/>
                      <w:szCs w:val="21"/>
                      <w:highlight w:val="none"/>
                      <w:lang w:bidi="ar"/>
                    </w:rPr>
                    <w:t>危险</w:t>
                  </w:r>
                  <w:r>
                    <w:rPr>
                      <w:rFonts w:hint="eastAsia" w:cs="Times New Roman"/>
                      <w:color w:val="auto"/>
                      <w:kern w:val="0"/>
                      <w:szCs w:val="21"/>
                      <w:highlight w:val="none"/>
                      <w:lang w:eastAsia="zh-CN" w:bidi="ar"/>
                    </w:rPr>
                    <w:t>固体废物</w:t>
                  </w:r>
                </w:p>
              </w:tc>
              <w:tc>
                <w:tcPr>
                  <w:tcW w:w="445" w:type="pct"/>
                  <w:vMerge w:val="restart"/>
                  <w:tcBorders>
                    <w:tl2br w:val="nil"/>
                    <w:tr2bl w:val="nil"/>
                  </w:tcBorders>
                  <w:vAlign w:val="center"/>
                </w:tcPr>
                <w:p w14:paraId="2A4919F4">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sz w:val="21"/>
                      <w:szCs w:val="21"/>
                      <w:highlight w:val="none"/>
                    </w:rPr>
                    <w:t>《国家危险废物名录》（202</w:t>
                  </w:r>
                  <w:r>
                    <w:rPr>
                      <w:rFonts w:hint="eastAsia" w:ascii="Times New Roman" w:hAnsi="Times New Roman" w:eastAsia="宋体" w:cs="Times New Roman"/>
                      <w:snapToGrid w:val="0"/>
                      <w:color w:val="auto"/>
                      <w:sz w:val="21"/>
                      <w:szCs w:val="21"/>
                      <w:highlight w:val="none"/>
                      <w:lang w:val="en-US" w:eastAsia="zh-CN"/>
                    </w:rPr>
                    <w:t>5</w:t>
                  </w:r>
                  <w:r>
                    <w:rPr>
                      <w:rFonts w:hint="default" w:ascii="Times New Roman" w:hAnsi="Times New Roman" w:eastAsia="宋体" w:cs="Times New Roman"/>
                      <w:snapToGrid w:val="0"/>
                      <w:color w:val="auto"/>
                      <w:sz w:val="21"/>
                      <w:szCs w:val="21"/>
                      <w:highlight w:val="none"/>
                    </w:rPr>
                    <w:t>年版）</w:t>
                  </w:r>
                </w:p>
              </w:tc>
              <w:tc>
                <w:tcPr>
                  <w:tcW w:w="330" w:type="pct"/>
                  <w:tcBorders>
                    <w:tl2br w:val="nil"/>
                    <w:tr2bl w:val="nil"/>
                  </w:tcBorders>
                  <w:shd w:val="clear" w:color="auto" w:fill="auto"/>
                  <w:vAlign w:val="center"/>
                </w:tcPr>
                <w:p w14:paraId="7B0E4D76">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w:t>
                  </w:r>
                  <w:r>
                    <w:rPr>
                      <w:rFonts w:hint="eastAsia" w:ascii="Times New Roman" w:hAnsi="Times New Roman" w:eastAsia="宋体" w:cs="Times New Roman"/>
                      <w:color w:val="auto"/>
                      <w:kern w:val="0"/>
                      <w:sz w:val="21"/>
                      <w:szCs w:val="21"/>
                      <w:highlight w:val="none"/>
                      <w:lang w:val="en-US" w:eastAsia="zh-CN" w:bidi="ar"/>
                    </w:rPr>
                    <w:t>/In</w:t>
                  </w:r>
                </w:p>
              </w:tc>
              <w:tc>
                <w:tcPr>
                  <w:tcW w:w="464" w:type="pct"/>
                  <w:tcBorders>
                    <w:tl2br w:val="nil"/>
                    <w:tr2bl w:val="nil"/>
                  </w:tcBorders>
                  <w:vAlign w:val="center"/>
                </w:tcPr>
                <w:p w14:paraId="70E5EEF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HW49</w:t>
                  </w:r>
                </w:p>
              </w:tc>
              <w:tc>
                <w:tcPr>
                  <w:tcW w:w="756" w:type="pct"/>
                  <w:tcBorders>
                    <w:tl2br w:val="nil"/>
                    <w:tr2bl w:val="nil"/>
                  </w:tcBorders>
                  <w:vAlign w:val="center"/>
                </w:tcPr>
                <w:p w14:paraId="083F3B5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900-041-49</w:t>
                  </w:r>
                </w:p>
              </w:tc>
              <w:tc>
                <w:tcPr>
                  <w:tcW w:w="527" w:type="pct"/>
                  <w:tcBorders>
                    <w:tl2br w:val="nil"/>
                    <w:tr2bl w:val="nil"/>
                  </w:tcBorders>
                  <w:vAlign w:val="center"/>
                </w:tcPr>
                <w:p w14:paraId="035AEF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0.3225</w:t>
                  </w:r>
                </w:p>
              </w:tc>
            </w:tr>
            <w:tr w14:paraId="2C56E7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32994AD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bidi="ar"/>
                    </w:rPr>
                    <w:t>2</w:t>
                  </w:r>
                </w:p>
              </w:tc>
              <w:tc>
                <w:tcPr>
                  <w:tcW w:w="406" w:type="pct"/>
                  <w:tcBorders>
                    <w:tl2br w:val="nil"/>
                    <w:tr2bl w:val="nil"/>
                  </w:tcBorders>
                  <w:vAlign w:val="center"/>
                </w:tcPr>
                <w:p w14:paraId="2743142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eastAsia="zh-CN" w:bidi="ar"/>
                    </w:rPr>
                    <w:t>废活性炭</w:t>
                  </w:r>
                </w:p>
              </w:tc>
              <w:tc>
                <w:tcPr>
                  <w:tcW w:w="601" w:type="pct"/>
                  <w:tcBorders>
                    <w:tl2br w:val="nil"/>
                    <w:tr2bl w:val="nil"/>
                  </w:tcBorders>
                  <w:vAlign w:val="center"/>
                </w:tcPr>
                <w:p w14:paraId="681C70F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snapToGrid w:val="0"/>
                      <w:color w:val="auto"/>
                      <w:kern w:val="0"/>
                      <w:szCs w:val="21"/>
                      <w:highlight w:val="none"/>
                    </w:rPr>
                    <w:t>废气处理</w:t>
                  </w:r>
                </w:p>
              </w:tc>
              <w:tc>
                <w:tcPr>
                  <w:tcW w:w="351" w:type="pct"/>
                  <w:tcBorders>
                    <w:tl2br w:val="nil"/>
                    <w:tr2bl w:val="nil"/>
                  </w:tcBorders>
                  <w:vAlign w:val="center"/>
                </w:tcPr>
                <w:p w14:paraId="21B9FC8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固态</w:t>
                  </w:r>
                </w:p>
              </w:tc>
              <w:tc>
                <w:tcPr>
                  <w:tcW w:w="638" w:type="pct"/>
                  <w:tcBorders>
                    <w:tl2br w:val="nil"/>
                    <w:tr2bl w:val="nil"/>
                  </w:tcBorders>
                  <w:vAlign w:val="center"/>
                </w:tcPr>
                <w:p w14:paraId="372C8DBB">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eastAsia="zh-CN" w:bidi="ar"/>
                    </w:rPr>
                    <w:t>活性炭、有机废气</w:t>
                  </w:r>
                </w:p>
              </w:tc>
              <w:tc>
                <w:tcPr>
                  <w:tcW w:w="280" w:type="pct"/>
                  <w:vMerge w:val="continue"/>
                  <w:tcBorders>
                    <w:tl2br w:val="nil"/>
                    <w:tr2bl w:val="nil"/>
                  </w:tcBorders>
                  <w:vAlign w:val="center"/>
                </w:tcPr>
                <w:p w14:paraId="2E3885D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45" w:type="pct"/>
                  <w:vMerge w:val="continue"/>
                  <w:tcBorders>
                    <w:tl2br w:val="nil"/>
                    <w:tr2bl w:val="nil"/>
                  </w:tcBorders>
                  <w:vAlign w:val="center"/>
                </w:tcPr>
                <w:p w14:paraId="329E90F8">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330" w:type="pct"/>
                  <w:tcBorders>
                    <w:bottom w:val="single" w:color="auto" w:sz="4" w:space="0"/>
                    <w:tl2br w:val="nil"/>
                    <w:tr2bl w:val="nil"/>
                  </w:tcBorders>
                  <w:vAlign w:val="center"/>
                </w:tcPr>
                <w:p w14:paraId="0C56AD5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T</w:t>
                  </w:r>
                </w:p>
              </w:tc>
              <w:tc>
                <w:tcPr>
                  <w:tcW w:w="464" w:type="pct"/>
                  <w:tcBorders>
                    <w:tl2br w:val="nil"/>
                    <w:tr2bl w:val="nil"/>
                  </w:tcBorders>
                  <w:vAlign w:val="center"/>
                </w:tcPr>
                <w:p w14:paraId="099801B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HW49</w:t>
                  </w:r>
                </w:p>
              </w:tc>
              <w:tc>
                <w:tcPr>
                  <w:tcW w:w="756" w:type="pct"/>
                  <w:tcBorders>
                    <w:tl2br w:val="nil"/>
                    <w:tr2bl w:val="nil"/>
                  </w:tcBorders>
                  <w:vAlign w:val="center"/>
                </w:tcPr>
                <w:p w14:paraId="5DB6DA7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900-0</w:t>
                  </w:r>
                  <w:r>
                    <w:rPr>
                      <w:rFonts w:hint="default" w:ascii="Times New Roman" w:hAnsi="Times New Roman" w:eastAsia="宋体" w:cs="Times New Roman"/>
                      <w:color w:val="auto"/>
                      <w:szCs w:val="21"/>
                      <w:highlight w:val="none"/>
                      <w:lang w:val="en-US" w:eastAsia="zh-CN"/>
                    </w:rPr>
                    <w:t>39</w:t>
                  </w:r>
                  <w:r>
                    <w:rPr>
                      <w:rFonts w:hint="default" w:ascii="Times New Roman" w:hAnsi="Times New Roman" w:eastAsia="宋体" w:cs="Times New Roman"/>
                      <w:color w:val="auto"/>
                      <w:szCs w:val="21"/>
                      <w:highlight w:val="none"/>
                    </w:rPr>
                    <w:t>-49</w:t>
                  </w:r>
                </w:p>
              </w:tc>
              <w:tc>
                <w:tcPr>
                  <w:tcW w:w="527" w:type="pct"/>
                  <w:tcBorders>
                    <w:tl2br w:val="nil"/>
                    <w:tr2bl w:val="nil"/>
                  </w:tcBorders>
                  <w:vAlign w:val="center"/>
                </w:tcPr>
                <w:p w14:paraId="26E99C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43.549</w:t>
                  </w:r>
                </w:p>
              </w:tc>
            </w:tr>
            <w:tr w14:paraId="436FB8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C2E04F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bidi="ar"/>
                    </w:rPr>
                  </w:pPr>
                  <w:r>
                    <w:rPr>
                      <w:rFonts w:hint="eastAsia" w:ascii="Times New Roman" w:hAnsi="Times New Roman" w:eastAsia="宋体" w:cs="Times New Roman"/>
                      <w:color w:val="auto"/>
                      <w:kern w:val="0"/>
                      <w:szCs w:val="21"/>
                      <w:highlight w:val="none"/>
                      <w:lang w:val="en-US" w:eastAsia="zh-CN" w:bidi="ar"/>
                    </w:rPr>
                    <w:t>3</w:t>
                  </w:r>
                </w:p>
              </w:tc>
              <w:tc>
                <w:tcPr>
                  <w:tcW w:w="406" w:type="pct"/>
                  <w:tcBorders>
                    <w:tl2br w:val="nil"/>
                    <w:tr2bl w:val="nil"/>
                  </w:tcBorders>
                  <w:vAlign w:val="center"/>
                </w:tcPr>
                <w:p w14:paraId="36B3135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废润滑油</w:t>
                  </w:r>
                </w:p>
              </w:tc>
              <w:tc>
                <w:tcPr>
                  <w:tcW w:w="601" w:type="pct"/>
                  <w:tcBorders>
                    <w:tl2br w:val="nil"/>
                    <w:tr2bl w:val="nil"/>
                  </w:tcBorders>
                  <w:vAlign w:val="center"/>
                </w:tcPr>
                <w:p w14:paraId="583C03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设备维护</w:t>
                  </w:r>
                </w:p>
              </w:tc>
              <w:tc>
                <w:tcPr>
                  <w:tcW w:w="351" w:type="pct"/>
                  <w:tcBorders>
                    <w:tl2br w:val="nil"/>
                    <w:tr2bl w:val="nil"/>
                  </w:tcBorders>
                  <w:vAlign w:val="center"/>
                </w:tcPr>
                <w:p w14:paraId="497CD90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液态</w:t>
                  </w:r>
                </w:p>
              </w:tc>
              <w:tc>
                <w:tcPr>
                  <w:tcW w:w="638" w:type="pct"/>
                  <w:tcBorders>
                    <w:tl2br w:val="nil"/>
                    <w:tr2bl w:val="nil"/>
                  </w:tcBorders>
                  <w:vAlign w:val="center"/>
                </w:tcPr>
                <w:p w14:paraId="3B424B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润滑油</w:t>
                  </w:r>
                </w:p>
              </w:tc>
              <w:tc>
                <w:tcPr>
                  <w:tcW w:w="280" w:type="pct"/>
                  <w:vMerge w:val="continue"/>
                  <w:tcBorders>
                    <w:tl2br w:val="nil"/>
                    <w:tr2bl w:val="nil"/>
                  </w:tcBorders>
                  <w:vAlign w:val="center"/>
                </w:tcPr>
                <w:p w14:paraId="608DD32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45" w:type="pct"/>
                  <w:vMerge w:val="continue"/>
                  <w:tcBorders>
                    <w:tl2br w:val="nil"/>
                    <w:tr2bl w:val="nil"/>
                  </w:tcBorders>
                  <w:vAlign w:val="center"/>
                </w:tcPr>
                <w:p w14:paraId="64F5F948">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330" w:type="pct"/>
                  <w:tcBorders>
                    <w:bottom w:val="single" w:color="auto" w:sz="4" w:space="0"/>
                    <w:tl2br w:val="nil"/>
                    <w:tr2bl w:val="nil"/>
                  </w:tcBorders>
                  <w:vAlign w:val="center"/>
                </w:tcPr>
                <w:p w14:paraId="79EEE7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Cs w:val="21"/>
                      <w:highlight w:val="none"/>
                      <w:lang w:val="en-US" w:bidi="ar"/>
                    </w:rPr>
                  </w:pPr>
                  <w:r>
                    <w:rPr>
                      <w:rFonts w:hint="eastAsia" w:ascii="Times New Roman" w:hAnsi="Times New Roman" w:eastAsia="宋体" w:cs="Times New Roman"/>
                      <w:i w:val="0"/>
                      <w:iCs w:val="0"/>
                      <w:color w:val="auto"/>
                      <w:kern w:val="0"/>
                      <w:sz w:val="21"/>
                      <w:szCs w:val="21"/>
                      <w:highlight w:val="none"/>
                      <w:u w:val="none"/>
                      <w:lang w:val="en-US" w:eastAsia="zh-CN" w:bidi="ar"/>
                    </w:rPr>
                    <w:t>T</w:t>
                  </w:r>
                  <w:r>
                    <w:rPr>
                      <w:rFonts w:hint="eastAsia" w:cs="Times New Roman"/>
                      <w:i w:val="0"/>
                      <w:iCs w:val="0"/>
                      <w:color w:val="auto"/>
                      <w:kern w:val="0"/>
                      <w:sz w:val="21"/>
                      <w:szCs w:val="21"/>
                      <w:highlight w:val="none"/>
                      <w:u w:val="none"/>
                      <w:lang w:val="en-US" w:eastAsia="zh-CN" w:bidi="ar"/>
                    </w:rPr>
                    <w:t>,I</w:t>
                  </w:r>
                </w:p>
              </w:tc>
              <w:tc>
                <w:tcPr>
                  <w:tcW w:w="464" w:type="pct"/>
                  <w:tcBorders>
                    <w:tl2br w:val="nil"/>
                    <w:tr2bl w:val="nil"/>
                  </w:tcBorders>
                  <w:vAlign w:val="center"/>
                </w:tcPr>
                <w:p w14:paraId="3EB51B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HW08</w:t>
                  </w:r>
                </w:p>
              </w:tc>
              <w:tc>
                <w:tcPr>
                  <w:tcW w:w="756" w:type="pct"/>
                  <w:tcBorders>
                    <w:tl2br w:val="nil"/>
                    <w:tr2bl w:val="nil"/>
                  </w:tcBorders>
                  <w:vAlign w:val="center"/>
                </w:tcPr>
                <w:p w14:paraId="4C1B09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900-217-08</w:t>
                  </w:r>
                </w:p>
              </w:tc>
              <w:tc>
                <w:tcPr>
                  <w:tcW w:w="527" w:type="pct"/>
                  <w:tcBorders>
                    <w:tl2br w:val="nil"/>
                    <w:tr2bl w:val="nil"/>
                  </w:tcBorders>
                  <w:vAlign w:val="center"/>
                </w:tcPr>
                <w:p w14:paraId="0E268D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r>
            <w:tr w14:paraId="2AE7ED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20E29D6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4</w:t>
                  </w:r>
                </w:p>
              </w:tc>
              <w:tc>
                <w:tcPr>
                  <w:tcW w:w="406" w:type="pct"/>
                  <w:tcBorders>
                    <w:tl2br w:val="nil"/>
                    <w:tr2bl w:val="nil"/>
                  </w:tcBorders>
                  <w:vAlign w:val="center"/>
                </w:tcPr>
                <w:p w14:paraId="7135AB79">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设备清洗废液</w:t>
                  </w:r>
                </w:p>
              </w:tc>
              <w:tc>
                <w:tcPr>
                  <w:tcW w:w="601" w:type="pct"/>
                  <w:tcBorders>
                    <w:tl2br w:val="nil"/>
                    <w:tr2bl w:val="nil"/>
                  </w:tcBorders>
                  <w:vAlign w:val="center"/>
                </w:tcPr>
                <w:p w14:paraId="208150B7">
                  <w:pPr>
                    <w:keepNext w:val="0"/>
                    <w:keepLines w:val="0"/>
                    <w:widowControl/>
                    <w:suppressLineNumbers w:val="0"/>
                    <w:spacing w:before="0" w:beforeAutospacing="0" w:after="0" w:afterAutospacing="0"/>
                    <w:ind w:left="0" w:leftChars="0" w:right="0" w:rightChars="0"/>
                    <w:jc w:val="center"/>
                    <w:textAlignment w:val="center"/>
                    <w:rPr>
                      <w:rFonts w:hint="eastAsia" w:cs="Times New Roman"/>
                      <w:snapToGrid w:val="0"/>
                      <w:color w:val="auto"/>
                      <w:kern w:val="0"/>
                      <w:szCs w:val="21"/>
                      <w:highlight w:val="none"/>
                      <w:lang w:val="en-US" w:eastAsia="zh-CN"/>
                    </w:rPr>
                  </w:pPr>
                  <w:r>
                    <w:rPr>
                      <w:rFonts w:hint="eastAsia" w:cs="Times New Roman"/>
                      <w:snapToGrid w:val="0"/>
                      <w:color w:val="auto"/>
                      <w:kern w:val="0"/>
                      <w:szCs w:val="21"/>
                      <w:highlight w:val="none"/>
                      <w:lang w:val="en-US" w:eastAsia="zh-CN"/>
                    </w:rPr>
                    <w:t>设备清洗</w:t>
                  </w:r>
                </w:p>
              </w:tc>
              <w:tc>
                <w:tcPr>
                  <w:tcW w:w="351" w:type="pct"/>
                  <w:tcBorders>
                    <w:tl2br w:val="nil"/>
                    <w:tr2bl w:val="nil"/>
                  </w:tcBorders>
                  <w:vAlign w:val="center"/>
                </w:tcPr>
                <w:p w14:paraId="0EE90781">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液态</w:t>
                  </w:r>
                </w:p>
              </w:tc>
              <w:tc>
                <w:tcPr>
                  <w:tcW w:w="638" w:type="pct"/>
                  <w:tcBorders>
                    <w:tl2br w:val="nil"/>
                    <w:tr2bl w:val="nil"/>
                  </w:tcBorders>
                  <w:vAlign w:val="center"/>
                </w:tcPr>
                <w:p w14:paraId="007377EE">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清洗液</w:t>
                  </w:r>
                </w:p>
              </w:tc>
              <w:tc>
                <w:tcPr>
                  <w:tcW w:w="280" w:type="pct"/>
                  <w:vMerge w:val="continue"/>
                  <w:tcBorders>
                    <w:bottom w:val="single" w:color="auto" w:sz="4" w:space="0"/>
                    <w:tl2br w:val="nil"/>
                    <w:tr2bl w:val="nil"/>
                  </w:tcBorders>
                  <w:vAlign w:val="center"/>
                </w:tcPr>
                <w:p w14:paraId="7B7AD12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rPr>
                  </w:pPr>
                </w:p>
              </w:tc>
              <w:tc>
                <w:tcPr>
                  <w:tcW w:w="445" w:type="pct"/>
                  <w:vMerge w:val="continue"/>
                  <w:tcBorders>
                    <w:bottom w:val="single" w:color="auto" w:sz="4" w:space="0"/>
                    <w:tl2br w:val="nil"/>
                    <w:tr2bl w:val="nil"/>
                  </w:tcBorders>
                  <w:vAlign w:val="center"/>
                </w:tcPr>
                <w:p w14:paraId="177354F4">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330" w:type="pct"/>
                  <w:tcBorders>
                    <w:bottom w:val="single" w:color="auto" w:sz="4" w:space="0"/>
                    <w:tl2br w:val="nil"/>
                    <w:tr2bl w:val="nil"/>
                  </w:tcBorders>
                  <w:vAlign w:val="center"/>
                </w:tcPr>
                <w:p w14:paraId="1ED64F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w:t>
                  </w:r>
                </w:p>
              </w:tc>
              <w:tc>
                <w:tcPr>
                  <w:tcW w:w="464" w:type="pct"/>
                  <w:tcBorders>
                    <w:tl2br w:val="nil"/>
                    <w:tr2bl w:val="nil"/>
                  </w:tcBorders>
                  <w:vAlign w:val="center"/>
                </w:tcPr>
                <w:p w14:paraId="0BE397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HW13</w:t>
                  </w:r>
                </w:p>
              </w:tc>
              <w:tc>
                <w:tcPr>
                  <w:tcW w:w="756" w:type="pct"/>
                  <w:tcBorders>
                    <w:tl2br w:val="nil"/>
                    <w:tr2bl w:val="nil"/>
                  </w:tcBorders>
                  <w:vAlign w:val="center"/>
                </w:tcPr>
                <w:p w14:paraId="626F42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900-016-13</w:t>
                  </w:r>
                </w:p>
              </w:tc>
              <w:tc>
                <w:tcPr>
                  <w:tcW w:w="527" w:type="pct"/>
                  <w:tcBorders>
                    <w:tl2br w:val="nil"/>
                    <w:tr2bl w:val="nil"/>
                  </w:tcBorders>
                  <w:vAlign w:val="center"/>
                </w:tcPr>
                <w:p w14:paraId="36AFED7F">
                  <w:pPr>
                    <w:keepNext w:val="0"/>
                    <w:keepLines w:val="0"/>
                    <w:widowControl/>
                    <w:suppressLineNumbers w:val="0"/>
                    <w:spacing w:before="0" w:beforeAutospacing="0" w:after="0" w:afterAutospacing="0"/>
                    <w:ind w:left="0" w:right="0"/>
                    <w:jc w:val="center"/>
                    <w:textAlignment w:val="center"/>
                    <w:rPr>
                      <w:rFonts w:hint="default" w:cs="Times New Roman"/>
                      <w:color w:val="auto"/>
                      <w:szCs w:val="21"/>
                      <w:highlight w:val="none"/>
                      <w:lang w:val="en-US" w:eastAsia="zh-CN"/>
                    </w:rPr>
                  </w:pPr>
                  <w:r>
                    <w:rPr>
                      <w:rFonts w:hint="eastAsia" w:cs="Times New Roman"/>
                      <w:color w:val="auto"/>
                      <w:szCs w:val="21"/>
                      <w:highlight w:val="none"/>
                      <w:lang w:val="en-US" w:eastAsia="zh-CN"/>
                    </w:rPr>
                    <w:t>20</w:t>
                  </w:r>
                </w:p>
              </w:tc>
            </w:tr>
            <w:tr w14:paraId="6E803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755411E8">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5</w:t>
                  </w:r>
                </w:p>
              </w:tc>
              <w:tc>
                <w:tcPr>
                  <w:tcW w:w="406" w:type="pct"/>
                  <w:tcBorders>
                    <w:tl2br w:val="nil"/>
                    <w:tr2bl w:val="nil"/>
                  </w:tcBorders>
                  <w:vAlign w:val="center"/>
                </w:tcPr>
                <w:p w14:paraId="09A6854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废布袋</w:t>
                  </w:r>
                </w:p>
              </w:tc>
              <w:tc>
                <w:tcPr>
                  <w:tcW w:w="601" w:type="pct"/>
                  <w:tcBorders>
                    <w:tl2br w:val="nil"/>
                    <w:tr2bl w:val="nil"/>
                  </w:tcBorders>
                  <w:vAlign w:val="center"/>
                </w:tcPr>
                <w:p w14:paraId="5BA55D14">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废气处理</w:t>
                  </w:r>
                </w:p>
              </w:tc>
              <w:tc>
                <w:tcPr>
                  <w:tcW w:w="351" w:type="pct"/>
                  <w:tcBorders>
                    <w:tl2br w:val="nil"/>
                    <w:tr2bl w:val="nil"/>
                  </w:tcBorders>
                  <w:vAlign w:val="center"/>
                </w:tcPr>
                <w:p w14:paraId="0337B71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固态</w:t>
                  </w:r>
                </w:p>
              </w:tc>
              <w:tc>
                <w:tcPr>
                  <w:tcW w:w="638" w:type="pct"/>
                  <w:tcBorders>
                    <w:tl2br w:val="nil"/>
                    <w:tr2bl w:val="nil"/>
                  </w:tcBorders>
                  <w:vAlign w:val="center"/>
                </w:tcPr>
                <w:p w14:paraId="504A8D7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eastAsia="zh-CN" w:bidi="ar"/>
                    </w:rPr>
                  </w:pPr>
                  <w:r>
                    <w:rPr>
                      <w:rFonts w:hint="eastAsia" w:ascii="Times New Roman" w:hAnsi="Times New Roman" w:eastAsia="宋体" w:cs="Times New Roman"/>
                      <w:color w:val="auto"/>
                      <w:kern w:val="0"/>
                      <w:szCs w:val="21"/>
                      <w:highlight w:val="none"/>
                      <w:lang w:val="en-US" w:eastAsia="zh-CN" w:bidi="ar"/>
                    </w:rPr>
                    <w:t>纺织纤维、颗粒物</w:t>
                  </w:r>
                </w:p>
              </w:tc>
              <w:tc>
                <w:tcPr>
                  <w:tcW w:w="280" w:type="pct"/>
                  <w:vMerge w:val="restart"/>
                  <w:tcBorders>
                    <w:top w:val="single" w:color="auto" w:sz="4" w:space="0"/>
                    <w:tl2br w:val="nil"/>
                    <w:tr2bl w:val="nil"/>
                  </w:tcBorders>
                  <w:vAlign w:val="center"/>
                </w:tcPr>
                <w:p w14:paraId="3FE5CC3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一般固体废物</w:t>
                  </w:r>
                </w:p>
              </w:tc>
              <w:tc>
                <w:tcPr>
                  <w:tcW w:w="445" w:type="pct"/>
                  <w:vMerge w:val="restart"/>
                  <w:tcBorders>
                    <w:top w:val="single" w:color="auto" w:sz="4" w:space="0"/>
                    <w:tl2br w:val="nil"/>
                    <w:tr2bl w:val="nil"/>
                  </w:tcBorders>
                  <w:vAlign w:val="center"/>
                </w:tcPr>
                <w:p w14:paraId="31B94AB0">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固体废物分类与代码目录</w:t>
                  </w:r>
                  <w:r>
                    <w:rPr>
                      <w:rFonts w:hint="default" w:ascii="Times New Roman" w:hAnsi="Times New Roman" w:eastAsia="宋体" w:cs="Times New Roman"/>
                      <w:color w:val="auto"/>
                      <w:sz w:val="21"/>
                      <w:szCs w:val="21"/>
                      <w:highlight w:val="none"/>
                      <w:lang w:eastAsia="zh-CN"/>
                    </w:rPr>
                    <w:t>》</w:t>
                  </w:r>
                </w:p>
              </w:tc>
              <w:tc>
                <w:tcPr>
                  <w:tcW w:w="330" w:type="pct"/>
                  <w:tcBorders>
                    <w:top w:val="single" w:color="auto" w:sz="4" w:space="0"/>
                    <w:tl2br w:val="nil"/>
                    <w:tr2bl w:val="nil"/>
                  </w:tcBorders>
                  <w:vAlign w:val="center"/>
                </w:tcPr>
                <w:p w14:paraId="3ED367CC">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w:t>
                  </w:r>
                </w:p>
              </w:tc>
              <w:tc>
                <w:tcPr>
                  <w:tcW w:w="464" w:type="pct"/>
                  <w:tcBorders>
                    <w:tl2br w:val="nil"/>
                    <w:tr2bl w:val="nil"/>
                  </w:tcBorders>
                  <w:vAlign w:val="center"/>
                </w:tcPr>
                <w:p w14:paraId="68750E6A">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SW17</w:t>
                  </w:r>
                </w:p>
              </w:tc>
              <w:tc>
                <w:tcPr>
                  <w:tcW w:w="756" w:type="pct"/>
                  <w:tcBorders>
                    <w:tl2br w:val="nil"/>
                    <w:tr2bl w:val="nil"/>
                  </w:tcBorders>
                  <w:vAlign w:val="center"/>
                </w:tcPr>
                <w:p w14:paraId="4535E5DE">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900-011-S17</w:t>
                  </w:r>
                </w:p>
              </w:tc>
              <w:tc>
                <w:tcPr>
                  <w:tcW w:w="527" w:type="pct"/>
                  <w:tcBorders>
                    <w:tl2br w:val="nil"/>
                    <w:tr2bl w:val="nil"/>
                  </w:tcBorders>
                  <w:vAlign w:val="center"/>
                </w:tcPr>
                <w:p w14:paraId="4AC139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r>
            <w:tr w14:paraId="4CB126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97" w:type="pct"/>
                  <w:tcBorders>
                    <w:tl2br w:val="nil"/>
                    <w:tr2bl w:val="nil"/>
                  </w:tcBorders>
                  <w:vAlign w:val="center"/>
                </w:tcPr>
                <w:p w14:paraId="5162DF2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w:t>
                  </w:r>
                </w:p>
              </w:tc>
              <w:tc>
                <w:tcPr>
                  <w:tcW w:w="406" w:type="pct"/>
                  <w:tcBorders>
                    <w:tl2br w:val="nil"/>
                    <w:tr2bl w:val="nil"/>
                  </w:tcBorders>
                  <w:vAlign w:val="center"/>
                </w:tcPr>
                <w:p w14:paraId="1A2D28F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粉尘</w:t>
                  </w:r>
                </w:p>
              </w:tc>
              <w:tc>
                <w:tcPr>
                  <w:tcW w:w="601" w:type="pct"/>
                  <w:tcBorders>
                    <w:tl2br w:val="nil"/>
                    <w:tr2bl w:val="nil"/>
                  </w:tcBorders>
                  <w:vAlign w:val="center"/>
                </w:tcPr>
                <w:p w14:paraId="4F52BFD6">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废气处理</w:t>
                  </w:r>
                </w:p>
              </w:tc>
              <w:tc>
                <w:tcPr>
                  <w:tcW w:w="351" w:type="pct"/>
                  <w:tcBorders>
                    <w:tl2br w:val="nil"/>
                    <w:tr2bl w:val="nil"/>
                  </w:tcBorders>
                  <w:vAlign w:val="center"/>
                </w:tcPr>
                <w:p w14:paraId="4C63A14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固态</w:t>
                  </w:r>
                </w:p>
              </w:tc>
              <w:tc>
                <w:tcPr>
                  <w:tcW w:w="638" w:type="pct"/>
                  <w:tcBorders>
                    <w:tl2br w:val="nil"/>
                    <w:tr2bl w:val="nil"/>
                  </w:tcBorders>
                  <w:vAlign w:val="center"/>
                </w:tcPr>
                <w:p w14:paraId="69EAEA1D">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树脂</w:t>
                  </w:r>
                </w:p>
              </w:tc>
              <w:tc>
                <w:tcPr>
                  <w:tcW w:w="280" w:type="pct"/>
                  <w:vMerge w:val="continue"/>
                  <w:tcBorders>
                    <w:tl2br w:val="nil"/>
                    <w:tr2bl w:val="nil"/>
                  </w:tcBorders>
                  <w:vAlign w:val="center"/>
                </w:tcPr>
                <w:p w14:paraId="070677E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eastAsia" w:ascii="Times New Roman" w:hAnsi="Times New Roman" w:eastAsia="宋体" w:cs="Times New Roman"/>
                      <w:color w:val="auto"/>
                      <w:szCs w:val="21"/>
                      <w:highlight w:val="none"/>
                      <w:lang w:val="en-US" w:eastAsia="zh-CN"/>
                    </w:rPr>
                  </w:pPr>
                </w:p>
              </w:tc>
              <w:tc>
                <w:tcPr>
                  <w:tcW w:w="445" w:type="pct"/>
                  <w:vMerge w:val="continue"/>
                  <w:tcBorders>
                    <w:tl2br w:val="nil"/>
                    <w:tr2bl w:val="nil"/>
                  </w:tcBorders>
                  <w:vAlign w:val="center"/>
                </w:tcPr>
                <w:p w14:paraId="10909121">
                  <w:pPr>
                    <w:keepNext w:val="0"/>
                    <w:keepLines w:val="0"/>
                    <w:pageBreakBefore w:val="0"/>
                    <w:suppressLineNumbers w:val="0"/>
                    <w:kinsoku/>
                    <w:wordWrap/>
                    <w:overflowPunct/>
                    <w:topLinePunct w:val="0"/>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szCs w:val="21"/>
                      <w:highlight w:val="none"/>
                    </w:rPr>
                  </w:pPr>
                </w:p>
              </w:tc>
              <w:tc>
                <w:tcPr>
                  <w:tcW w:w="330" w:type="pct"/>
                  <w:tcBorders>
                    <w:tl2br w:val="nil"/>
                    <w:tr2bl w:val="nil"/>
                  </w:tcBorders>
                  <w:vAlign w:val="center"/>
                </w:tcPr>
                <w:p w14:paraId="7B30A23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w:t>
                  </w:r>
                </w:p>
              </w:tc>
              <w:tc>
                <w:tcPr>
                  <w:tcW w:w="464" w:type="pct"/>
                  <w:tcBorders>
                    <w:tl2br w:val="nil"/>
                    <w:tr2bl w:val="nil"/>
                  </w:tcBorders>
                  <w:vAlign w:val="center"/>
                </w:tcPr>
                <w:p w14:paraId="16F6F5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SW17</w:t>
                  </w:r>
                </w:p>
              </w:tc>
              <w:tc>
                <w:tcPr>
                  <w:tcW w:w="756" w:type="pct"/>
                  <w:tcBorders>
                    <w:tl2br w:val="nil"/>
                    <w:tr2bl w:val="nil"/>
                  </w:tcBorders>
                  <w:vAlign w:val="center"/>
                </w:tcPr>
                <w:p w14:paraId="45A633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cs="Times New Roman"/>
                      <w:i w:val="0"/>
                      <w:iCs w:val="0"/>
                      <w:color w:val="auto"/>
                      <w:kern w:val="0"/>
                      <w:sz w:val="21"/>
                      <w:szCs w:val="21"/>
                      <w:highlight w:val="none"/>
                      <w:u w:val="none"/>
                      <w:lang w:val="en-US" w:eastAsia="zh-CN" w:bidi="ar"/>
                    </w:rPr>
                    <w:t>900-001-S17</w:t>
                  </w:r>
                </w:p>
              </w:tc>
              <w:tc>
                <w:tcPr>
                  <w:tcW w:w="527" w:type="pct"/>
                  <w:tcBorders>
                    <w:tl2br w:val="nil"/>
                    <w:tr2bl w:val="nil"/>
                  </w:tcBorders>
                  <w:vAlign w:val="center"/>
                </w:tcPr>
                <w:p w14:paraId="5985EC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5.82</w:t>
                  </w:r>
                </w:p>
              </w:tc>
            </w:tr>
          </w:tbl>
          <w:p w14:paraId="0A566FBF">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21"/>
                <w:highlight w:val="none"/>
              </w:rPr>
              <w:t>注：</w:t>
            </w:r>
            <w:r>
              <w:rPr>
                <w:rFonts w:hint="default" w:ascii="Times New Roman" w:hAnsi="Times New Roman" w:eastAsia="宋体" w:cs="Times New Roman"/>
                <w:b/>
                <w:color w:val="auto"/>
                <w:sz w:val="18"/>
                <w:szCs w:val="18"/>
                <w:highlight w:val="none"/>
              </w:rPr>
              <w:t>上表危险特性中“T指毒性”、“In指感染性”、“C指腐蚀性”、“I指易燃性”。</w:t>
            </w:r>
          </w:p>
          <w:p w14:paraId="79BFC3D4">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23  </w:t>
            </w:r>
            <w:r>
              <w:rPr>
                <w:rFonts w:hint="default" w:ascii="Times New Roman" w:hAnsi="Times New Roman" w:eastAsia="宋体" w:cs="Times New Roman"/>
                <w:b/>
                <w:bCs/>
                <w:color w:val="auto"/>
                <w:kern w:val="2"/>
                <w:sz w:val="24"/>
                <w:szCs w:val="20"/>
                <w:highlight w:val="none"/>
                <w:lang w:val="en-US" w:eastAsia="zh-CN" w:bidi="ar-SA"/>
              </w:rPr>
              <w:t>本项目危险废物汇总表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3"/>
              <w:gridCol w:w="635"/>
              <w:gridCol w:w="776"/>
              <w:gridCol w:w="1344"/>
              <w:gridCol w:w="917"/>
              <w:gridCol w:w="710"/>
              <w:gridCol w:w="450"/>
              <w:gridCol w:w="776"/>
              <w:gridCol w:w="823"/>
              <w:gridCol w:w="497"/>
              <w:gridCol w:w="555"/>
              <w:gridCol w:w="881"/>
            </w:tblGrid>
            <w:tr w14:paraId="74E14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96" w:type="pct"/>
                  <w:vAlign w:val="center"/>
                </w:tcPr>
                <w:p w14:paraId="0B7A4627">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65" w:type="pct"/>
                  <w:vAlign w:val="center"/>
                </w:tcPr>
                <w:p w14:paraId="5505453E">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445" w:type="pct"/>
                  <w:vAlign w:val="center"/>
                </w:tcPr>
                <w:p w14:paraId="408BB1D2">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771" w:type="pct"/>
                  <w:vAlign w:val="center"/>
                </w:tcPr>
                <w:p w14:paraId="48F7AEF7">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526" w:type="pct"/>
                  <w:vAlign w:val="center"/>
                </w:tcPr>
                <w:p w14:paraId="64F99A7F">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407" w:type="pct"/>
                  <w:vAlign w:val="center"/>
                </w:tcPr>
                <w:p w14:paraId="3DECDF85">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产生工序及装置</w:t>
                  </w:r>
                </w:p>
              </w:tc>
              <w:tc>
                <w:tcPr>
                  <w:tcW w:w="258" w:type="pct"/>
                  <w:vAlign w:val="center"/>
                </w:tcPr>
                <w:p w14:paraId="1138D2A8">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445" w:type="pct"/>
                  <w:vAlign w:val="center"/>
                </w:tcPr>
                <w:p w14:paraId="2DB064C5">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主要成分</w:t>
                  </w:r>
                </w:p>
              </w:tc>
              <w:tc>
                <w:tcPr>
                  <w:tcW w:w="472" w:type="pct"/>
                  <w:vAlign w:val="center"/>
                </w:tcPr>
                <w:p w14:paraId="6A6FFBC3">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有害</w:t>
                  </w:r>
                </w:p>
                <w:p w14:paraId="737A5B52">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成分</w:t>
                  </w:r>
                </w:p>
              </w:tc>
              <w:tc>
                <w:tcPr>
                  <w:tcW w:w="285" w:type="pct"/>
                  <w:vAlign w:val="center"/>
                </w:tcPr>
                <w:p w14:paraId="3F641CE4">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产废周期</w:t>
                  </w:r>
                </w:p>
              </w:tc>
              <w:tc>
                <w:tcPr>
                  <w:tcW w:w="318" w:type="pct"/>
                  <w:vAlign w:val="center"/>
                </w:tcPr>
                <w:p w14:paraId="33F31A3B">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w:t>
                  </w:r>
                </w:p>
                <w:p w14:paraId="5161A5AD">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特性</w:t>
                  </w:r>
                </w:p>
              </w:tc>
              <w:tc>
                <w:tcPr>
                  <w:tcW w:w="505" w:type="pct"/>
                  <w:vAlign w:val="center"/>
                </w:tcPr>
                <w:p w14:paraId="566FD95E">
                  <w:pPr>
                    <w:keepNext w:val="0"/>
                    <w:keepLines w:val="0"/>
                    <w:pageBreakBefore w:val="0"/>
                    <w:suppressLineNumbers w:val="0"/>
                    <w:kinsoku/>
                    <w:wordWrap/>
                    <w:overflowPunct/>
                    <w:autoSpaceDE/>
                    <w:autoSpaceDN w:val="0"/>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污染防治措施</w:t>
                  </w:r>
                </w:p>
              </w:tc>
            </w:tr>
            <w:tr w14:paraId="1DDE6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 w:type="pct"/>
                  <w:vAlign w:val="center"/>
                </w:tcPr>
                <w:p w14:paraId="4B9C2550">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bidi="ar"/>
                    </w:rPr>
                    <w:t>1</w:t>
                  </w:r>
                </w:p>
              </w:tc>
              <w:tc>
                <w:tcPr>
                  <w:tcW w:w="365" w:type="pct"/>
                  <w:vAlign w:val="center"/>
                </w:tcPr>
                <w:p w14:paraId="69DE331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Cs w:val="21"/>
                      <w:highlight w:val="none"/>
                      <w:lang w:val="en-US" w:eastAsia="zh-CN"/>
                    </w:rPr>
                    <w:t>（硅油-脱模剂）废包装桶</w:t>
                  </w:r>
                </w:p>
              </w:tc>
              <w:tc>
                <w:tcPr>
                  <w:tcW w:w="445" w:type="pct"/>
                  <w:vAlign w:val="center"/>
                </w:tcPr>
                <w:p w14:paraId="42976525">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color w:val="auto"/>
                      <w:kern w:val="0"/>
                      <w:sz w:val="21"/>
                      <w:szCs w:val="21"/>
                      <w:highlight w:val="none"/>
                      <w:lang w:bidi="ar"/>
                    </w:rPr>
                    <w:t>HW</w:t>
                  </w:r>
                  <w:r>
                    <w:rPr>
                      <w:rFonts w:hint="eastAsia" w:ascii="Times New Roman" w:hAnsi="Times New Roman" w:eastAsia="宋体" w:cs="Times New Roman"/>
                      <w:color w:val="auto"/>
                      <w:kern w:val="0"/>
                      <w:sz w:val="21"/>
                      <w:szCs w:val="21"/>
                      <w:highlight w:val="none"/>
                      <w:lang w:val="en-US" w:eastAsia="zh-CN" w:bidi="ar"/>
                    </w:rPr>
                    <w:t>49</w:t>
                  </w:r>
                </w:p>
              </w:tc>
              <w:tc>
                <w:tcPr>
                  <w:tcW w:w="771" w:type="pct"/>
                  <w:vAlign w:val="center"/>
                </w:tcPr>
                <w:p w14:paraId="48A7FC51">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900-041-49</w:t>
                  </w:r>
                </w:p>
              </w:tc>
              <w:tc>
                <w:tcPr>
                  <w:tcW w:w="526" w:type="pct"/>
                  <w:vAlign w:val="center"/>
                </w:tcPr>
                <w:p w14:paraId="0E8301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0.3225</w:t>
                  </w:r>
                </w:p>
              </w:tc>
              <w:tc>
                <w:tcPr>
                  <w:tcW w:w="407" w:type="pct"/>
                  <w:vAlign w:val="center"/>
                </w:tcPr>
                <w:p w14:paraId="7511247C">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喷涂硅油-脱模剂</w:t>
                  </w:r>
                </w:p>
              </w:tc>
              <w:tc>
                <w:tcPr>
                  <w:tcW w:w="258" w:type="pct"/>
                  <w:vAlign w:val="center"/>
                </w:tcPr>
                <w:p w14:paraId="6F9AA858">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445" w:type="pct"/>
                  <w:vAlign w:val="center"/>
                </w:tcPr>
                <w:p w14:paraId="1339CDDF">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硅油、包装容器</w:t>
                  </w:r>
                </w:p>
              </w:tc>
              <w:tc>
                <w:tcPr>
                  <w:tcW w:w="472" w:type="pct"/>
                  <w:vAlign w:val="center"/>
                </w:tcPr>
                <w:p w14:paraId="399AE22A">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硅油</w:t>
                  </w:r>
                </w:p>
              </w:tc>
              <w:tc>
                <w:tcPr>
                  <w:tcW w:w="285" w:type="pct"/>
                  <w:vAlign w:val="center"/>
                </w:tcPr>
                <w:p w14:paraId="1432AA28">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auto"/>
                      <w:sz w:val="21"/>
                      <w:szCs w:val="24"/>
                      <w:highlight w:val="none"/>
                      <w:lang w:val="en-US" w:eastAsia="zh-CN"/>
                    </w:rPr>
                  </w:pPr>
                  <w:r>
                    <w:rPr>
                      <w:rFonts w:hint="eastAsia" w:cs="Times New Roman"/>
                      <w:bCs/>
                      <w:color w:val="auto"/>
                      <w:sz w:val="21"/>
                      <w:szCs w:val="24"/>
                      <w:highlight w:val="none"/>
                      <w:lang w:val="en-US" w:eastAsia="zh-CN"/>
                    </w:rPr>
                    <w:t>月/次</w:t>
                  </w:r>
                </w:p>
              </w:tc>
              <w:tc>
                <w:tcPr>
                  <w:tcW w:w="318" w:type="pct"/>
                  <w:vAlign w:val="center"/>
                </w:tcPr>
                <w:p w14:paraId="6E645A03">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w:t>
                  </w:r>
                  <w:r>
                    <w:rPr>
                      <w:rFonts w:hint="eastAsia" w:ascii="Times New Roman" w:hAnsi="Times New Roman" w:eastAsia="宋体" w:cs="Times New Roman"/>
                      <w:color w:val="auto"/>
                      <w:kern w:val="0"/>
                      <w:sz w:val="21"/>
                      <w:szCs w:val="21"/>
                      <w:highlight w:val="none"/>
                      <w:lang w:val="en-US" w:eastAsia="zh-CN" w:bidi="ar"/>
                    </w:rPr>
                    <w:t>/In</w:t>
                  </w:r>
                </w:p>
              </w:tc>
              <w:tc>
                <w:tcPr>
                  <w:tcW w:w="505" w:type="pct"/>
                  <w:vMerge w:val="restart"/>
                  <w:vAlign w:val="center"/>
                </w:tcPr>
                <w:p w14:paraId="7517ABC3">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val="en-US" w:eastAsia="zh-CN"/>
                    </w:rPr>
                  </w:pPr>
                  <w:r>
                    <w:rPr>
                      <w:rFonts w:hint="eastAsia"/>
                      <w:bCs/>
                      <w:color w:val="auto"/>
                      <w:szCs w:val="20"/>
                      <w:highlight w:val="none"/>
                    </w:rPr>
                    <w:t>委托江阴市锦绣江南环境发展有限公司进行处置</w:t>
                  </w:r>
                </w:p>
              </w:tc>
            </w:tr>
            <w:tr w14:paraId="0B08D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6" w:type="pct"/>
                  <w:vAlign w:val="center"/>
                </w:tcPr>
                <w:p w14:paraId="542D69BA">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rPr>
                    <w:t>2</w:t>
                  </w:r>
                </w:p>
              </w:tc>
              <w:tc>
                <w:tcPr>
                  <w:tcW w:w="365" w:type="pct"/>
                  <w:vAlign w:val="center"/>
                </w:tcPr>
                <w:p w14:paraId="47ACED9E">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废活性炭</w:t>
                  </w:r>
                </w:p>
              </w:tc>
              <w:tc>
                <w:tcPr>
                  <w:tcW w:w="445" w:type="pct"/>
                  <w:vAlign w:val="center"/>
                </w:tcPr>
                <w:p w14:paraId="27BCDA67">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HW49</w:t>
                  </w:r>
                </w:p>
              </w:tc>
              <w:tc>
                <w:tcPr>
                  <w:tcW w:w="771" w:type="pct"/>
                  <w:vAlign w:val="center"/>
                </w:tcPr>
                <w:p w14:paraId="66305F5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900-0</w:t>
                  </w:r>
                  <w:r>
                    <w:rPr>
                      <w:rFonts w:hint="default" w:ascii="Times New Roman" w:hAnsi="Times New Roman" w:eastAsia="宋体"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rPr>
                    <w:t>-49</w:t>
                  </w:r>
                </w:p>
              </w:tc>
              <w:tc>
                <w:tcPr>
                  <w:tcW w:w="526" w:type="pct"/>
                  <w:vAlign w:val="center"/>
                </w:tcPr>
                <w:p w14:paraId="3D58E0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43.549</w:t>
                  </w:r>
                </w:p>
              </w:tc>
              <w:tc>
                <w:tcPr>
                  <w:tcW w:w="407" w:type="pct"/>
                  <w:vAlign w:val="center"/>
                </w:tcPr>
                <w:p w14:paraId="41EC9B12">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废气处理</w:t>
                  </w:r>
                </w:p>
              </w:tc>
              <w:tc>
                <w:tcPr>
                  <w:tcW w:w="258" w:type="pct"/>
                  <w:vAlign w:val="center"/>
                </w:tcPr>
                <w:p w14:paraId="140F1879">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固态</w:t>
                  </w:r>
                </w:p>
              </w:tc>
              <w:tc>
                <w:tcPr>
                  <w:tcW w:w="445" w:type="pct"/>
                  <w:vAlign w:val="center"/>
                </w:tcPr>
                <w:p w14:paraId="6C98E3A3">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bidi="ar"/>
                    </w:rPr>
                    <w:t>活性炭、有机废气</w:t>
                  </w:r>
                </w:p>
              </w:tc>
              <w:tc>
                <w:tcPr>
                  <w:tcW w:w="472" w:type="pct"/>
                  <w:vAlign w:val="center"/>
                </w:tcPr>
                <w:p w14:paraId="36E7EBEE">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有机废气</w:t>
                  </w:r>
                </w:p>
              </w:tc>
              <w:tc>
                <w:tcPr>
                  <w:tcW w:w="285" w:type="pct"/>
                  <w:vAlign w:val="center"/>
                </w:tcPr>
                <w:p w14:paraId="415FED46">
                  <w:pPr>
                    <w:keepNext w:val="0"/>
                    <w:keepLines w:val="0"/>
                    <w:pageBreakBefore w:val="0"/>
                    <w:suppressLineNumbers w:val="0"/>
                    <w:kinsoku/>
                    <w:wordWrap/>
                    <w:overflow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bCs/>
                      <w:color w:val="auto"/>
                      <w:kern w:val="2"/>
                      <w:sz w:val="21"/>
                      <w:szCs w:val="24"/>
                      <w:highlight w:val="none"/>
                      <w:lang w:val="en-US" w:eastAsia="zh-CN" w:bidi="ar-SA"/>
                    </w:rPr>
                  </w:pPr>
                  <w:r>
                    <w:rPr>
                      <w:rFonts w:hint="eastAsia" w:cs="Times New Roman"/>
                      <w:bCs/>
                      <w:color w:val="auto"/>
                      <w:kern w:val="2"/>
                      <w:sz w:val="21"/>
                      <w:szCs w:val="24"/>
                      <w:highlight w:val="none"/>
                      <w:lang w:val="en-US" w:eastAsia="zh-CN" w:bidi="ar-SA"/>
                    </w:rPr>
                    <w:t>一季度/次</w:t>
                  </w:r>
                </w:p>
              </w:tc>
              <w:tc>
                <w:tcPr>
                  <w:tcW w:w="318" w:type="pct"/>
                  <w:vAlign w:val="center"/>
                </w:tcPr>
                <w:p w14:paraId="7B32C9A3">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Cs/>
                      <w:color w:val="auto"/>
                      <w:sz w:val="21"/>
                      <w:szCs w:val="21"/>
                      <w:highlight w:val="none"/>
                    </w:rPr>
                    <w:t>T</w:t>
                  </w:r>
                </w:p>
              </w:tc>
              <w:tc>
                <w:tcPr>
                  <w:tcW w:w="505" w:type="pct"/>
                  <w:vMerge w:val="continue"/>
                  <w:vAlign w:val="center"/>
                </w:tcPr>
                <w:p w14:paraId="3021D9AB">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rPr>
                  </w:pPr>
                </w:p>
              </w:tc>
            </w:tr>
            <w:tr w14:paraId="5E71D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6" w:type="pct"/>
                  <w:vAlign w:val="center"/>
                </w:tcPr>
                <w:p w14:paraId="72424EC4">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365" w:type="pct"/>
                  <w:vAlign w:val="center"/>
                </w:tcPr>
                <w:p w14:paraId="708875A2">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Cs w:val="21"/>
                      <w:highlight w:val="none"/>
                      <w:lang w:val="en-US" w:eastAsia="zh-CN" w:bidi="ar"/>
                    </w:rPr>
                    <w:t>废润滑油</w:t>
                  </w:r>
                </w:p>
              </w:tc>
              <w:tc>
                <w:tcPr>
                  <w:tcW w:w="445" w:type="pct"/>
                  <w:vAlign w:val="center"/>
                </w:tcPr>
                <w:p w14:paraId="656A08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HW08</w:t>
                  </w:r>
                </w:p>
              </w:tc>
              <w:tc>
                <w:tcPr>
                  <w:tcW w:w="771" w:type="pct"/>
                  <w:vAlign w:val="center"/>
                </w:tcPr>
                <w:p w14:paraId="36B3F931">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900-217-08</w:t>
                  </w:r>
                </w:p>
              </w:tc>
              <w:tc>
                <w:tcPr>
                  <w:tcW w:w="526" w:type="pct"/>
                  <w:vAlign w:val="center"/>
                </w:tcPr>
                <w:p w14:paraId="00F846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407" w:type="pct"/>
                  <w:vAlign w:val="center"/>
                </w:tcPr>
                <w:p w14:paraId="640A6D5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snapToGrid w:val="0"/>
                      <w:color w:val="auto"/>
                      <w:kern w:val="0"/>
                      <w:szCs w:val="21"/>
                      <w:highlight w:val="none"/>
                      <w:lang w:val="en-US" w:eastAsia="zh-CN"/>
                    </w:rPr>
                    <w:t>设备维护</w:t>
                  </w:r>
                </w:p>
              </w:tc>
              <w:tc>
                <w:tcPr>
                  <w:tcW w:w="258" w:type="pct"/>
                  <w:vAlign w:val="center"/>
                </w:tcPr>
                <w:p w14:paraId="66862F57">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液态</w:t>
                  </w:r>
                </w:p>
              </w:tc>
              <w:tc>
                <w:tcPr>
                  <w:tcW w:w="445" w:type="pct"/>
                  <w:vAlign w:val="center"/>
                </w:tcPr>
                <w:p w14:paraId="61357D5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eastAsia="zh-CN" w:bidi="ar"/>
                    </w:rPr>
                  </w:pPr>
                  <w:r>
                    <w:rPr>
                      <w:rFonts w:hint="eastAsia" w:cs="Times New Roman"/>
                      <w:color w:val="auto"/>
                      <w:kern w:val="0"/>
                      <w:szCs w:val="21"/>
                      <w:highlight w:val="none"/>
                      <w:lang w:val="en-US" w:eastAsia="zh-CN" w:bidi="ar"/>
                    </w:rPr>
                    <w:t>润滑油</w:t>
                  </w:r>
                </w:p>
              </w:tc>
              <w:tc>
                <w:tcPr>
                  <w:tcW w:w="472" w:type="pct"/>
                  <w:vAlign w:val="center"/>
                </w:tcPr>
                <w:p w14:paraId="5BF308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color w:val="auto"/>
                      <w:kern w:val="0"/>
                      <w:szCs w:val="21"/>
                      <w:highlight w:val="none"/>
                      <w:lang w:val="en-US" w:eastAsia="zh-CN" w:bidi="ar"/>
                    </w:rPr>
                    <w:t>润滑油</w:t>
                  </w:r>
                </w:p>
              </w:tc>
              <w:tc>
                <w:tcPr>
                  <w:tcW w:w="285" w:type="pct"/>
                  <w:vAlign w:val="center"/>
                </w:tcPr>
                <w:p w14:paraId="5154C2BB">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bCs/>
                      <w:color w:val="auto"/>
                      <w:sz w:val="21"/>
                      <w:szCs w:val="24"/>
                      <w:highlight w:val="none"/>
                      <w:lang w:val="en-US" w:eastAsia="zh-CN"/>
                    </w:rPr>
                  </w:pPr>
                  <w:r>
                    <w:rPr>
                      <w:rFonts w:hint="eastAsia" w:cs="Times New Roman"/>
                      <w:bCs/>
                      <w:color w:val="auto"/>
                      <w:sz w:val="21"/>
                      <w:szCs w:val="24"/>
                      <w:highlight w:val="none"/>
                      <w:lang w:val="en-US" w:eastAsia="zh-CN"/>
                    </w:rPr>
                    <w:t>年/次</w:t>
                  </w:r>
                </w:p>
              </w:tc>
              <w:tc>
                <w:tcPr>
                  <w:tcW w:w="318" w:type="pct"/>
                  <w:vAlign w:val="center"/>
                </w:tcPr>
                <w:p w14:paraId="02B3CC7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T，I</w:t>
                  </w:r>
                </w:p>
              </w:tc>
              <w:tc>
                <w:tcPr>
                  <w:tcW w:w="505" w:type="pct"/>
                  <w:vMerge w:val="continue"/>
                  <w:vAlign w:val="center"/>
                </w:tcPr>
                <w:p w14:paraId="7A4475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p>
              </w:tc>
            </w:tr>
            <w:tr w14:paraId="15F63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96" w:type="pct"/>
                  <w:vAlign w:val="center"/>
                </w:tcPr>
                <w:p w14:paraId="2864A9D7">
                  <w:pPr>
                    <w:keepNext w:val="0"/>
                    <w:keepLines w:val="0"/>
                    <w:pageBreakBefore w:val="0"/>
                    <w:suppressLineNumbers w:val="0"/>
                    <w:kinsoku/>
                    <w:wordWrap/>
                    <w:overflowPunct/>
                    <w:topLinePunct/>
                    <w:autoSpaceDE/>
                    <w:bidi w:val="0"/>
                    <w:adjustRightInd w:val="0"/>
                    <w:snapToGrid w:val="0"/>
                    <w:spacing w:before="0" w:beforeAutospacing="0" w:after="0" w:afterAutospacing="0"/>
                    <w:ind w:left="-42" w:leftChars="-20" w:right="-42" w:rightChars="-2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365" w:type="pct"/>
                  <w:vAlign w:val="center"/>
                </w:tcPr>
                <w:p w14:paraId="6FC7CF20">
                  <w:pPr>
                    <w:keepNext w:val="0"/>
                    <w:keepLines w:val="0"/>
                    <w:pageBreakBefore w:val="0"/>
                    <w:widowControl/>
                    <w:suppressLineNumbers w:val="0"/>
                    <w:kinsoku/>
                    <w:wordWrap/>
                    <w:overflowPunct/>
                    <w:topLinePunct w:val="0"/>
                    <w:autoSpaceDE/>
                    <w:bidi w:val="0"/>
                    <w:spacing w:before="0" w:beforeAutospacing="0" w:after="0" w:afterAutospacing="0"/>
                    <w:ind w:left="-42" w:leftChars="-20" w:right="-42" w:rightChars="-2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Cs w:val="21"/>
                      <w:highlight w:val="none"/>
                      <w:lang w:val="en-US" w:eastAsia="zh-CN" w:bidi="ar"/>
                    </w:rPr>
                    <w:t>设备清洗废液</w:t>
                  </w:r>
                </w:p>
              </w:tc>
              <w:tc>
                <w:tcPr>
                  <w:tcW w:w="445" w:type="pct"/>
                  <w:vAlign w:val="center"/>
                </w:tcPr>
                <w:p w14:paraId="6668B123">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0"/>
                      <w:szCs w:val="21"/>
                      <w:highlight w:val="none"/>
                      <w:lang w:val="en-US" w:eastAsia="zh-CN" w:bidi="ar"/>
                    </w:rPr>
                  </w:pPr>
                  <w:r>
                    <w:rPr>
                      <w:rFonts w:hint="eastAsia" w:cs="Times New Roman"/>
                      <w:color w:val="auto"/>
                      <w:szCs w:val="21"/>
                      <w:highlight w:val="none"/>
                      <w:lang w:val="en-US" w:eastAsia="zh-CN"/>
                    </w:rPr>
                    <w:t>HW13</w:t>
                  </w:r>
                </w:p>
              </w:tc>
              <w:tc>
                <w:tcPr>
                  <w:tcW w:w="771" w:type="pct"/>
                  <w:vAlign w:val="center"/>
                </w:tcPr>
                <w:p w14:paraId="7DC9817B">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kern w:val="0"/>
                      <w:szCs w:val="21"/>
                      <w:highlight w:val="none"/>
                      <w:lang w:val="en-US" w:eastAsia="zh-CN" w:bidi="ar"/>
                    </w:rPr>
                  </w:pPr>
                  <w:r>
                    <w:rPr>
                      <w:rFonts w:hint="eastAsia" w:cs="Times New Roman"/>
                      <w:color w:val="auto"/>
                      <w:szCs w:val="21"/>
                      <w:highlight w:val="none"/>
                      <w:lang w:val="en-US" w:eastAsia="zh-CN"/>
                    </w:rPr>
                    <w:t>900-016-13</w:t>
                  </w:r>
                </w:p>
              </w:tc>
              <w:tc>
                <w:tcPr>
                  <w:tcW w:w="526" w:type="pct"/>
                  <w:vAlign w:val="center"/>
                </w:tcPr>
                <w:p w14:paraId="58991353">
                  <w:pPr>
                    <w:keepNext w:val="0"/>
                    <w:keepLines w:val="0"/>
                    <w:widowControl/>
                    <w:suppressLineNumbers w:val="0"/>
                    <w:spacing w:before="0" w:beforeAutospacing="0" w:after="0" w:afterAutospacing="0"/>
                    <w:ind w:left="0" w:leftChars="0" w:right="0" w:right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407" w:type="pct"/>
                  <w:vAlign w:val="center"/>
                </w:tcPr>
                <w:p w14:paraId="0C11B8F2">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sz w:val="21"/>
                      <w:szCs w:val="21"/>
                      <w:highlight w:val="none"/>
                      <w:lang w:val="en-US" w:eastAsia="zh-CN"/>
                    </w:rPr>
                  </w:pPr>
                  <w:r>
                    <w:rPr>
                      <w:rFonts w:hint="eastAsia" w:cs="Times New Roman"/>
                      <w:snapToGrid w:val="0"/>
                      <w:color w:val="auto"/>
                      <w:kern w:val="0"/>
                      <w:szCs w:val="21"/>
                      <w:highlight w:val="none"/>
                      <w:lang w:val="en-US" w:eastAsia="zh-CN"/>
                    </w:rPr>
                    <w:t>设备清洗</w:t>
                  </w:r>
                </w:p>
              </w:tc>
              <w:tc>
                <w:tcPr>
                  <w:tcW w:w="258" w:type="pct"/>
                  <w:vAlign w:val="center"/>
                </w:tcPr>
                <w:p w14:paraId="4042D1CF">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液态</w:t>
                  </w:r>
                </w:p>
              </w:tc>
              <w:tc>
                <w:tcPr>
                  <w:tcW w:w="445" w:type="pct"/>
                  <w:vAlign w:val="center"/>
                </w:tcPr>
                <w:p w14:paraId="742BE869">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清洗液</w:t>
                  </w:r>
                </w:p>
              </w:tc>
              <w:tc>
                <w:tcPr>
                  <w:tcW w:w="472" w:type="pct"/>
                  <w:vAlign w:val="center"/>
                </w:tcPr>
                <w:p w14:paraId="61ADC098">
                  <w:pPr>
                    <w:keepNext w:val="0"/>
                    <w:keepLines w:val="0"/>
                    <w:widowControl/>
                    <w:suppressLineNumbers w:val="0"/>
                    <w:spacing w:before="0" w:beforeAutospacing="0" w:after="0" w:afterAutospacing="0"/>
                    <w:ind w:left="0" w:leftChars="0" w:right="0" w:rightChars="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医用高分子材料、光敏树脂</w:t>
                  </w:r>
                </w:p>
              </w:tc>
              <w:tc>
                <w:tcPr>
                  <w:tcW w:w="285" w:type="pct"/>
                  <w:vAlign w:val="center"/>
                </w:tcPr>
                <w:p w14:paraId="3137A0F3">
                  <w:pPr>
                    <w:keepNext w:val="0"/>
                    <w:keepLines w:val="0"/>
                    <w:pageBreakBefore w:val="0"/>
                    <w:widowControl/>
                    <w:suppressLineNumbers w:val="0"/>
                    <w:kinsoku/>
                    <w:wordWrap/>
                    <w:overflowPunct/>
                    <w:autoSpaceDE/>
                    <w:bidi w:val="0"/>
                    <w:spacing w:before="0" w:beforeAutospacing="0" w:after="0" w:afterAutospacing="0"/>
                    <w:ind w:left="-42" w:leftChars="-20" w:right="-42" w:rightChars="-20"/>
                    <w:jc w:val="center"/>
                    <w:textAlignment w:val="center"/>
                    <w:rPr>
                      <w:rFonts w:hint="default" w:cs="Times New Roman"/>
                      <w:bCs/>
                      <w:color w:val="auto"/>
                      <w:sz w:val="21"/>
                      <w:szCs w:val="24"/>
                      <w:highlight w:val="none"/>
                      <w:lang w:val="en-US" w:eastAsia="zh-CN"/>
                    </w:rPr>
                  </w:pPr>
                  <w:r>
                    <w:rPr>
                      <w:rFonts w:hint="eastAsia" w:cs="Times New Roman"/>
                      <w:bCs/>
                      <w:color w:val="auto"/>
                      <w:sz w:val="21"/>
                      <w:szCs w:val="24"/>
                      <w:highlight w:val="none"/>
                      <w:lang w:val="en-US" w:eastAsia="zh-CN"/>
                    </w:rPr>
                    <w:t>月/次</w:t>
                  </w:r>
                </w:p>
              </w:tc>
              <w:tc>
                <w:tcPr>
                  <w:tcW w:w="318" w:type="pct"/>
                  <w:vAlign w:val="center"/>
                </w:tcPr>
                <w:p w14:paraId="234CCEAB">
                  <w:pPr>
                    <w:keepNext w:val="0"/>
                    <w:keepLines w:val="0"/>
                    <w:widowControl/>
                    <w:suppressLineNumbers w:val="0"/>
                    <w:spacing w:before="0" w:beforeAutospacing="0" w:after="0" w:afterAutospacing="0"/>
                    <w:ind w:left="0" w:leftChars="0" w:right="0" w:rightChars="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T</w:t>
                  </w:r>
                </w:p>
              </w:tc>
              <w:tc>
                <w:tcPr>
                  <w:tcW w:w="505" w:type="pct"/>
                  <w:vMerge w:val="continue"/>
                  <w:vAlign w:val="center"/>
                </w:tcPr>
                <w:p w14:paraId="24BE56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p>
              </w:tc>
            </w:tr>
          </w:tbl>
          <w:p w14:paraId="534AE618">
            <w:pPr>
              <w:keepNext w:val="0"/>
              <w:keepLines w:val="0"/>
              <w:numPr>
                <w:ilvl w:val="0"/>
                <w:numId w:val="0"/>
              </w:numPr>
              <w:suppressLineNumbers w:val="0"/>
              <w:adjustRightInd w:val="0"/>
              <w:snapToGrid w:val="0"/>
              <w:spacing w:before="159" w:beforeLines="50" w:beforeAutospacing="0" w:after="0" w:afterAutospacing="0" w:line="360" w:lineRule="auto"/>
              <w:ind w:left="420" w:leftChars="20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固体废物贮存、处置利用情况</w:t>
            </w:r>
          </w:p>
          <w:p w14:paraId="2E42D24D">
            <w:pPr>
              <w:pStyle w:val="12"/>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highlight w:val="none"/>
                <w:vertAlign w:val="baseline"/>
              </w:rPr>
            </w:pPr>
            <w:r>
              <w:rPr>
                <w:rFonts w:hint="default" w:ascii="Times New Roman" w:hAnsi="Times New Roman" w:eastAsia="宋体" w:cs="Times New Roman"/>
                <w:color w:val="auto"/>
                <w:sz w:val="24"/>
                <w:highlight w:val="none"/>
              </w:rPr>
              <w:t>本项目建成后，全厂固体废物贮存、利用处置方式见下表。</w:t>
            </w:r>
          </w:p>
        </w:tc>
      </w:tr>
    </w:tbl>
    <w:p w14:paraId="09897855">
      <w:pPr>
        <w:pStyle w:val="12"/>
        <w:numPr>
          <w:ilvl w:val="0"/>
          <w:numId w:val="0"/>
        </w:numPr>
        <w:tabs>
          <w:tab w:val="clear" w:pos="2040"/>
        </w:tabs>
        <w:rPr>
          <w:rFonts w:ascii="Times New Roman" w:hAnsi="Times New Roman" w:eastAsia="宋体"/>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14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
        <w:gridCol w:w="14245"/>
      </w:tblGrid>
      <w:tr w14:paraId="4B49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2" w:hRule="atLeast"/>
        </w:trPr>
        <w:tc>
          <w:tcPr>
            <w:tcW w:w="255" w:type="dxa"/>
          </w:tcPr>
          <w:p w14:paraId="69AE9891">
            <w:pPr>
              <w:pStyle w:val="12"/>
              <w:keepNext w:val="0"/>
              <w:keepLines w:val="0"/>
              <w:numPr>
                <w:ilvl w:val="0"/>
                <w:numId w:val="0"/>
              </w:numPr>
              <w:suppressLineNumbers w:val="0"/>
              <w:tabs>
                <w:tab w:val="clear" w:pos="2040"/>
              </w:tabs>
              <w:spacing w:before="0" w:beforeAutospacing="0" w:after="0" w:afterAutospacing="0"/>
              <w:ind w:left="0" w:right="0"/>
              <w:rPr>
                <w:rFonts w:hint="default" w:ascii="Times New Roman" w:hAnsi="Times New Roman" w:eastAsia="宋体"/>
                <w:color w:val="auto"/>
                <w:highlight w:val="none"/>
                <w:vertAlign w:val="baseline"/>
              </w:rPr>
            </w:pPr>
          </w:p>
        </w:tc>
        <w:tc>
          <w:tcPr>
            <w:tcW w:w="14245" w:type="dxa"/>
          </w:tcPr>
          <w:p w14:paraId="4228FFB6">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1"/>
                <w:szCs w:val="20"/>
                <w:highlight w:val="none"/>
                <w:lang w:val="en-US" w:eastAsia="zh-CN" w:bidi="ar-SA"/>
              </w:rPr>
            </w:pPr>
            <w:r>
              <w:rPr>
                <w:rFonts w:hint="default" w:ascii="Times New Roman" w:hAnsi="Times New Roman" w:eastAsia="宋体" w:cs="Times New Roman"/>
                <w:b/>
                <w:bCs/>
                <w:color w:val="auto"/>
                <w:kern w:val="2"/>
                <w:sz w:val="21"/>
                <w:szCs w:val="24"/>
                <w:highlight w:val="none"/>
                <w:lang w:val="en-US" w:eastAsia="zh-CN" w:bidi="ar-SA"/>
              </w:rPr>
              <w:t>表4-</w:t>
            </w:r>
            <w:r>
              <w:rPr>
                <w:rFonts w:hint="eastAsia" w:ascii="Times New Roman" w:hAnsi="Times New Roman" w:eastAsia="宋体" w:cs="Times New Roman"/>
                <w:b/>
                <w:bCs/>
                <w:color w:val="auto"/>
                <w:kern w:val="2"/>
                <w:sz w:val="21"/>
                <w:szCs w:val="24"/>
                <w:highlight w:val="none"/>
                <w:lang w:val="en-US" w:eastAsia="zh-CN" w:bidi="ar-SA"/>
              </w:rPr>
              <w:t xml:space="preserve">24  </w:t>
            </w:r>
            <w:r>
              <w:rPr>
                <w:rFonts w:hint="default" w:ascii="Times New Roman" w:hAnsi="Times New Roman" w:eastAsia="宋体" w:cs="Times New Roman"/>
                <w:b/>
                <w:bCs/>
                <w:color w:val="auto"/>
                <w:kern w:val="2"/>
                <w:sz w:val="21"/>
                <w:szCs w:val="20"/>
                <w:highlight w:val="none"/>
                <w:lang w:val="en-US" w:eastAsia="zh-CN" w:bidi="ar-SA"/>
              </w:rPr>
              <w:t>全厂固体废物贮存、利用处置方式一览表</w:t>
            </w:r>
          </w:p>
          <w:tbl>
            <w:tblPr>
              <w:tblStyle w:val="37"/>
              <w:tblW w:w="1387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9"/>
              <w:gridCol w:w="468"/>
              <w:gridCol w:w="1080"/>
              <w:gridCol w:w="915"/>
              <w:gridCol w:w="1230"/>
              <w:gridCol w:w="1005"/>
              <w:gridCol w:w="990"/>
              <w:gridCol w:w="1155"/>
              <w:gridCol w:w="1200"/>
              <w:gridCol w:w="1200"/>
              <w:gridCol w:w="1020"/>
              <w:gridCol w:w="1080"/>
              <w:gridCol w:w="2280"/>
            </w:tblGrid>
            <w:tr w14:paraId="5E971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249" w:type="dxa"/>
                  <w:tcBorders>
                    <w:top w:val="single" w:color="000000" w:sz="12" w:space="0"/>
                    <w:left w:val="nil"/>
                  </w:tcBorders>
                  <w:vAlign w:val="center"/>
                </w:tcPr>
                <w:p w14:paraId="57FE50B1">
                  <w:pPr>
                    <w:widowControl/>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468" w:type="dxa"/>
                  <w:tcBorders>
                    <w:top w:val="single" w:color="000000" w:sz="12" w:space="0"/>
                  </w:tcBorders>
                  <w:vAlign w:val="center"/>
                </w:tcPr>
                <w:p w14:paraId="1D3D46D3">
                  <w:pPr>
                    <w:widowControl/>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贮存场所名称</w:t>
                  </w:r>
                </w:p>
              </w:tc>
              <w:tc>
                <w:tcPr>
                  <w:tcW w:w="1080" w:type="dxa"/>
                  <w:tcBorders>
                    <w:top w:val="single" w:color="000000" w:sz="12" w:space="0"/>
                  </w:tcBorders>
                  <w:vAlign w:val="center"/>
                </w:tcPr>
                <w:p w14:paraId="63D6A33D">
                  <w:pPr>
                    <w:widowControl/>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危险废物</w:t>
                  </w:r>
                </w:p>
                <w:p w14:paraId="268E700C">
                  <w:pPr>
                    <w:widowControl/>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915" w:type="dxa"/>
                  <w:tcBorders>
                    <w:top w:val="single" w:color="000000" w:sz="12" w:space="0"/>
                  </w:tcBorders>
                  <w:vAlign w:val="center"/>
                </w:tcPr>
                <w:p w14:paraId="504E501B">
                  <w:pPr>
                    <w:widowControl/>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废物</w:t>
                  </w:r>
                </w:p>
                <w:p w14:paraId="1949A266">
                  <w:pPr>
                    <w:widowControl/>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230" w:type="dxa"/>
                  <w:tcBorders>
                    <w:top w:val="single" w:color="000000" w:sz="12" w:space="0"/>
                  </w:tcBorders>
                  <w:vAlign w:val="center"/>
                </w:tcPr>
                <w:p w14:paraId="0776EA0D">
                  <w:pPr>
                    <w:widowControl/>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废物代码</w:t>
                  </w:r>
                </w:p>
              </w:tc>
              <w:tc>
                <w:tcPr>
                  <w:tcW w:w="1005" w:type="dxa"/>
                  <w:tcBorders>
                    <w:top w:val="single" w:color="000000" w:sz="12" w:space="0"/>
                  </w:tcBorders>
                  <w:vAlign w:val="center"/>
                </w:tcPr>
                <w:p w14:paraId="3B510703">
                  <w:pPr>
                    <w:widowControl/>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位置</w:t>
                  </w:r>
                </w:p>
              </w:tc>
              <w:tc>
                <w:tcPr>
                  <w:tcW w:w="990" w:type="dxa"/>
                  <w:tcBorders>
                    <w:top w:val="single" w:color="000000" w:sz="12" w:space="0"/>
                  </w:tcBorders>
                  <w:vAlign w:val="center"/>
                </w:tcPr>
                <w:p w14:paraId="1B9D4C0B">
                  <w:pPr>
                    <w:widowControl/>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占地面积</w:t>
                  </w:r>
                </w:p>
              </w:tc>
              <w:tc>
                <w:tcPr>
                  <w:tcW w:w="1155" w:type="dxa"/>
                  <w:tcBorders>
                    <w:top w:val="single" w:color="000000" w:sz="12" w:space="0"/>
                    <w:right w:val="single" w:color="auto" w:sz="4" w:space="0"/>
                  </w:tcBorders>
                  <w:vAlign w:val="center"/>
                </w:tcPr>
                <w:p w14:paraId="35788B6E">
                  <w:pPr>
                    <w:widowControl/>
                    <w:jc w:val="center"/>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现有项目核定</w:t>
                  </w:r>
                  <w:r>
                    <w:rPr>
                      <w:rFonts w:hint="default" w:ascii="Times New Roman" w:hAnsi="Times New Roman" w:eastAsia="宋体" w:cs="Times New Roman"/>
                      <w:b/>
                      <w:color w:val="auto"/>
                      <w:sz w:val="21"/>
                      <w:szCs w:val="21"/>
                      <w:highlight w:val="none"/>
                    </w:rPr>
                    <w:t>产生量t/a</w:t>
                  </w:r>
                </w:p>
              </w:tc>
              <w:tc>
                <w:tcPr>
                  <w:tcW w:w="1200" w:type="dxa"/>
                  <w:tcBorders>
                    <w:top w:val="single" w:color="000000" w:sz="12" w:space="0"/>
                    <w:left w:val="single" w:color="auto" w:sz="4" w:space="0"/>
                    <w:right w:val="single" w:color="auto" w:sz="4" w:space="0"/>
                  </w:tcBorders>
                  <w:vAlign w:val="center"/>
                </w:tcPr>
                <w:p w14:paraId="5E90B24D">
                  <w:pPr>
                    <w:widowControl/>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以新带老削减量t/a</w:t>
                  </w:r>
                </w:p>
              </w:tc>
              <w:tc>
                <w:tcPr>
                  <w:tcW w:w="1200" w:type="dxa"/>
                  <w:tcBorders>
                    <w:top w:val="single" w:color="000000" w:sz="12" w:space="0"/>
                    <w:left w:val="single" w:color="auto" w:sz="4" w:space="0"/>
                    <w:right w:val="single" w:color="auto" w:sz="4" w:space="0"/>
                  </w:tcBorders>
                  <w:vAlign w:val="center"/>
                </w:tcPr>
                <w:p w14:paraId="781D7840">
                  <w:pPr>
                    <w:widowControl/>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本项目产生量t/a</w:t>
                  </w:r>
                </w:p>
              </w:tc>
              <w:tc>
                <w:tcPr>
                  <w:tcW w:w="1020" w:type="dxa"/>
                  <w:tcBorders>
                    <w:top w:val="single" w:color="000000" w:sz="12" w:space="0"/>
                    <w:left w:val="single" w:color="auto" w:sz="4" w:space="0"/>
                    <w:right w:val="single" w:color="auto" w:sz="4" w:space="0"/>
                  </w:tcBorders>
                  <w:vAlign w:val="center"/>
                </w:tcPr>
                <w:p w14:paraId="2FCCEB2E">
                  <w:pPr>
                    <w:widowControl/>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全厂产生量t/a</w:t>
                  </w:r>
                </w:p>
              </w:tc>
              <w:tc>
                <w:tcPr>
                  <w:tcW w:w="1080" w:type="dxa"/>
                  <w:tcBorders>
                    <w:top w:val="single" w:color="000000" w:sz="12" w:space="0"/>
                    <w:left w:val="single" w:color="auto" w:sz="4" w:space="0"/>
                  </w:tcBorders>
                  <w:vAlign w:val="center"/>
                </w:tcPr>
                <w:p w14:paraId="7042C8EF">
                  <w:pPr>
                    <w:widowControl/>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变化量t/a</w:t>
                  </w:r>
                </w:p>
              </w:tc>
              <w:tc>
                <w:tcPr>
                  <w:tcW w:w="2280" w:type="dxa"/>
                  <w:tcBorders>
                    <w:top w:val="single" w:color="000000" w:sz="12" w:space="0"/>
                    <w:right w:val="nil"/>
                  </w:tcBorders>
                  <w:vAlign w:val="center"/>
                </w:tcPr>
                <w:p w14:paraId="4B97667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0"/>
                      <w:highlight w:val="none"/>
                    </w:rPr>
                  </w:pPr>
                  <w:r>
                    <w:rPr>
                      <w:rFonts w:hint="default" w:ascii="Times New Roman" w:hAnsi="Times New Roman" w:eastAsia="宋体" w:cs="Times New Roman"/>
                      <w:b/>
                      <w:color w:val="auto"/>
                      <w:sz w:val="21"/>
                      <w:szCs w:val="20"/>
                      <w:highlight w:val="none"/>
                    </w:rPr>
                    <w:t>处置方式及去向</w:t>
                  </w:r>
                </w:p>
              </w:tc>
            </w:tr>
            <w:tr w14:paraId="7C42A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49" w:type="dxa"/>
                  <w:tcBorders>
                    <w:left w:val="nil"/>
                  </w:tcBorders>
                  <w:vAlign w:val="center"/>
                </w:tcPr>
                <w:p w14:paraId="17B9FB14">
                  <w:pPr>
                    <w:widowControl/>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w:t>
                  </w:r>
                </w:p>
              </w:tc>
              <w:tc>
                <w:tcPr>
                  <w:tcW w:w="468" w:type="dxa"/>
                  <w:vMerge w:val="restart"/>
                  <w:vAlign w:val="center"/>
                </w:tcPr>
                <w:p w14:paraId="00DA330B">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520E80F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废润滑油</w:t>
                  </w:r>
                </w:p>
              </w:tc>
              <w:tc>
                <w:tcPr>
                  <w:tcW w:w="915" w:type="dxa"/>
                  <w:vAlign w:val="center"/>
                </w:tcPr>
                <w:p w14:paraId="6186EA7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HW08</w:t>
                  </w:r>
                </w:p>
              </w:tc>
              <w:tc>
                <w:tcPr>
                  <w:tcW w:w="1230" w:type="dxa"/>
                  <w:vAlign w:val="center"/>
                </w:tcPr>
                <w:p w14:paraId="3F54D38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900-217-08</w:t>
                  </w:r>
                </w:p>
              </w:tc>
              <w:tc>
                <w:tcPr>
                  <w:tcW w:w="1005" w:type="dxa"/>
                  <w:vMerge w:val="restart"/>
                  <w:vAlign w:val="center"/>
                </w:tcPr>
                <w:p w14:paraId="1186A32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restart"/>
                  <w:vAlign w:val="center"/>
                </w:tcPr>
                <w:p w14:paraId="2992C44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247C62B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48B583A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24A3E69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1020" w:type="dxa"/>
                  <w:tcBorders>
                    <w:left w:val="single" w:color="auto" w:sz="4" w:space="0"/>
                    <w:right w:val="single" w:color="auto" w:sz="4" w:space="0"/>
                  </w:tcBorders>
                  <w:vAlign w:val="center"/>
                </w:tcPr>
                <w:p w14:paraId="5A6877C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1080" w:type="dxa"/>
                  <w:tcBorders>
                    <w:left w:val="single" w:color="auto" w:sz="4" w:space="0"/>
                    <w:bottom w:val="single" w:color="auto" w:sz="4" w:space="0"/>
                  </w:tcBorders>
                  <w:vAlign w:val="center"/>
                </w:tcPr>
                <w:p w14:paraId="4594CBC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2280" w:type="dxa"/>
                  <w:vMerge w:val="restart"/>
                  <w:tcBorders>
                    <w:right w:val="nil"/>
                  </w:tcBorders>
                  <w:vAlign w:val="center"/>
                </w:tcPr>
                <w:p w14:paraId="24D224B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lang w:val="en-US" w:eastAsia="zh-CN"/>
                    </w:rPr>
                  </w:pPr>
                  <w:r>
                    <w:rPr>
                      <w:rFonts w:hint="default" w:ascii="Times New Roman" w:hAnsi="Times New Roman" w:eastAsia="宋体" w:cs="Times New Roman"/>
                      <w:b w:val="0"/>
                      <w:bCs/>
                      <w:color w:val="auto"/>
                      <w:sz w:val="21"/>
                      <w:szCs w:val="20"/>
                      <w:highlight w:val="none"/>
                      <w:lang w:val="en-US" w:eastAsia="zh-CN"/>
                    </w:rPr>
                    <w:t>委托江阴市锦绣江南环境发展有限公司处置</w:t>
                  </w:r>
                </w:p>
              </w:tc>
            </w:tr>
            <w:tr w14:paraId="79231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49" w:type="dxa"/>
                  <w:tcBorders>
                    <w:left w:val="nil"/>
                  </w:tcBorders>
                  <w:vAlign w:val="center"/>
                </w:tcPr>
                <w:p w14:paraId="037BE0CD">
                  <w:pPr>
                    <w:widowControl/>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468" w:type="dxa"/>
                  <w:vMerge w:val="continue"/>
                  <w:vAlign w:val="center"/>
                </w:tcPr>
                <w:p w14:paraId="2C9C8116">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625BF24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设备清洗废液</w:t>
                  </w:r>
                </w:p>
              </w:tc>
              <w:tc>
                <w:tcPr>
                  <w:tcW w:w="915" w:type="dxa"/>
                  <w:vAlign w:val="center"/>
                </w:tcPr>
                <w:p w14:paraId="54929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HW13</w:t>
                  </w:r>
                </w:p>
              </w:tc>
              <w:tc>
                <w:tcPr>
                  <w:tcW w:w="1230" w:type="dxa"/>
                  <w:vAlign w:val="center"/>
                </w:tcPr>
                <w:p w14:paraId="5B8F0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900-016-13</w:t>
                  </w:r>
                </w:p>
              </w:tc>
              <w:tc>
                <w:tcPr>
                  <w:tcW w:w="1005" w:type="dxa"/>
                  <w:vMerge w:val="continue"/>
                  <w:vAlign w:val="center"/>
                </w:tcPr>
                <w:p w14:paraId="730C085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2D9F959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6770E49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44FA50E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545DA82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w:t>
                  </w:r>
                </w:p>
              </w:tc>
              <w:tc>
                <w:tcPr>
                  <w:tcW w:w="1020" w:type="dxa"/>
                  <w:tcBorders>
                    <w:left w:val="single" w:color="auto" w:sz="4" w:space="0"/>
                    <w:right w:val="single" w:color="auto" w:sz="4" w:space="0"/>
                  </w:tcBorders>
                  <w:vAlign w:val="center"/>
                </w:tcPr>
                <w:p w14:paraId="565C964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w:t>
                  </w:r>
                </w:p>
              </w:tc>
              <w:tc>
                <w:tcPr>
                  <w:tcW w:w="1080" w:type="dxa"/>
                  <w:tcBorders>
                    <w:left w:val="single" w:color="auto" w:sz="4" w:space="0"/>
                    <w:bottom w:val="single" w:color="auto" w:sz="4" w:space="0"/>
                  </w:tcBorders>
                  <w:vAlign w:val="center"/>
                </w:tcPr>
                <w:p w14:paraId="005C554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w:t>
                  </w:r>
                </w:p>
              </w:tc>
              <w:tc>
                <w:tcPr>
                  <w:tcW w:w="2280" w:type="dxa"/>
                  <w:vMerge w:val="continue"/>
                  <w:tcBorders>
                    <w:bottom w:val="single" w:color="auto" w:sz="4" w:space="0"/>
                    <w:right w:val="nil"/>
                  </w:tcBorders>
                  <w:vAlign w:val="center"/>
                </w:tcPr>
                <w:p w14:paraId="7651EBB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lang w:val="en-US" w:eastAsia="zh-CN"/>
                    </w:rPr>
                  </w:pPr>
                </w:p>
              </w:tc>
            </w:tr>
            <w:tr w14:paraId="5755D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49" w:type="dxa"/>
                  <w:tcBorders>
                    <w:left w:val="nil"/>
                  </w:tcBorders>
                  <w:vAlign w:val="center"/>
                </w:tcPr>
                <w:p w14:paraId="63EE3685">
                  <w:pPr>
                    <w:widowControl/>
                    <w:jc w:val="center"/>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3</w:t>
                  </w:r>
                </w:p>
              </w:tc>
              <w:tc>
                <w:tcPr>
                  <w:tcW w:w="468" w:type="dxa"/>
                  <w:vMerge w:val="continue"/>
                  <w:vAlign w:val="center"/>
                </w:tcPr>
                <w:p w14:paraId="66E56ADF">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5B70D16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废包装桶</w:t>
                  </w:r>
                </w:p>
              </w:tc>
              <w:tc>
                <w:tcPr>
                  <w:tcW w:w="915" w:type="dxa"/>
                  <w:vAlign w:val="center"/>
                </w:tcPr>
                <w:p w14:paraId="0EED558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HW49</w:t>
                  </w:r>
                </w:p>
              </w:tc>
              <w:tc>
                <w:tcPr>
                  <w:tcW w:w="1230" w:type="dxa"/>
                  <w:vAlign w:val="center"/>
                </w:tcPr>
                <w:p w14:paraId="516B4A1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900-041-49</w:t>
                  </w:r>
                </w:p>
              </w:tc>
              <w:tc>
                <w:tcPr>
                  <w:tcW w:w="1005" w:type="dxa"/>
                  <w:vMerge w:val="continue"/>
                  <w:vAlign w:val="center"/>
                </w:tcPr>
                <w:p w14:paraId="412DF8B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4D7740B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7F8A982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173.685</w:t>
                  </w:r>
                </w:p>
              </w:tc>
              <w:tc>
                <w:tcPr>
                  <w:tcW w:w="1200" w:type="dxa"/>
                  <w:tcBorders>
                    <w:left w:val="single" w:color="auto" w:sz="4" w:space="0"/>
                    <w:right w:val="single" w:color="auto" w:sz="4" w:space="0"/>
                  </w:tcBorders>
                  <w:vAlign w:val="center"/>
                </w:tcPr>
                <w:p w14:paraId="5D74913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w:t>
                  </w:r>
                </w:p>
              </w:tc>
              <w:tc>
                <w:tcPr>
                  <w:tcW w:w="1200" w:type="dxa"/>
                  <w:tcBorders>
                    <w:left w:val="single" w:color="auto" w:sz="4" w:space="0"/>
                    <w:right w:val="single" w:color="auto" w:sz="4" w:space="0"/>
                  </w:tcBorders>
                  <w:vAlign w:val="center"/>
                </w:tcPr>
                <w:p w14:paraId="6FBC167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0.3225</w:t>
                  </w:r>
                </w:p>
              </w:tc>
              <w:tc>
                <w:tcPr>
                  <w:tcW w:w="1020" w:type="dxa"/>
                  <w:tcBorders>
                    <w:left w:val="single" w:color="auto" w:sz="4" w:space="0"/>
                    <w:right w:val="single" w:color="auto" w:sz="4" w:space="0"/>
                  </w:tcBorders>
                  <w:vAlign w:val="center"/>
                </w:tcPr>
                <w:p w14:paraId="60D4D46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156.01</w:t>
                  </w:r>
                </w:p>
              </w:tc>
              <w:tc>
                <w:tcPr>
                  <w:tcW w:w="1080" w:type="dxa"/>
                  <w:tcBorders>
                    <w:top w:val="single" w:color="auto" w:sz="4" w:space="0"/>
                    <w:left w:val="single" w:color="auto" w:sz="4" w:space="0"/>
                  </w:tcBorders>
                  <w:vAlign w:val="center"/>
                </w:tcPr>
                <w:p w14:paraId="26E6FBF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-17.675</w:t>
                  </w:r>
                </w:p>
              </w:tc>
              <w:tc>
                <w:tcPr>
                  <w:tcW w:w="2280" w:type="dxa"/>
                  <w:tcBorders>
                    <w:top w:val="single" w:color="auto" w:sz="4" w:space="0"/>
                    <w:bottom w:val="single" w:color="auto" w:sz="4" w:space="0"/>
                    <w:right w:val="nil"/>
                  </w:tcBorders>
                  <w:vAlign w:val="center"/>
                </w:tcPr>
                <w:p w14:paraId="3312695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lang w:val="en-US" w:eastAsia="zh-CN"/>
                    </w:rPr>
                  </w:pPr>
                  <w:r>
                    <w:rPr>
                      <w:rFonts w:hint="eastAsia" w:ascii="Times New Roman" w:hAnsi="Times New Roman" w:eastAsia="宋体" w:cs="Times New Roman"/>
                      <w:b w:val="0"/>
                      <w:bCs/>
                      <w:color w:val="auto"/>
                      <w:sz w:val="21"/>
                      <w:szCs w:val="20"/>
                      <w:highlight w:val="none"/>
                      <w:lang w:val="en-US" w:eastAsia="zh-CN"/>
                    </w:rPr>
                    <w:t>委托江苏永吉环保科技有限公司和江阴市锦绣江南环境发展有限公司处置</w:t>
                  </w:r>
                </w:p>
              </w:tc>
            </w:tr>
            <w:tr w14:paraId="54E37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49" w:type="dxa"/>
                  <w:tcBorders>
                    <w:left w:val="nil"/>
                  </w:tcBorders>
                  <w:vAlign w:val="center"/>
                </w:tcPr>
                <w:p w14:paraId="431E70C6">
                  <w:pPr>
                    <w:widowControl/>
                    <w:jc w:val="center"/>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4</w:t>
                  </w:r>
                </w:p>
              </w:tc>
              <w:tc>
                <w:tcPr>
                  <w:tcW w:w="468" w:type="dxa"/>
                  <w:vMerge w:val="continue"/>
                  <w:vAlign w:val="center"/>
                </w:tcPr>
                <w:p w14:paraId="353DFDCA">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0F39B08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废清洗液</w:t>
                  </w:r>
                </w:p>
              </w:tc>
              <w:tc>
                <w:tcPr>
                  <w:tcW w:w="915" w:type="dxa"/>
                  <w:vAlign w:val="center"/>
                </w:tcPr>
                <w:p w14:paraId="1B05826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HW06</w:t>
                  </w:r>
                </w:p>
              </w:tc>
              <w:tc>
                <w:tcPr>
                  <w:tcW w:w="1230" w:type="dxa"/>
                  <w:vAlign w:val="center"/>
                </w:tcPr>
                <w:p w14:paraId="2ECD434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900-404-06</w:t>
                  </w:r>
                </w:p>
              </w:tc>
              <w:tc>
                <w:tcPr>
                  <w:tcW w:w="1005" w:type="dxa"/>
                  <w:vMerge w:val="continue"/>
                  <w:vAlign w:val="center"/>
                </w:tcPr>
                <w:p w14:paraId="69B7CD6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0871C2D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52EE7B25">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eastAsia="zh-CN"/>
                    </w:rPr>
                    <w:t>470.4</w:t>
                  </w:r>
                </w:p>
              </w:tc>
              <w:tc>
                <w:tcPr>
                  <w:tcW w:w="1200" w:type="dxa"/>
                  <w:tcBorders>
                    <w:left w:val="single" w:color="auto" w:sz="4" w:space="0"/>
                    <w:right w:val="single" w:color="auto" w:sz="4" w:space="0"/>
                  </w:tcBorders>
                  <w:vAlign w:val="center"/>
                </w:tcPr>
                <w:p w14:paraId="64C7802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470.4</w:t>
                  </w:r>
                </w:p>
              </w:tc>
              <w:tc>
                <w:tcPr>
                  <w:tcW w:w="1200" w:type="dxa"/>
                  <w:tcBorders>
                    <w:left w:val="single" w:color="auto" w:sz="4" w:space="0"/>
                    <w:right w:val="single" w:color="auto" w:sz="4" w:space="0"/>
                  </w:tcBorders>
                  <w:vAlign w:val="center"/>
                </w:tcPr>
                <w:p w14:paraId="37831BEA">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1B537F63">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0</w:t>
                  </w:r>
                </w:p>
              </w:tc>
              <w:tc>
                <w:tcPr>
                  <w:tcW w:w="1080" w:type="dxa"/>
                  <w:tcBorders>
                    <w:left w:val="single" w:color="auto" w:sz="4" w:space="0"/>
                  </w:tcBorders>
                  <w:vAlign w:val="center"/>
                </w:tcPr>
                <w:p w14:paraId="6F9F051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-470.4</w:t>
                  </w:r>
                </w:p>
              </w:tc>
              <w:tc>
                <w:tcPr>
                  <w:tcW w:w="2280" w:type="dxa"/>
                  <w:vMerge w:val="restart"/>
                  <w:tcBorders>
                    <w:top w:val="single" w:color="auto" w:sz="4" w:space="0"/>
                    <w:right w:val="nil"/>
                  </w:tcBorders>
                  <w:shd w:val="clear" w:color="auto" w:fill="auto"/>
                  <w:vAlign w:val="center"/>
                </w:tcPr>
                <w:p w14:paraId="7D0FC4CD">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kern w:val="2"/>
                      <w:sz w:val="21"/>
                      <w:szCs w:val="20"/>
                      <w:highlight w:val="none"/>
                      <w:lang w:val="en-US" w:eastAsia="zh-CN" w:bidi="ar-SA"/>
                    </w:rPr>
                  </w:pPr>
                  <w:r>
                    <w:rPr>
                      <w:rFonts w:hint="default" w:ascii="Times New Roman" w:hAnsi="Times New Roman" w:eastAsia="宋体" w:cs="Times New Roman"/>
                      <w:b w:val="0"/>
                      <w:bCs/>
                      <w:color w:val="auto"/>
                      <w:sz w:val="21"/>
                      <w:szCs w:val="20"/>
                      <w:highlight w:val="none"/>
                      <w:lang w:val="en-US" w:eastAsia="zh-CN"/>
                    </w:rPr>
                    <w:t>委托江阴市锦绣江南环境发展有限公司处置</w:t>
                  </w:r>
                </w:p>
              </w:tc>
            </w:tr>
            <w:tr w14:paraId="424A5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49" w:type="dxa"/>
                  <w:tcBorders>
                    <w:left w:val="nil"/>
                  </w:tcBorders>
                  <w:vAlign w:val="center"/>
                </w:tcPr>
                <w:p w14:paraId="39D872C9">
                  <w:pPr>
                    <w:widowControl/>
                    <w:jc w:val="center"/>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5</w:t>
                  </w:r>
                </w:p>
              </w:tc>
              <w:tc>
                <w:tcPr>
                  <w:tcW w:w="468" w:type="dxa"/>
                  <w:vMerge w:val="continue"/>
                  <w:vAlign w:val="center"/>
                </w:tcPr>
                <w:p w14:paraId="53F236BF">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2F5578F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废无水乙醇</w:t>
                  </w:r>
                </w:p>
              </w:tc>
              <w:tc>
                <w:tcPr>
                  <w:tcW w:w="915" w:type="dxa"/>
                  <w:vAlign w:val="center"/>
                </w:tcPr>
                <w:p w14:paraId="03D0726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HW06</w:t>
                  </w:r>
                </w:p>
              </w:tc>
              <w:tc>
                <w:tcPr>
                  <w:tcW w:w="1230" w:type="dxa"/>
                  <w:vAlign w:val="center"/>
                </w:tcPr>
                <w:p w14:paraId="59AC71A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900-406-06</w:t>
                  </w:r>
                </w:p>
              </w:tc>
              <w:tc>
                <w:tcPr>
                  <w:tcW w:w="1005" w:type="dxa"/>
                  <w:vMerge w:val="continue"/>
                  <w:vAlign w:val="center"/>
                </w:tcPr>
                <w:p w14:paraId="4A9795C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6C58D2B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54D60CF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0.007</w:t>
                  </w:r>
                </w:p>
              </w:tc>
              <w:tc>
                <w:tcPr>
                  <w:tcW w:w="1200" w:type="dxa"/>
                  <w:tcBorders>
                    <w:left w:val="single" w:color="auto" w:sz="4" w:space="0"/>
                    <w:right w:val="single" w:color="auto" w:sz="4" w:space="0"/>
                  </w:tcBorders>
                  <w:vAlign w:val="center"/>
                </w:tcPr>
                <w:p w14:paraId="43A59BC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768AE6F8">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2400266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0.007</w:t>
                  </w:r>
                </w:p>
              </w:tc>
              <w:tc>
                <w:tcPr>
                  <w:tcW w:w="1080" w:type="dxa"/>
                  <w:tcBorders>
                    <w:left w:val="single" w:color="auto" w:sz="4" w:space="0"/>
                  </w:tcBorders>
                  <w:vAlign w:val="center"/>
                </w:tcPr>
                <w:p w14:paraId="57D5E56D">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bottom w:val="single" w:color="auto" w:sz="4" w:space="0"/>
                    <w:right w:val="nil"/>
                  </w:tcBorders>
                  <w:shd w:val="clear" w:color="auto" w:fill="auto"/>
                  <w:vAlign w:val="center"/>
                </w:tcPr>
                <w:p w14:paraId="09A0902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0"/>
                      <w:highlight w:val="none"/>
                      <w:lang w:val="en-US" w:eastAsia="zh-CN" w:bidi="ar-SA"/>
                    </w:rPr>
                  </w:pPr>
                </w:p>
              </w:tc>
            </w:tr>
            <w:tr w14:paraId="4B8A7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249" w:type="dxa"/>
                  <w:tcBorders>
                    <w:left w:val="nil"/>
                  </w:tcBorders>
                  <w:vAlign w:val="center"/>
                </w:tcPr>
                <w:p w14:paraId="05061A5F">
                  <w:pPr>
                    <w:widowControl/>
                    <w:jc w:val="center"/>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6</w:t>
                  </w:r>
                </w:p>
              </w:tc>
              <w:tc>
                <w:tcPr>
                  <w:tcW w:w="468" w:type="dxa"/>
                  <w:vMerge w:val="continue"/>
                  <w:vAlign w:val="center"/>
                </w:tcPr>
                <w:p w14:paraId="68552BE7">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1675BBEA">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废滴管、手套和口罩</w:t>
                  </w:r>
                </w:p>
              </w:tc>
              <w:tc>
                <w:tcPr>
                  <w:tcW w:w="915" w:type="dxa"/>
                  <w:vAlign w:val="center"/>
                </w:tcPr>
                <w:p w14:paraId="6A16FA6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HW49</w:t>
                  </w:r>
                </w:p>
              </w:tc>
              <w:tc>
                <w:tcPr>
                  <w:tcW w:w="1230" w:type="dxa"/>
                  <w:vAlign w:val="center"/>
                </w:tcPr>
                <w:p w14:paraId="31D7937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900-047-49</w:t>
                  </w:r>
                </w:p>
              </w:tc>
              <w:tc>
                <w:tcPr>
                  <w:tcW w:w="1005" w:type="dxa"/>
                  <w:vMerge w:val="continue"/>
                  <w:vAlign w:val="center"/>
                </w:tcPr>
                <w:p w14:paraId="497CE00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1B6B8F6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574EDEF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0.1</w:t>
                  </w:r>
                </w:p>
              </w:tc>
              <w:tc>
                <w:tcPr>
                  <w:tcW w:w="1200" w:type="dxa"/>
                  <w:tcBorders>
                    <w:left w:val="single" w:color="auto" w:sz="4" w:space="0"/>
                    <w:right w:val="single" w:color="auto" w:sz="4" w:space="0"/>
                  </w:tcBorders>
                  <w:vAlign w:val="center"/>
                </w:tcPr>
                <w:p w14:paraId="25D2C54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762B2F9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7168D9C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0.1</w:t>
                  </w:r>
                </w:p>
              </w:tc>
              <w:tc>
                <w:tcPr>
                  <w:tcW w:w="1080" w:type="dxa"/>
                  <w:tcBorders>
                    <w:left w:val="single" w:color="auto" w:sz="4" w:space="0"/>
                    <w:bottom w:val="single" w:color="auto" w:sz="4" w:space="0"/>
                  </w:tcBorders>
                  <w:vAlign w:val="center"/>
                </w:tcPr>
                <w:p w14:paraId="55A4AB07">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tcBorders>
                    <w:top w:val="single" w:color="auto" w:sz="4" w:space="0"/>
                    <w:bottom w:val="single" w:color="auto" w:sz="4" w:space="0"/>
                    <w:right w:val="nil"/>
                  </w:tcBorders>
                  <w:vAlign w:val="center"/>
                </w:tcPr>
                <w:p w14:paraId="23E8829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r>
                    <w:rPr>
                      <w:rFonts w:hint="default" w:ascii="Times New Roman" w:hAnsi="Times New Roman" w:eastAsia="宋体" w:cs="Times New Roman"/>
                      <w:b w:val="0"/>
                      <w:bCs/>
                      <w:color w:val="auto"/>
                      <w:sz w:val="21"/>
                      <w:szCs w:val="20"/>
                      <w:highlight w:val="none"/>
                      <w:lang w:val="en-US" w:eastAsia="zh-CN"/>
                    </w:rPr>
                    <w:t>委托江苏永吉环保科技有限公司进行处置</w:t>
                  </w:r>
                </w:p>
              </w:tc>
            </w:tr>
            <w:tr w14:paraId="4CBF5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49" w:type="dxa"/>
                  <w:tcBorders>
                    <w:left w:val="nil"/>
                  </w:tcBorders>
                  <w:vAlign w:val="center"/>
                </w:tcPr>
                <w:p w14:paraId="732063E1">
                  <w:pPr>
                    <w:widowControl/>
                    <w:jc w:val="center"/>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7</w:t>
                  </w:r>
                </w:p>
              </w:tc>
              <w:tc>
                <w:tcPr>
                  <w:tcW w:w="468" w:type="dxa"/>
                  <w:vMerge w:val="continue"/>
                  <w:vAlign w:val="center"/>
                </w:tcPr>
                <w:p w14:paraId="2B1C013B">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755D727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废手套</w:t>
                  </w:r>
                </w:p>
              </w:tc>
              <w:tc>
                <w:tcPr>
                  <w:tcW w:w="915" w:type="dxa"/>
                  <w:vAlign w:val="center"/>
                </w:tcPr>
                <w:p w14:paraId="112AC51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HW49</w:t>
                  </w:r>
                </w:p>
              </w:tc>
              <w:tc>
                <w:tcPr>
                  <w:tcW w:w="1230" w:type="dxa"/>
                  <w:vAlign w:val="center"/>
                </w:tcPr>
                <w:p w14:paraId="38F60DC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900-041-49</w:t>
                  </w:r>
                </w:p>
              </w:tc>
              <w:tc>
                <w:tcPr>
                  <w:tcW w:w="1005" w:type="dxa"/>
                  <w:vMerge w:val="continue"/>
                  <w:vAlign w:val="center"/>
                </w:tcPr>
                <w:p w14:paraId="53B96C5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0B882FD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1FCDC2F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18</w:t>
                  </w:r>
                </w:p>
              </w:tc>
              <w:tc>
                <w:tcPr>
                  <w:tcW w:w="1200" w:type="dxa"/>
                  <w:tcBorders>
                    <w:left w:val="single" w:color="auto" w:sz="4" w:space="0"/>
                    <w:right w:val="single" w:color="auto" w:sz="4" w:space="0"/>
                  </w:tcBorders>
                  <w:vAlign w:val="center"/>
                </w:tcPr>
                <w:p w14:paraId="5E176A5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5D6B10B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68675B9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18</w:t>
                  </w:r>
                </w:p>
              </w:tc>
              <w:tc>
                <w:tcPr>
                  <w:tcW w:w="1080" w:type="dxa"/>
                  <w:tcBorders>
                    <w:top w:val="single" w:color="auto" w:sz="4" w:space="0"/>
                    <w:left w:val="single" w:color="auto" w:sz="4" w:space="0"/>
                  </w:tcBorders>
                  <w:vAlign w:val="center"/>
                </w:tcPr>
                <w:p w14:paraId="2495616A">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tcBorders>
                    <w:top w:val="single" w:color="auto" w:sz="4" w:space="0"/>
                    <w:bottom w:val="single" w:color="auto" w:sz="4" w:space="0"/>
                    <w:right w:val="nil"/>
                  </w:tcBorders>
                  <w:vAlign w:val="center"/>
                </w:tcPr>
                <w:p w14:paraId="708110A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r>
                    <w:rPr>
                      <w:rFonts w:hint="eastAsia" w:ascii="Times New Roman" w:hAnsi="Times New Roman" w:eastAsia="宋体" w:cs="Times New Roman"/>
                      <w:b w:val="0"/>
                      <w:bCs/>
                      <w:color w:val="auto"/>
                      <w:sz w:val="21"/>
                      <w:szCs w:val="20"/>
                      <w:highlight w:val="none"/>
                      <w:lang w:val="en-US" w:eastAsia="zh-CN"/>
                    </w:rPr>
                    <w:t>委托江阴市锦绣江南环境发展有限公司进行处置</w:t>
                  </w:r>
                </w:p>
              </w:tc>
            </w:tr>
            <w:tr w14:paraId="32852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49" w:type="dxa"/>
                  <w:tcBorders>
                    <w:left w:val="nil"/>
                  </w:tcBorders>
                  <w:vAlign w:val="center"/>
                </w:tcPr>
                <w:p w14:paraId="45B1FCF1">
                  <w:pPr>
                    <w:widowControl/>
                    <w:jc w:val="center"/>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8</w:t>
                  </w:r>
                </w:p>
              </w:tc>
              <w:tc>
                <w:tcPr>
                  <w:tcW w:w="468" w:type="dxa"/>
                  <w:vMerge w:val="continue"/>
                  <w:vAlign w:val="center"/>
                </w:tcPr>
                <w:p w14:paraId="18EC7B36">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554CD69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喷淋塔废液</w:t>
                  </w:r>
                </w:p>
              </w:tc>
              <w:tc>
                <w:tcPr>
                  <w:tcW w:w="915" w:type="dxa"/>
                  <w:vAlign w:val="center"/>
                </w:tcPr>
                <w:p w14:paraId="5D0D24DC">
                  <w:pPr>
                    <w:keepNext w:val="0"/>
                    <w:keepLines w:val="0"/>
                    <w:pageBreakBefore w:val="0"/>
                    <w:widowControl/>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color w:val="auto"/>
                      <w:kern w:val="0"/>
                      <w:sz w:val="21"/>
                      <w:szCs w:val="21"/>
                      <w:highlight w:val="none"/>
                      <w:lang w:bidi="ar"/>
                    </w:rPr>
                    <w:t>HW</w:t>
                  </w:r>
                  <w:r>
                    <w:rPr>
                      <w:rFonts w:hint="eastAsia" w:ascii="Times New Roman" w:hAnsi="Times New Roman" w:eastAsia="宋体" w:cs="Times New Roman"/>
                      <w:color w:val="auto"/>
                      <w:kern w:val="0"/>
                      <w:sz w:val="21"/>
                      <w:szCs w:val="21"/>
                      <w:highlight w:val="none"/>
                      <w:lang w:val="en-US" w:eastAsia="zh-CN" w:bidi="ar"/>
                    </w:rPr>
                    <w:t>06</w:t>
                  </w:r>
                </w:p>
              </w:tc>
              <w:tc>
                <w:tcPr>
                  <w:tcW w:w="1230" w:type="dxa"/>
                  <w:vAlign w:val="center"/>
                </w:tcPr>
                <w:p w14:paraId="04886CA4">
                  <w:pPr>
                    <w:keepNext w:val="0"/>
                    <w:keepLines w:val="0"/>
                    <w:pageBreakBefore w:val="0"/>
                    <w:widowControl/>
                    <w:kinsoku/>
                    <w:wordWrap/>
                    <w:overflowPunct/>
                    <w:topLinePunct w:val="0"/>
                    <w:autoSpaceDE/>
                    <w:autoSpaceDN/>
                    <w:bidi w:val="0"/>
                    <w:adjustRightInd/>
                    <w:snapToGrid/>
                    <w:ind w:left="-42" w:leftChars="-20" w:right="-42" w:rightChars="-2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900-404-06</w:t>
                  </w:r>
                </w:p>
              </w:tc>
              <w:tc>
                <w:tcPr>
                  <w:tcW w:w="1005" w:type="dxa"/>
                  <w:vMerge w:val="continue"/>
                  <w:vAlign w:val="center"/>
                </w:tcPr>
                <w:p w14:paraId="418795D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45EE33B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38F0128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126</w:t>
                  </w:r>
                </w:p>
              </w:tc>
              <w:tc>
                <w:tcPr>
                  <w:tcW w:w="1200" w:type="dxa"/>
                  <w:tcBorders>
                    <w:left w:val="single" w:color="auto" w:sz="4" w:space="0"/>
                    <w:right w:val="single" w:color="auto" w:sz="4" w:space="0"/>
                  </w:tcBorders>
                  <w:vAlign w:val="center"/>
                </w:tcPr>
                <w:p w14:paraId="754FFF2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490F684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62B790E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126</w:t>
                  </w:r>
                </w:p>
              </w:tc>
              <w:tc>
                <w:tcPr>
                  <w:tcW w:w="1080" w:type="dxa"/>
                  <w:tcBorders>
                    <w:left w:val="single" w:color="auto" w:sz="4" w:space="0"/>
                  </w:tcBorders>
                  <w:vAlign w:val="center"/>
                </w:tcPr>
                <w:p w14:paraId="67D0CC4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tcBorders>
                    <w:top w:val="single" w:color="auto" w:sz="4" w:space="0"/>
                    <w:bottom w:val="single" w:color="auto" w:sz="4" w:space="0"/>
                    <w:right w:val="nil"/>
                  </w:tcBorders>
                  <w:vAlign w:val="center"/>
                </w:tcPr>
                <w:p w14:paraId="7139166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r>
                    <w:rPr>
                      <w:rFonts w:hint="default" w:ascii="Times New Roman" w:hAnsi="Times New Roman" w:eastAsia="宋体" w:cs="Times New Roman"/>
                      <w:b w:val="0"/>
                      <w:bCs/>
                      <w:color w:val="auto"/>
                      <w:sz w:val="21"/>
                      <w:szCs w:val="20"/>
                      <w:highlight w:val="none"/>
                      <w:lang w:val="en-US" w:eastAsia="zh-CN"/>
                    </w:rPr>
                    <w:t>委托江苏永吉环保科技有限公司进行处置</w:t>
                  </w:r>
                </w:p>
              </w:tc>
            </w:tr>
            <w:tr w14:paraId="796EF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49" w:type="dxa"/>
                  <w:tcBorders>
                    <w:left w:val="nil"/>
                  </w:tcBorders>
                  <w:vAlign w:val="center"/>
                </w:tcPr>
                <w:p w14:paraId="6A0D1969">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9</w:t>
                  </w:r>
                </w:p>
              </w:tc>
              <w:tc>
                <w:tcPr>
                  <w:tcW w:w="468" w:type="dxa"/>
                  <w:vMerge w:val="continue"/>
                  <w:vAlign w:val="center"/>
                </w:tcPr>
                <w:p w14:paraId="5D93C77C">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2365B8D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废活性炭</w:t>
                  </w:r>
                </w:p>
              </w:tc>
              <w:tc>
                <w:tcPr>
                  <w:tcW w:w="915" w:type="dxa"/>
                  <w:vAlign w:val="center"/>
                </w:tcPr>
                <w:p w14:paraId="4B48CDB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HW49</w:t>
                  </w:r>
                </w:p>
              </w:tc>
              <w:tc>
                <w:tcPr>
                  <w:tcW w:w="1230" w:type="dxa"/>
                  <w:vAlign w:val="center"/>
                </w:tcPr>
                <w:p w14:paraId="3BAAFC9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900-039-49</w:t>
                  </w:r>
                </w:p>
              </w:tc>
              <w:tc>
                <w:tcPr>
                  <w:tcW w:w="1005" w:type="dxa"/>
                  <w:vMerge w:val="continue"/>
                  <w:vAlign w:val="center"/>
                </w:tcPr>
                <w:p w14:paraId="1A22C1D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28DC2F6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shd w:val="clear" w:color="auto" w:fill="auto"/>
                  <w:vAlign w:val="center"/>
                </w:tcPr>
                <w:p w14:paraId="5A6385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75.3596</w:t>
                  </w:r>
                </w:p>
              </w:tc>
              <w:tc>
                <w:tcPr>
                  <w:tcW w:w="1200" w:type="dxa"/>
                  <w:tcBorders>
                    <w:left w:val="single" w:color="auto" w:sz="4" w:space="0"/>
                    <w:right w:val="single" w:color="auto" w:sz="4" w:space="0"/>
                  </w:tcBorders>
                  <w:shd w:val="clear" w:color="auto" w:fill="auto"/>
                  <w:vAlign w:val="center"/>
                </w:tcPr>
                <w:p w14:paraId="15A4194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14.8359</w:t>
                  </w:r>
                </w:p>
              </w:tc>
              <w:tc>
                <w:tcPr>
                  <w:tcW w:w="1200" w:type="dxa"/>
                  <w:tcBorders>
                    <w:left w:val="single" w:color="auto" w:sz="4" w:space="0"/>
                    <w:right w:val="single" w:color="auto" w:sz="4" w:space="0"/>
                  </w:tcBorders>
                  <w:vAlign w:val="center"/>
                </w:tcPr>
                <w:p w14:paraId="10335B2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43.549</w:t>
                  </w:r>
                </w:p>
              </w:tc>
              <w:tc>
                <w:tcPr>
                  <w:tcW w:w="1020" w:type="dxa"/>
                  <w:tcBorders>
                    <w:left w:val="single" w:color="auto" w:sz="4" w:space="0"/>
                    <w:right w:val="single" w:color="auto" w:sz="4" w:space="0"/>
                  </w:tcBorders>
                  <w:vAlign w:val="center"/>
                </w:tcPr>
                <w:p w14:paraId="215CCFF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104.07</w:t>
                  </w:r>
                </w:p>
              </w:tc>
              <w:tc>
                <w:tcPr>
                  <w:tcW w:w="1080" w:type="dxa"/>
                  <w:tcBorders>
                    <w:left w:val="single" w:color="auto" w:sz="4" w:space="0"/>
                    <w:bottom w:val="single" w:color="auto" w:sz="4" w:space="0"/>
                  </w:tcBorders>
                  <w:vAlign w:val="center"/>
                </w:tcPr>
                <w:p w14:paraId="232BC1F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+28.71</w:t>
                  </w:r>
                </w:p>
              </w:tc>
              <w:tc>
                <w:tcPr>
                  <w:tcW w:w="2280" w:type="dxa"/>
                  <w:vMerge w:val="restart"/>
                  <w:tcBorders>
                    <w:top w:val="single" w:color="auto" w:sz="4" w:space="0"/>
                    <w:right w:val="nil"/>
                  </w:tcBorders>
                  <w:vAlign w:val="center"/>
                </w:tcPr>
                <w:p w14:paraId="522796D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lang w:val="en-US" w:eastAsia="zh-CN"/>
                    </w:rPr>
                  </w:pPr>
                  <w:r>
                    <w:rPr>
                      <w:rFonts w:hint="eastAsia" w:ascii="Times New Roman" w:hAnsi="Times New Roman" w:eastAsia="宋体" w:cs="Times New Roman"/>
                      <w:b w:val="0"/>
                      <w:bCs/>
                      <w:color w:val="auto"/>
                      <w:sz w:val="21"/>
                      <w:szCs w:val="20"/>
                      <w:highlight w:val="none"/>
                      <w:lang w:val="en-US" w:eastAsia="zh-CN"/>
                    </w:rPr>
                    <w:t>委托江阴市锦绣江南环境发展有限公司进行处置</w:t>
                  </w:r>
                </w:p>
              </w:tc>
            </w:tr>
            <w:tr w14:paraId="129CA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49" w:type="dxa"/>
                  <w:tcBorders>
                    <w:left w:val="nil"/>
                  </w:tcBorders>
                  <w:vAlign w:val="center"/>
                </w:tcPr>
                <w:p w14:paraId="3968B51D">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w:t>
                  </w:r>
                </w:p>
              </w:tc>
              <w:tc>
                <w:tcPr>
                  <w:tcW w:w="468" w:type="dxa"/>
                  <w:vMerge w:val="continue"/>
                  <w:vAlign w:val="center"/>
                </w:tcPr>
                <w:p w14:paraId="6D66A06D">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3A8A0C4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废填料</w:t>
                  </w:r>
                </w:p>
              </w:tc>
              <w:tc>
                <w:tcPr>
                  <w:tcW w:w="915" w:type="dxa"/>
                  <w:vAlign w:val="center"/>
                </w:tcPr>
                <w:p w14:paraId="2C3BDEE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HW49</w:t>
                  </w:r>
                </w:p>
              </w:tc>
              <w:tc>
                <w:tcPr>
                  <w:tcW w:w="1230" w:type="dxa"/>
                  <w:vAlign w:val="center"/>
                </w:tcPr>
                <w:p w14:paraId="7D0EB5F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900-041-49</w:t>
                  </w:r>
                </w:p>
              </w:tc>
              <w:tc>
                <w:tcPr>
                  <w:tcW w:w="1005" w:type="dxa"/>
                  <w:vMerge w:val="continue"/>
                  <w:vAlign w:val="center"/>
                </w:tcPr>
                <w:p w14:paraId="2888FA4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671BB3C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2EA6F82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103.086</w:t>
                  </w:r>
                </w:p>
                <w:p w14:paraId="6883FE7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t/3a</w:t>
                  </w:r>
                </w:p>
              </w:tc>
              <w:tc>
                <w:tcPr>
                  <w:tcW w:w="1200" w:type="dxa"/>
                  <w:tcBorders>
                    <w:left w:val="single" w:color="auto" w:sz="4" w:space="0"/>
                    <w:right w:val="single" w:color="auto" w:sz="4" w:space="0"/>
                  </w:tcBorders>
                  <w:vAlign w:val="center"/>
                </w:tcPr>
                <w:p w14:paraId="6C9F1FB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537B60D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434A0DA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103.086</w:t>
                  </w:r>
                </w:p>
                <w:p w14:paraId="3F86BF9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t/3a</w:t>
                  </w:r>
                </w:p>
              </w:tc>
              <w:tc>
                <w:tcPr>
                  <w:tcW w:w="1080" w:type="dxa"/>
                  <w:tcBorders>
                    <w:top w:val="single" w:color="auto" w:sz="4" w:space="0"/>
                    <w:left w:val="single" w:color="auto" w:sz="4" w:space="0"/>
                  </w:tcBorders>
                  <w:vAlign w:val="center"/>
                </w:tcPr>
                <w:p w14:paraId="521E1FE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right w:val="nil"/>
                  </w:tcBorders>
                  <w:vAlign w:val="center"/>
                </w:tcPr>
                <w:p w14:paraId="5CAC3CF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6F10E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249" w:type="dxa"/>
                  <w:tcBorders>
                    <w:left w:val="nil"/>
                  </w:tcBorders>
                  <w:vAlign w:val="center"/>
                </w:tcPr>
                <w:p w14:paraId="2F446DA1">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11</w:t>
                  </w:r>
                </w:p>
              </w:tc>
              <w:tc>
                <w:tcPr>
                  <w:tcW w:w="468" w:type="dxa"/>
                  <w:vMerge w:val="continue"/>
                  <w:vAlign w:val="center"/>
                </w:tcPr>
                <w:p w14:paraId="5486DE8E">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1FCFE4C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废滤芯</w:t>
                  </w:r>
                </w:p>
              </w:tc>
              <w:tc>
                <w:tcPr>
                  <w:tcW w:w="915" w:type="dxa"/>
                  <w:vAlign w:val="center"/>
                </w:tcPr>
                <w:p w14:paraId="4E15CD9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HW49</w:t>
                  </w:r>
                </w:p>
              </w:tc>
              <w:tc>
                <w:tcPr>
                  <w:tcW w:w="1230" w:type="dxa"/>
                  <w:vAlign w:val="center"/>
                </w:tcPr>
                <w:p w14:paraId="16BFCF6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900-041-49</w:t>
                  </w:r>
                </w:p>
              </w:tc>
              <w:tc>
                <w:tcPr>
                  <w:tcW w:w="1005" w:type="dxa"/>
                  <w:vMerge w:val="continue"/>
                  <w:vAlign w:val="center"/>
                </w:tcPr>
                <w:p w14:paraId="5453DA5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1C5E84E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04A1C15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0.5</w:t>
                  </w:r>
                </w:p>
              </w:tc>
              <w:tc>
                <w:tcPr>
                  <w:tcW w:w="1200" w:type="dxa"/>
                  <w:tcBorders>
                    <w:left w:val="single" w:color="auto" w:sz="4" w:space="0"/>
                    <w:right w:val="single" w:color="auto" w:sz="4" w:space="0"/>
                  </w:tcBorders>
                  <w:vAlign w:val="center"/>
                </w:tcPr>
                <w:p w14:paraId="4ACFD63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72FEF808">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6672E42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0.5</w:t>
                  </w:r>
                </w:p>
              </w:tc>
              <w:tc>
                <w:tcPr>
                  <w:tcW w:w="1080" w:type="dxa"/>
                  <w:tcBorders>
                    <w:left w:val="single" w:color="auto" w:sz="4" w:space="0"/>
                    <w:bottom w:val="single" w:color="auto" w:sz="4" w:space="0"/>
                  </w:tcBorders>
                  <w:vAlign w:val="center"/>
                </w:tcPr>
                <w:p w14:paraId="50ECFB46">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right w:val="nil"/>
                  </w:tcBorders>
                  <w:vAlign w:val="center"/>
                </w:tcPr>
                <w:p w14:paraId="1AA59B1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47732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49" w:type="dxa"/>
                  <w:tcBorders>
                    <w:left w:val="nil"/>
                  </w:tcBorders>
                  <w:vAlign w:val="center"/>
                </w:tcPr>
                <w:p w14:paraId="28B9B029">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12</w:t>
                  </w:r>
                </w:p>
              </w:tc>
              <w:tc>
                <w:tcPr>
                  <w:tcW w:w="468" w:type="dxa"/>
                  <w:vMerge w:val="continue"/>
                  <w:vAlign w:val="center"/>
                </w:tcPr>
                <w:p w14:paraId="2CA93058">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240E94D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研磨废液（渣）</w:t>
                  </w:r>
                </w:p>
              </w:tc>
              <w:tc>
                <w:tcPr>
                  <w:tcW w:w="915" w:type="dxa"/>
                  <w:vAlign w:val="center"/>
                </w:tcPr>
                <w:p w14:paraId="533BE51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HW17</w:t>
                  </w:r>
                </w:p>
              </w:tc>
              <w:tc>
                <w:tcPr>
                  <w:tcW w:w="1230" w:type="dxa"/>
                  <w:vAlign w:val="center"/>
                </w:tcPr>
                <w:p w14:paraId="4486E6A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336-064- 17</w:t>
                  </w:r>
                </w:p>
              </w:tc>
              <w:tc>
                <w:tcPr>
                  <w:tcW w:w="1005" w:type="dxa"/>
                  <w:vMerge w:val="continue"/>
                  <w:vAlign w:val="center"/>
                </w:tcPr>
                <w:p w14:paraId="031BA7F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7BA9D7E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3CFF1B5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1.05</w:t>
                  </w:r>
                </w:p>
              </w:tc>
              <w:tc>
                <w:tcPr>
                  <w:tcW w:w="1200" w:type="dxa"/>
                  <w:tcBorders>
                    <w:left w:val="single" w:color="auto" w:sz="4" w:space="0"/>
                    <w:right w:val="single" w:color="auto" w:sz="4" w:space="0"/>
                  </w:tcBorders>
                  <w:vAlign w:val="center"/>
                </w:tcPr>
                <w:p w14:paraId="3370030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411C282C">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4D44CFB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1.05</w:t>
                  </w:r>
                </w:p>
              </w:tc>
              <w:tc>
                <w:tcPr>
                  <w:tcW w:w="1080" w:type="dxa"/>
                  <w:tcBorders>
                    <w:top w:val="single" w:color="auto" w:sz="4" w:space="0"/>
                    <w:left w:val="single" w:color="auto" w:sz="4" w:space="0"/>
                  </w:tcBorders>
                  <w:vAlign w:val="center"/>
                </w:tcPr>
                <w:p w14:paraId="43E20E62">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right w:val="nil"/>
                  </w:tcBorders>
                  <w:vAlign w:val="center"/>
                </w:tcPr>
                <w:p w14:paraId="22AA695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6F260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49" w:type="dxa"/>
                  <w:tcBorders>
                    <w:left w:val="nil"/>
                  </w:tcBorders>
                  <w:vAlign w:val="center"/>
                </w:tcPr>
                <w:p w14:paraId="5191C967">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13</w:t>
                  </w:r>
                </w:p>
              </w:tc>
              <w:tc>
                <w:tcPr>
                  <w:tcW w:w="468" w:type="dxa"/>
                  <w:vMerge w:val="continue"/>
                  <w:vAlign w:val="center"/>
                </w:tcPr>
                <w:p w14:paraId="01BD15A3">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39CA371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实验室废液</w:t>
                  </w:r>
                </w:p>
              </w:tc>
              <w:tc>
                <w:tcPr>
                  <w:tcW w:w="915" w:type="dxa"/>
                  <w:vAlign w:val="center"/>
                </w:tcPr>
                <w:p w14:paraId="4137823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HW49</w:t>
                  </w:r>
                </w:p>
              </w:tc>
              <w:tc>
                <w:tcPr>
                  <w:tcW w:w="1230" w:type="dxa"/>
                  <w:vAlign w:val="center"/>
                </w:tcPr>
                <w:p w14:paraId="2142269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900-047-49</w:t>
                  </w:r>
                </w:p>
              </w:tc>
              <w:tc>
                <w:tcPr>
                  <w:tcW w:w="1005" w:type="dxa"/>
                  <w:vMerge w:val="continue"/>
                  <w:vAlign w:val="center"/>
                </w:tcPr>
                <w:p w14:paraId="40E30B7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vAlign w:val="center"/>
                </w:tcPr>
                <w:p w14:paraId="2774940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2E2EB10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1.88</w:t>
                  </w:r>
                </w:p>
              </w:tc>
              <w:tc>
                <w:tcPr>
                  <w:tcW w:w="1200" w:type="dxa"/>
                  <w:tcBorders>
                    <w:left w:val="single" w:color="auto" w:sz="4" w:space="0"/>
                    <w:right w:val="single" w:color="auto" w:sz="4" w:space="0"/>
                  </w:tcBorders>
                  <w:vAlign w:val="center"/>
                </w:tcPr>
                <w:p w14:paraId="4FCA28D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545DB248">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49C4E2D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1.88</w:t>
                  </w:r>
                </w:p>
              </w:tc>
              <w:tc>
                <w:tcPr>
                  <w:tcW w:w="1080" w:type="dxa"/>
                  <w:tcBorders>
                    <w:left w:val="single" w:color="auto" w:sz="4" w:space="0"/>
                  </w:tcBorders>
                  <w:vAlign w:val="center"/>
                </w:tcPr>
                <w:p w14:paraId="32FB9AAE">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bottom w:val="single" w:color="auto" w:sz="4" w:space="0"/>
                    <w:right w:val="nil"/>
                  </w:tcBorders>
                  <w:vAlign w:val="center"/>
                </w:tcPr>
                <w:p w14:paraId="6E2F824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054D4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49" w:type="dxa"/>
                  <w:tcBorders>
                    <w:left w:val="nil"/>
                  </w:tcBorders>
                  <w:vAlign w:val="center"/>
                </w:tcPr>
                <w:p w14:paraId="7D9F63CD">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14</w:t>
                  </w:r>
                </w:p>
              </w:tc>
              <w:tc>
                <w:tcPr>
                  <w:tcW w:w="468" w:type="dxa"/>
                  <w:vMerge w:val="restart"/>
                  <w:tcBorders>
                    <w:bottom w:val="nil"/>
                  </w:tcBorders>
                  <w:vAlign w:val="center"/>
                </w:tcPr>
                <w:p w14:paraId="740F77A0">
                  <w:pPr>
                    <w:widowControl/>
                    <w:jc w:val="center"/>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b w:val="0"/>
                      <w:bCs/>
                      <w:color w:val="auto"/>
                      <w:sz w:val="21"/>
                      <w:szCs w:val="21"/>
                      <w:highlight w:val="none"/>
                      <w:lang w:eastAsia="zh-CN"/>
                    </w:rPr>
                    <w:t>一般固体废物</w:t>
                  </w:r>
                  <w:r>
                    <w:rPr>
                      <w:rFonts w:hint="default" w:ascii="Times New Roman" w:hAnsi="Times New Roman" w:eastAsia="宋体" w:cs="Times New Roman"/>
                      <w:b w:val="0"/>
                      <w:bCs/>
                      <w:color w:val="auto"/>
                      <w:sz w:val="21"/>
                      <w:szCs w:val="21"/>
                      <w:highlight w:val="none"/>
                    </w:rPr>
                    <w:t>暂存间</w:t>
                  </w:r>
                </w:p>
              </w:tc>
              <w:tc>
                <w:tcPr>
                  <w:tcW w:w="1080" w:type="dxa"/>
                  <w:vAlign w:val="center"/>
                </w:tcPr>
                <w:p w14:paraId="12F7038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膜片边角料</w:t>
                  </w:r>
                </w:p>
              </w:tc>
              <w:tc>
                <w:tcPr>
                  <w:tcW w:w="915" w:type="dxa"/>
                  <w:vAlign w:val="center"/>
                </w:tcPr>
                <w:p w14:paraId="4285BBF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SW17</w:t>
                  </w:r>
                </w:p>
              </w:tc>
              <w:tc>
                <w:tcPr>
                  <w:tcW w:w="1230" w:type="dxa"/>
                  <w:vAlign w:val="center"/>
                </w:tcPr>
                <w:p w14:paraId="355ED52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900-003-S17</w:t>
                  </w:r>
                </w:p>
              </w:tc>
              <w:tc>
                <w:tcPr>
                  <w:tcW w:w="1005" w:type="dxa"/>
                  <w:vMerge w:val="restart"/>
                  <w:tcBorders>
                    <w:bottom w:val="nil"/>
                  </w:tcBorders>
                  <w:vAlign w:val="center"/>
                </w:tcPr>
                <w:p w14:paraId="2D0260D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厂区东</w:t>
                  </w:r>
                </w:p>
                <w:p w14:paraId="624C913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北侧</w:t>
                  </w:r>
                </w:p>
              </w:tc>
              <w:tc>
                <w:tcPr>
                  <w:tcW w:w="990" w:type="dxa"/>
                  <w:vMerge w:val="restart"/>
                  <w:tcBorders>
                    <w:bottom w:val="nil"/>
                  </w:tcBorders>
                  <w:vAlign w:val="center"/>
                </w:tcPr>
                <w:p w14:paraId="3155DD8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50m</w:t>
                  </w:r>
                  <w:r>
                    <w:rPr>
                      <w:rFonts w:hint="default" w:ascii="Times New Roman" w:hAnsi="Times New Roman" w:eastAsia="宋体" w:cs="Times New Roman"/>
                      <w:b w:val="0"/>
                      <w:bCs/>
                      <w:color w:val="auto"/>
                      <w:sz w:val="21"/>
                      <w:szCs w:val="21"/>
                      <w:highlight w:val="none"/>
                      <w:vertAlign w:val="superscript"/>
                    </w:rPr>
                    <w:t>2</w:t>
                  </w:r>
                </w:p>
              </w:tc>
              <w:tc>
                <w:tcPr>
                  <w:tcW w:w="1155" w:type="dxa"/>
                  <w:tcBorders>
                    <w:right w:val="single" w:color="auto" w:sz="4" w:space="0"/>
                  </w:tcBorders>
                  <w:vAlign w:val="center"/>
                </w:tcPr>
                <w:p w14:paraId="4CB2DBF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500</w:t>
                  </w:r>
                </w:p>
              </w:tc>
              <w:tc>
                <w:tcPr>
                  <w:tcW w:w="1200" w:type="dxa"/>
                  <w:tcBorders>
                    <w:left w:val="single" w:color="auto" w:sz="4" w:space="0"/>
                    <w:right w:val="single" w:color="auto" w:sz="4" w:space="0"/>
                  </w:tcBorders>
                  <w:vAlign w:val="center"/>
                </w:tcPr>
                <w:p w14:paraId="264DEF5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643D2FD8">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61372C2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500</w:t>
                  </w:r>
                </w:p>
              </w:tc>
              <w:tc>
                <w:tcPr>
                  <w:tcW w:w="1080" w:type="dxa"/>
                  <w:tcBorders>
                    <w:left w:val="single" w:color="auto" w:sz="4" w:space="0"/>
                  </w:tcBorders>
                  <w:vAlign w:val="center"/>
                </w:tcPr>
                <w:p w14:paraId="349042E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restart"/>
                  <w:tcBorders>
                    <w:top w:val="single" w:color="auto" w:sz="4" w:space="0"/>
                    <w:bottom w:val="single" w:color="auto" w:sz="4" w:space="0"/>
                    <w:right w:val="nil"/>
                  </w:tcBorders>
                  <w:vAlign w:val="center"/>
                </w:tcPr>
                <w:p w14:paraId="48D1D81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r>
                    <w:rPr>
                      <w:rFonts w:hint="default" w:ascii="Times New Roman" w:hAnsi="Times New Roman" w:eastAsia="宋体" w:cs="Times New Roman"/>
                      <w:b w:val="0"/>
                      <w:bCs/>
                      <w:color w:val="auto"/>
                      <w:sz w:val="21"/>
                      <w:szCs w:val="20"/>
                      <w:highlight w:val="none"/>
                    </w:rPr>
                    <w:t>收集后外售</w:t>
                  </w:r>
                </w:p>
              </w:tc>
            </w:tr>
            <w:tr w14:paraId="17DF2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49" w:type="dxa"/>
                  <w:tcBorders>
                    <w:left w:val="nil"/>
                  </w:tcBorders>
                  <w:vAlign w:val="center"/>
                </w:tcPr>
                <w:p w14:paraId="017D3621">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c>
                <w:tcPr>
                  <w:tcW w:w="468" w:type="dxa"/>
                  <w:vMerge w:val="continue"/>
                  <w:tcBorders>
                    <w:top w:val="nil"/>
                    <w:bottom w:val="nil"/>
                  </w:tcBorders>
                  <w:vAlign w:val="center"/>
                </w:tcPr>
                <w:p w14:paraId="5BFD8AD0">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44CC32F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废模型</w:t>
                  </w:r>
                </w:p>
              </w:tc>
              <w:tc>
                <w:tcPr>
                  <w:tcW w:w="915" w:type="dxa"/>
                  <w:vAlign w:val="center"/>
                </w:tcPr>
                <w:p w14:paraId="3BCE799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SW17</w:t>
                  </w:r>
                </w:p>
              </w:tc>
              <w:tc>
                <w:tcPr>
                  <w:tcW w:w="1230" w:type="dxa"/>
                  <w:vAlign w:val="center"/>
                </w:tcPr>
                <w:p w14:paraId="2E7D23B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900-011-S17</w:t>
                  </w:r>
                </w:p>
              </w:tc>
              <w:tc>
                <w:tcPr>
                  <w:tcW w:w="1005" w:type="dxa"/>
                  <w:vMerge w:val="continue"/>
                  <w:tcBorders>
                    <w:top w:val="nil"/>
                    <w:bottom w:val="nil"/>
                  </w:tcBorders>
                  <w:vAlign w:val="center"/>
                </w:tcPr>
                <w:p w14:paraId="43D350B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tcBorders>
                    <w:top w:val="nil"/>
                    <w:bottom w:val="nil"/>
                  </w:tcBorders>
                  <w:vAlign w:val="center"/>
                </w:tcPr>
                <w:p w14:paraId="37DBEB0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0EC1EAE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1022.5184</w:t>
                  </w:r>
                </w:p>
              </w:tc>
              <w:tc>
                <w:tcPr>
                  <w:tcW w:w="1200" w:type="dxa"/>
                  <w:tcBorders>
                    <w:left w:val="single" w:color="auto" w:sz="4" w:space="0"/>
                    <w:right w:val="single" w:color="auto" w:sz="4" w:space="0"/>
                  </w:tcBorders>
                  <w:vAlign w:val="center"/>
                </w:tcPr>
                <w:p w14:paraId="78E96B9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548A7B9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395BB0C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1022.5184</w:t>
                  </w:r>
                </w:p>
              </w:tc>
              <w:tc>
                <w:tcPr>
                  <w:tcW w:w="1080" w:type="dxa"/>
                  <w:tcBorders>
                    <w:left w:val="single" w:color="auto" w:sz="4" w:space="0"/>
                  </w:tcBorders>
                  <w:vAlign w:val="center"/>
                </w:tcPr>
                <w:p w14:paraId="22B85D71">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top w:val="single" w:color="auto" w:sz="4" w:space="0"/>
                    <w:bottom w:val="single" w:color="auto" w:sz="4" w:space="0"/>
                    <w:right w:val="nil"/>
                  </w:tcBorders>
                  <w:vAlign w:val="center"/>
                </w:tcPr>
                <w:p w14:paraId="3884636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3443A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49" w:type="dxa"/>
                  <w:tcBorders>
                    <w:left w:val="nil"/>
                  </w:tcBorders>
                  <w:vAlign w:val="center"/>
                </w:tcPr>
                <w:p w14:paraId="166D5202">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16</w:t>
                  </w:r>
                </w:p>
              </w:tc>
              <w:tc>
                <w:tcPr>
                  <w:tcW w:w="468" w:type="dxa"/>
                  <w:vMerge w:val="continue"/>
                  <w:tcBorders>
                    <w:top w:val="nil"/>
                    <w:bottom w:val="nil"/>
                  </w:tcBorders>
                  <w:vAlign w:val="center"/>
                </w:tcPr>
                <w:p w14:paraId="3BBB868F">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32A0B99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废包装袋</w:t>
                  </w:r>
                </w:p>
              </w:tc>
              <w:tc>
                <w:tcPr>
                  <w:tcW w:w="915" w:type="dxa"/>
                  <w:vAlign w:val="center"/>
                </w:tcPr>
                <w:p w14:paraId="112B8FA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SW17</w:t>
                  </w:r>
                </w:p>
              </w:tc>
              <w:tc>
                <w:tcPr>
                  <w:tcW w:w="1230" w:type="dxa"/>
                  <w:vAlign w:val="center"/>
                </w:tcPr>
                <w:p w14:paraId="2C3B1B8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900-003-S17</w:t>
                  </w:r>
                </w:p>
              </w:tc>
              <w:tc>
                <w:tcPr>
                  <w:tcW w:w="1005" w:type="dxa"/>
                  <w:vMerge w:val="continue"/>
                  <w:tcBorders>
                    <w:top w:val="nil"/>
                    <w:bottom w:val="nil"/>
                  </w:tcBorders>
                  <w:vAlign w:val="center"/>
                </w:tcPr>
                <w:p w14:paraId="11FCFD5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tcBorders>
                    <w:top w:val="nil"/>
                    <w:bottom w:val="nil"/>
                  </w:tcBorders>
                  <w:vAlign w:val="center"/>
                </w:tcPr>
                <w:p w14:paraId="41B9DF1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242B47A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4.12</w:t>
                  </w:r>
                </w:p>
              </w:tc>
              <w:tc>
                <w:tcPr>
                  <w:tcW w:w="1200" w:type="dxa"/>
                  <w:tcBorders>
                    <w:left w:val="single" w:color="auto" w:sz="4" w:space="0"/>
                    <w:right w:val="single" w:color="auto" w:sz="4" w:space="0"/>
                  </w:tcBorders>
                  <w:vAlign w:val="center"/>
                </w:tcPr>
                <w:p w14:paraId="1A35062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69F68573">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27AFEAE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4.12</w:t>
                  </w:r>
                </w:p>
              </w:tc>
              <w:tc>
                <w:tcPr>
                  <w:tcW w:w="1080" w:type="dxa"/>
                  <w:tcBorders>
                    <w:left w:val="single" w:color="auto" w:sz="4" w:space="0"/>
                  </w:tcBorders>
                  <w:vAlign w:val="center"/>
                </w:tcPr>
                <w:p w14:paraId="7C95E62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top w:val="single" w:color="auto" w:sz="4" w:space="0"/>
                    <w:bottom w:val="single" w:color="auto" w:sz="4" w:space="0"/>
                    <w:right w:val="nil"/>
                  </w:tcBorders>
                  <w:vAlign w:val="center"/>
                </w:tcPr>
                <w:p w14:paraId="3C6A1BC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0D7EE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49" w:type="dxa"/>
                  <w:tcBorders>
                    <w:left w:val="nil"/>
                  </w:tcBorders>
                  <w:vAlign w:val="center"/>
                </w:tcPr>
                <w:p w14:paraId="1E82EF95">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17</w:t>
                  </w:r>
                </w:p>
              </w:tc>
              <w:tc>
                <w:tcPr>
                  <w:tcW w:w="468" w:type="dxa"/>
                  <w:vMerge w:val="continue"/>
                  <w:tcBorders>
                    <w:top w:val="nil"/>
                    <w:bottom w:val="nil"/>
                  </w:tcBorders>
                  <w:vAlign w:val="center"/>
                </w:tcPr>
                <w:p w14:paraId="562D8716">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5B327DF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废样品</w:t>
                  </w:r>
                </w:p>
              </w:tc>
              <w:tc>
                <w:tcPr>
                  <w:tcW w:w="915" w:type="dxa"/>
                  <w:vAlign w:val="center"/>
                </w:tcPr>
                <w:p w14:paraId="6F71606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SW17</w:t>
                  </w:r>
                </w:p>
              </w:tc>
              <w:tc>
                <w:tcPr>
                  <w:tcW w:w="1230" w:type="dxa"/>
                  <w:vAlign w:val="center"/>
                </w:tcPr>
                <w:p w14:paraId="79C867A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900-003-S17</w:t>
                  </w:r>
                </w:p>
              </w:tc>
              <w:tc>
                <w:tcPr>
                  <w:tcW w:w="1005" w:type="dxa"/>
                  <w:vMerge w:val="continue"/>
                  <w:tcBorders>
                    <w:top w:val="nil"/>
                    <w:bottom w:val="nil"/>
                  </w:tcBorders>
                  <w:vAlign w:val="center"/>
                </w:tcPr>
                <w:p w14:paraId="2F07922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tcBorders>
                    <w:top w:val="nil"/>
                    <w:bottom w:val="nil"/>
                  </w:tcBorders>
                  <w:vAlign w:val="center"/>
                </w:tcPr>
                <w:p w14:paraId="30217E8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6A5183D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0.1</w:t>
                  </w:r>
                </w:p>
              </w:tc>
              <w:tc>
                <w:tcPr>
                  <w:tcW w:w="1200" w:type="dxa"/>
                  <w:tcBorders>
                    <w:left w:val="single" w:color="auto" w:sz="4" w:space="0"/>
                    <w:right w:val="single" w:color="auto" w:sz="4" w:space="0"/>
                  </w:tcBorders>
                  <w:vAlign w:val="center"/>
                </w:tcPr>
                <w:p w14:paraId="587E184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1A614DB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20DBE91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0.1</w:t>
                  </w:r>
                </w:p>
              </w:tc>
              <w:tc>
                <w:tcPr>
                  <w:tcW w:w="1080" w:type="dxa"/>
                  <w:tcBorders>
                    <w:left w:val="single" w:color="auto" w:sz="4" w:space="0"/>
                  </w:tcBorders>
                  <w:vAlign w:val="center"/>
                </w:tcPr>
                <w:p w14:paraId="698A6CD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top w:val="single" w:color="auto" w:sz="4" w:space="0"/>
                    <w:bottom w:val="single" w:color="auto" w:sz="4" w:space="0"/>
                    <w:right w:val="nil"/>
                  </w:tcBorders>
                  <w:vAlign w:val="center"/>
                </w:tcPr>
                <w:p w14:paraId="01C4F76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40002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49" w:type="dxa"/>
                  <w:tcBorders>
                    <w:left w:val="nil"/>
                  </w:tcBorders>
                  <w:vAlign w:val="center"/>
                </w:tcPr>
                <w:p w14:paraId="3FC93B71">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18</w:t>
                  </w:r>
                </w:p>
              </w:tc>
              <w:tc>
                <w:tcPr>
                  <w:tcW w:w="468" w:type="dxa"/>
                  <w:vMerge w:val="continue"/>
                  <w:tcBorders>
                    <w:top w:val="nil"/>
                    <w:bottom w:val="nil"/>
                  </w:tcBorders>
                  <w:vAlign w:val="center"/>
                </w:tcPr>
                <w:p w14:paraId="72ADD95A">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67ECD1D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粉尘</w:t>
                  </w:r>
                </w:p>
              </w:tc>
              <w:tc>
                <w:tcPr>
                  <w:tcW w:w="915" w:type="dxa"/>
                  <w:vAlign w:val="center"/>
                </w:tcPr>
                <w:p w14:paraId="7EB443A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SW17</w:t>
                  </w:r>
                </w:p>
              </w:tc>
              <w:tc>
                <w:tcPr>
                  <w:tcW w:w="1230" w:type="dxa"/>
                  <w:vAlign w:val="center"/>
                </w:tcPr>
                <w:p w14:paraId="6E21450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900-003-S17</w:t>
                  </w:r>
                </w:p>
              </w:tc>
              <w:tc>
                <w:tcPr>
                  <w:tcW w:w="1005" w:type="dxa"/>
                  <w:vMerge w:val="continue"/>
                  <w:tcBorders>
                    <w:top w:val="nil"/>
                    <w:bottom w:val="nil"/>
                  </w:tcBorders>
                  <w:vAlign w:val="center"/>
                </w:tcPr>
                <w:p w14:paraId="0182B96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tcBorders>
                    <w:top w:val="nil"/>
                    <w:bottom w:val="nil"/>
                  </w:tcBorders>
                  <w:vAlign w:val="center"/>
                </w:tcPr>
                <w:p w14:paraId="4406A9E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4845FE8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6.125</w:t>
                  </w:r>
                </w:p>
              </w:tc>
              <w:tc>
                <w:tcPr>
                  <w:tcW w:w="1200" w:type="dxa"/>
                  <w:tcBorders>
                    <w:left w:val="single" w:color="auto" w:sz="4" w:space="0"/>
                    <w:right w:val="single" w:color="auto" w:sz="4" w:space="0"/>
                  </w:tcBorders>
                  <w:vAlign w:val="center"/>
                </w:tcPr>
                <w:p w14:paraId="18B8753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6.125</w:t>
                  </w:r>
                </w:p>
              </w:tc>
              <w:tc>
                <w:tcPr>
                  <w:tcW w:w="1200" w:type="dxa"/>
                  <w:tcBorders>
                    <w:left w:val="single" w:color="auto" w:sz="4" w:space="0"/>
                    <w:right w:val="single" w:color="auto" w:sz="4" w:space="0"/>
                  </w:tcBorders>
                  <w:vAlign w:val="center"/>
                </w:tcPr>
                <w:p w14:paraId="01A0ECD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5.82</w:t>
                  </w:r>
                </w:p>
              </w:tc>
              <w:tc>
                <w:tcPr>
                  <w:tcW w:w="1020" w:type="dxa"/>
                  <w:tcBorders>
                    <w:left w:val="single" w:color="auto" w:sz="4" w:space="0"/>
                    <w:right w:val="single" w:color="auto" w:sz="4" w:space="0"/>
                  </w:tcBorders>
                  <w:vAlign w:val="center"/>
                </w:tcPr>
                <w:p w14:paraId="6140856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5.82</w:t>
                  </w:r>
                </w:p>
              </w:tc>
              <w:tc>
                <w:tcPr>
                  <w:tcW w:w="1080" w:type="dxa"/>
                  <w:tcBorders>
                    <w:left w:val="single" w:color="auto" w:sz="4" w:space="0"/>
                  </w:tcBorders>
                  <w:vAlign w:val="center"/>
                </w:tcPr>
                <w:p w14:paraId="5437929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-0.305</w:t>
                  </w:r>
                </w:p>
              </w:tc>
              <w:tc>
                <w:tcPr>
                  <w:tcW w:w="2280" w:type="dxa"/>
                  <w:vMerge w:val="continue"/>
                  <w:tcBorders>
                    <w:top w:val="single" w:color="auto" w:sz="4" w:space="0"/>
                    <w:bottom w:val="single" w:color="auto" w:sz="4" w:space="0"/>
                    <w:right w:val="nil"/>
                  </w:tcBorders>
                  <w:vAlign w:val="center"/>
                </w:tcPr>
                <w:p w14:paraId="6D6324B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66379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49" w:type="dxa"/>
                  <w:tcBorders>
                    <w:left w:val="nil"/>
                  </w:tcBorders>
                  <w:vAlign w:val="center"/>
                </w:tcPr>
                <w:p w14:paraId="22B80B99">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19</w:t>
                  </w:r>
                </w:p>
              </w:tc>
              <w:tc>
                <w:tcPr>
                  <w:tcW w:w="468" w:type="dxa"/>
                  <w:vMerge w:val="continue"/>
                  <w:tcBorders>
                    <w:top w:val="nil"/>
                    <w:bottom w:val="nil"/>
                  </w:tcBorders>
                  <w:vAlign w:val="center"/>
                </w:tcPr>
                <w:p w14:paraId="3963F64B">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52AF6D1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废布袋</w:t>
                  </w:r>
                </w:p>
              </w:tc>
              <w:tc>
                <w:tcPr>
                  <w:tcW w:w="915" w:type="dxa"/>
                  <w:vAlign w:val="center"/>
                </w:tcPr>
                <w:p w14:paraId="4B971CD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SW17</w:t>
                  </w:r>
                </w:p>
              </w:tc>
              <w:tc>
                <w:tcPr>
                  <w:tcW w:w="1230" w:type="dxa"/>
                  <w:vAlign w:val="center"/>
                </w:tcPr>
                <w:p w14:paraId="4FCEC4E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900-011-S17</w:t>
                  </w:r>
                </w:p>
              </w:tc>
              <w:tc>
                <w:tcPr>
                  <w:tcW w:w="1005" w:type="dxa"/>
                  <w:vMerge w:val="continue"/>
                  <w:tcBorders>
                    <w:top w:val="nil"/>
                    <w:bottom w:val="nil"/>
                  </w:tcBorders>
                  <w:vAlign w:val="center"/>
                </w:tcPr>
                <w:p w14:paraId="4E52525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tcBorders>
                    <w:top w:val="nil"/>
                    <w:bottom w:val="nil"/>
                  </w:tcBorders>
                  <w:vAlign w:val="center"/>
                </w:tcPr>
                <w:p w14:paraId="0CCAA3E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4AB4B1F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2</w:t>
                  </w:r>
                </w:p>
              </w:tc>
              <w:tc>
                <w:tcPr>
                  <w:tcW w:w="1200" w:type="dxa"/>
                  <w:tcBorders>
                    <w:left w:val="single" w:color="auto" w:sz="4" w:space="0"/>
                    <w:right w:val="single" w:color="auto" w:sz="4" w:space="0"/>
                  </w:tcBorders>
                  <w:vAlign w:val="center"/>
                </w:tcPr>
                <w:p w14:paraId="4DECB7B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1200" w:type="dxa"/>
                  <w:tcBorders>
                    <w:left w:val="single" w:color="auto" w:sz="4" w:space="0"/>
                    <w:right w:val="single" w:color="auto" w:sz="4" w:space="0"/>
                  </w:tcBorders>
                  <w:vAlign w:val="center"/>
                </w:tcPr>
                <w:p w14:paraId="5337837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1020" w:type="dxa"/>
                  <w:tcBorders>
                    <w:left w:val="single" w:color="auto" w:sz="4" w:space="0"/>
                    <w:right w:val="single" w:color="auto" w:sz="4" w:space="0"/>
                  </w:tcBorders>
                  <w:vAlign w:val="center"/>
                </w:tcPr>
                <w:p w14:paraId="16DAB19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2</w:t>
                  </w:r>
                </w:p>
              </w:tc>
              <w:tc>
                <w:tcPr>
                  <w:tcW w:w="1080" w:type="dxa"/>
                  <w:tcBorders>
                    <w:left w:val="single" w:color="auto" w:sz="4" w:space="0"/>
                  </w:tcBorders>
                  <w:vAlign w:val="center"/>
                </w:tcPr>
                <w:p w14:paraId="2E3AC4B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top w:val="single" w:color="auto" w:sz="4" w:space="0"/>
                    <w:bottom w:val="single" w:color="auto" w:sz="4" w:space="0"/>
                    <w:right w:val="nil"/>
                  </w:tcBorders>
                  <w:vAlign w:val="center"/>
                </w:tcPr>
                <w:p w14:paraId="6619749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567FC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 w:hRule="atLeast"/>
              </w:trPr>
              <w:tc>
                <w:tcPr>
                  <w:tcW w:w="249" w:type="dxa"/>
                  <w:tcBorders>
                    <w:left w:val="nil"/>
                  </w:tcBorders>
                  <w:vAlign w:val="center"/>
                </w:tcPr>
                <w:p w14:paraId="45EA36FD">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w:t>
                  </w:r>
                </w:p>
              </w:tc>
              <w:tc>
                <w:tcPr>
                  <w:tcW w:w="468" w:type="dxa"/>
                  <w:vMerge w:val="continue"/>
                  <w:tcBorders>
                    <w:top w:val="nil"/>
                    <w:bottom w:val="nil"/>
                  </w:tcBorders>
                  <w:vAlign w:val="center"/>
                </w:tcPr>
                <w:p w14:paraId="7BCD8D8C">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0FBAD3A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天使扣边角</w:t>
                  </w:r>
                </w:p>
              </w:tc>
              <w:tc>
                <w:tcPr>
                  <w:tcW w:w="915" w:type="dxa"/>
                  <w:vAlign w:val="center"/>
                </w:tcPr>
                <w:p w14:paraId="2CF9D84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SW17</w:t>
                  </w:r>
                </w:p>
              </w:tc>
              <w:tc>
                <w:tcPr>
                  <w:tcW w:w="1230" w:type="dxa"/>
                  <w:vAlign w:val="center"/>
                </w:tcPr>
                <w:p w14:paraId="440F15B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900-003-S17</w:t>
                  </w:r>
                </w:p>
              </w:tc>
              <w:tc>
                <w:tcPr>
                  <w:tcW w:w="1005" w:type="dxa"/>
                  <w:vMerge w:val="continue"/>
                  <w:tcBorders>
                    <w:top w:val="nil"/>
                    <w:bottom w:val="nil"/>
                  </w:tcBorders>
                  <w:vAlign w:val="center"/>
                </w:tcPr>
                <w:p w14:paraId="6D6CEAE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tcBorders>
                    <w:top w:val="nil"/>
                    <w:bottom w:val="nil"/>
                  </w:tcBorders>
                  <w:vAlign w:val="center"/>
                </w:tcPr>
                <w:p w14:paraId="423DBC0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55E14A0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2</w:t>
                  </w:r>
                </w:p>
              </w:tc>
              <w:tc>
                <w:tcPr>
                  <w:tcW w:w="1200" w:type="dxa"/>
                  <w:tcBorders>
                    <w:left w:val="single" w:color="auto" w:sz="4" w:space="0"/>
                    <w:right w:val="single" w:color="auto" w:sz="4" w:space="0"/>
                  </w:tcBorders>
                  <w:vAlign w:val="center"/>
                </w:tcPr>
                <w:p w14:paraId="53A6618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3C60B55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426CDE7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2</w:t>
                  </w:r>
                </w:p>
              </w:tc>
              <w:tc>
                <w:tcPr>
                  <w:tcW w:w="1080" w:type="dxa"/>
                  <w:tcBorders>
                    <w:left w:val="single" w:color="auto" w:sz="4" w:space="0"/>
                  </w:tcBorders>
                  <w:vAlign w:val="center"/>
                </w:tcPr>
                <w:p w14:paraId="7015AD3D">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top w:val="single" w:color="auto" w:sz="4" w:space="0"/>
                    <w:bottom w:val="single" w:color="auto" w:sz="4" w:space="0"/>
                    <w:right w:val="nil"/>
                  </w:tcBorders>
                  <w:vAlign w:val="center"/>
                </w:tcPr>
                <w:p w14:paraId="5F53F04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4840D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9" w:type="dxa"/>
                  <w:tcBorders>
                    <w:left w:val="nil"/>
                  </w:tcBorders>
                  <w:vAlign w:val="center"/>
                </w:tcPr>
                <w:p w14:paraId="58826F06">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21</w:t>
                  </w:r>
                </w:p>
              </w:tc>
              <w:tc>
                <w:tcPr>
                  <w:tcW w:w="468" w:type="dxa"/>
                  <w:vMerge w:val="continue"/>
                  <w:tcBorders>
                    <w:top w:val="nil"/>
                  </w:tcBorders>
                  <w:vAlign w:val="center"/>
                </w:tcPr>
                <w:p w14:paraId="08A6AF28">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2E9334D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废纸板</w:t>
                  </w:r>
                </w:p>
              </w:tc>
              <w:tc>
                <w:tcPr>
                  <w:tcW w:w="915" w:type="dxa"/>
                  <w:vAlign w:val="center"/>
                </w:tcPr>
                <w:p w14:paraId="02EDC64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SW17</w:t>
                  </w:r>
                </w:p>
              </w:tc>
              <w:tc>
                <w:tcPr>
                  <w:tcW w:w="1230" w:type="dxa"/>
                  <w:vAlign w:val="center"/>
                </w:tcPr>
                <w:p w14:paraId="3550263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900-00</w:t>
                  </w:r>
                  <w:r>
                    <w:rPr>
                      <w:rFonts w:hint="eastAsia" w:ascii="Times New Roman" w:hAnsi="Times New Roman" w:eastAsia="宋体" w:cs="Times New Roman"/>
                      <w:b w:val="0"/>
                      <w:bCs/>
                      <w:color w:val="auto"/>
                      <w:sz w:val="21"/>
                      <w:szCs w:val="21"/>
                      <w:highlight w:val="none"/>
                      <w:lang w:val="en-US" w:eastAsia="zh-CN"/>
                    </w:rPr>
                    <w:t>5</w:t>
                  </w:r>
                  <w:r>
                    <w:rPr>
                      <w:rFonts w:hint="default" w:ascii="Times New Roman" w:hAnsi="Times New Roman" w:eastAsia="宋体" w:cs="Times New Roman"/>
                      <w:b w:val="0"/>
                      <w:bCs/>
                      <w:color w:val="auto"/>
                      <w:sz w:val="21"/>
                      <w:szCs w:val="21"/>
                      <w:highlight w:val="none"/>
                      <w:lang w:val="en-US" w:eastAsia="zh-CN"/>
                    </w:rPr>
                    <w:t>-S17</w:t>
                  </w:r>
                </w:p>
              </w:tc>
              <w:tc>
                <w:tcPr>
                  <w:tcW w:w="1005" w:type="dxa"/>
                  <w:vMerge w:val="continue"/>
                  <w:tcBorders>
                    <w:top w:val="nil"/>
                  </w:tcBorders>
                  <w:vAlign w:val="center"/>
                </w:tcPr>
                <w:p w14:paraId="1021A1E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tcBorders>
                    <w:top w:val="nil"/>
                  </w:tcBorders>
                  <w:vAlign w:val="center"/>
                </w:tcPr>
                <w:p w14:paraId="2DE82BA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325C7A2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50</w:t>
                  </w:r>
                </w:p>
              </w:tc>
              <w:tc>
                <w:tcPr>
                  <w:tcW w:w="1200" w:type="dxa"/>
                  <w:tcBorders>
                    <w:left w:val="single" w:color="auto" w:sz="4" w:space="0"/>
                    <w:right w:val="single" w:color="auto" w:sz="4" w:space="0"/>
                  </w:tcBorders>
                  <w:vAlign w:val="center"/>
                </w:tcPr>
                <w:p w14:paraId="06F5B67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2ADFE3F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2095CD2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50</w:t>
                  </w:r>
                </w:p>
              </w:tc>
              <w:tc>
                <w:tcPr>
                  <w:tcW w:w="1080" w:type="dxa"/>
                  <w:tcBorders>
                    <w:left w:val="single" w:color="auto" w:sz="4" w:space="0"/>
                  </w:tcBorders>
                  <w:vAlign w:val="center"/>
                </w:tcPr>
                <w:p w14:paraId="5BBE10E8">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top w:val="single" w:color="auto" w:sz="4" w:space="0"/>
                    <w:bottom w:val="single" w:color="auto" w:sz="4" w:space="0"/>
                    <w:right w:val="nil"/>
                  </w:tcBorders>
                  <w:vAlign w:val="center"/>
                </w:tcPr>
                <w:p w14:paraId="07DA938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0"/>
                      <w:highlight w:val="none"/>
                    </w:rPr>
                  </w:pPr>
                </w:p>
              </w:tc>
            </w:tr>
            <w:tr w14:paraId="0D1EA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9" w:type="dxa"/>
                  <w:tcBorders>
                    <w:left w:val="nil"/>
                  </w:tcBorders>
                  <w:vAlign w:val="center"/>
                </w:tcPr>
                <w:p w14:paraId="48433718">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22</w:t>
                  </w:r>
                </w:p>
              </w:tc>
              <w:tc>
                <w:tcPr>
                  <w:tcW w:w="468" w:type="dxa"/>
                  <w:vMerge w:val="restart"/>
                  <w:tcBorders>
                    <w:bottom w:val="nil"/>
                  </w:tcBorders>
                  <w:vAlign w:val="center"/>
                </w:tcPr>
                <w:p w14:paraId="08DCD1AF">
                  <w:pPr>
                    <w:widowControl/>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生活垃圾收集措施</w:t>
                  </w:r>
                </w:p>
              </w:tc>
              <w:tc>
                <w:tcPr>
                  <w:tcW w:w="1080" w:type="dxa"/>
                  <w:vAlign w:val="center"/>
                </w:tcPr>
                <w:p w14:paraId="652EF67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餐厨废弃物</w:t>
                  </w:r>
                </w:p>
              </w:tc>
              <w:tc>
                <w:tcPr>
                  <w:tcW w:w="915" w:type="dxa"/>
                  <w:vAlign w:val="center"/>
                </w:tcPr>
                <w:p w14:paraId="614972C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val="en-US" w:eastAsia="zh-CN"/>
                    </w:rPr>
                    <w:t>SW</w:t>
                  </w:r>
                  <w:r>
                    <w:rPr>
                      <w:rFonts w:hint="eastAsia" w:ascii="Times New Roman" w:hAnsi="Times New Roman" w:eastAsia="宋体" w:cs="Times New Roman"/>
                      <w:b w:val="0"/>
                      <w:bCs/>
                      <w:color w:val="auto"/>
                      <w:sz w:val="21"/>
                      <w:szCs w:val="21"/>
                      <w:highlight w:val="none"/>
                      <w:lang w:val="en-US" w:eastAsia="zh-CN"/>
                    </w:rPr>
                    <w:t>61</w:t>
                  </w:r>
                </w:p>
              </w:tc>
              <w:tc>
                <w:tcPr>
                  <w:tcW w:w="1230" w:type="dxa"/>
                  <w:vAlign w:val="center"/>
                </w:tcPr>
                <w:p w14:paraId="32522FC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val="en-US" w:eastAsia="zh-CN"/>
                    </w:rPr>
                    <w:t>900-00</w:t>
                  </w:r>
                  <w:r>
                    <w:rPr>
                      <w:rFonts w:hint="eastAsia"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-S</w:t>
                  </w:r>
                  <w:r>
                    <w:rPr>
                      <w:rFonts w:hint="eastAsia" w:ascii="Times New Roman" w:hAnsi="Times New Roman" w:eastAsia="宋体" w:cs="Times New Roman"/>
                      <w:b w:val="0"/>
                      <w:bCs/>
                      <w:color w:val="auto"/>
                      <w:sz w:val="21"/>
                      <w:szCs w:val="21"/>
                      <w:highlight w:val="none"/>
                      <w:lang w:val="en-US" w:eastAsia="zh-CN"/>
                    </w:rPr>
                    <w:t>61</w:t>
                  </w:r>
                </w:p>
              </w:tc>
              <w:tc>
                <w:tcPr>
                  <w:tcW w:w="1005" w:type="dxa"/>
                  <w:vMerge w:val="restart"/>
                  <w:tcBorders>
                    <w:bottom w:val="nil"/>
                  </w:tcBorders>
                  <w:vAlign w:val="center"/>
                </w:tcPr>
                <w:p w14:paraId="05C72E0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厂区</w:t>
                  </w:r>
                </w:p>
              </w:tc>
              <w:tc>
                <w:tcPr>
                  <w:tcW w:w="990" w:type="dxa"/>
                  <w:vMerge w:val="restart"/>
                  <w:tcBorders>
                    <w:bottom w:val="nil"/>
                  </w:tcBorders>
                  <w:vAlign w:val="center"/>
                </w:tcPr>
                <w:p w14:paraId="3018ED1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55" w:type="dxa"/>
                  <w:tcBorders>
                    <w:right w:val="single" w:color="auto" w:sz="4" w:space="0"/>
                  </w:tcBorders>
                  <w:vAlign w:val="center"/>
                </w:tcPr>
                <w:p w14:paraId="691000C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48</w:t>
                  </w:r>
                </w:p>
              </w:tc>
              <w:tc>
                <w:tcPr>
                  <w:tcW w:w="1200" w:type="dxa"/>
                  <w:tcBorders>
                    <w:left w:val="single" w:color="auto" w:sz="4" w:space="0"/>
                    <w:right w:val="single" w:color="auto" w:sz="4" w:space="0"/>
                  </w:tcBorders>
                  <w:vAlign w:val="center"/>
                </w:tcPr>
                <w:p w14:paraId="3415CDD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6083C817">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101834B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48</w:t>
                  </w:r>
                </w:p>
              </w:tc>
              <w:tc>
                <w:tcPr>
                  <w:tcW w:w="1080" w:type="dxa"/>
                  <w:tcBorders>
                    <w:left w:val="single" w:color="auto" w:sz="4" w:space="0"/>
                  </w:tcBorders>
                  <w:vAlign w:val="center"/>
                </w:tcPr>
                <w:p w14:paraId="38CC2A91">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restart"/>
                  <w:tcBorders>
                    <w:top w:val="single" w:color="auto" w:sz="4" w:space="0"/>
                    <w:right w:val="nil"/>
                  </w:tcBorders>
                  <w:vAlign w:val="center"/>
                </w:tcPr>
                <w:p w14:paraId="7496706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由专业单位处置</w:t>
                  </w:r>
                </w:p>
              </w:tc>
            </w:tr>
            <w:tr w14:paraId="70168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9" w:type="dxa"/>
                  <w:tcBorders>
                    <w:left w:val="nil"/>
                  </w:tcBorders>
                  <w:vAlign w:val="center"/>
                </w:tcPr>
                <w:p w14:paraId="30019F83">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23</w:t>
                  </w:r>
                </w:p>
              </w:tc>
              <w:tc>
                <w:tcPr>
                  <w:tcW w:w="468" w:type="dxa"/>
                  <w:vMerge w:val="continue"/>
                  <w:tcBorders>
                    <w:top w:val="nil"/>
                    <w:bottom w:val="nil"/>
                  </w:tcBorders>
                  <w:vAlign w:val="center"/>
                </w:tcPr>
                <w:p w14:paraId="7FA30804">
                  <w:pPr>
                    <w:widowControl/>
                    <w:jc w:val="center"/>
                    <w:rPr>
                      <w:rFonts w:hint="default" w:ascii="Times New Roman" w:hAnsi="Times New Roman" w:eastAsia="宋体" w:cs="Times New Roman"/>
                      <w:b w:val="0"/>
                      <w:bCs/>
                      <w:color w:val="auto"/>
                      <w:sz w:val="21"/>
                      <w:szCs w:val="21"/>
                      <w:highlight w:val="none"/>
                    </w:rPr>
                  </w:pPr>
                </w:p>
              </w:tc>
              <w:tc>
                <w:tcPr>
                  <w:tcW w:w="1080" w:type="dxa"/>
                  <w:vAlign w:val="center"/>
                </w:tcPr>
                <w:p w14:paraId="572F37A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废动植物油</w:t>
                  </w:r>
                </w:p>
              </w:tc>
              <w:tc>
                <w:tcPr>
                  <w:tcW w:w="915" w:type="dxa"/>
                  <w:vAlign w:val="center"/>
                </w:tcPr>
                <w:p w14:paraId="38159A2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SW</w:t>
                  </w:r>
                  <w:r>
                    <w:rPr>
                      <w:rFonts w:hint="eastAsia" w:ascii="Times New Roman" w:hAnsi="Times New Roman" w:eastAsia="宋体" w:cs="Times New Roman"/>
                      <w:b w:val="0"/>
                      <w:bCs/>
                      <w:color w:val="auto"/>
                      <w:sz w:val="21"/>
                      <w:szCs w:val="21"/>
                      <w:highlight w:val="none"/>
                      <w:lang w:val="en-US" w:eastAsia="zh-CN"/>
                    </w:rPr>
                    <w:t>61</w:t>
                  </w:r>
                </w:p>
              </w:tc>
              <w:tc>
                <w:tcPr>
                  <w:tcW w:w="1230" w:type="dxa"/>
                  <w:vAlign w:val="center"/>
                </w:tcPr>
                <w:p w14:paraId="51963FC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900-00</w:t>
                  </w:r>
                  <w:r>
                    <w:rPr>
                      <w:rFonts w:hint="eastAsia"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-S</w:t>
                  </w:r>
                  <w:r>
                    <w:rPr>
                      <w:rFonts w:hint="eastAsia" w:ascii="Times New Roman" w:hAnsi="Times New Roman" w:eastAsia="宋体" w:cs="Times New Roman"/>
                      <w:b w:val="0"/>
                      <w:bCs/>
                      <w:color w:val="auto"/>
                      <w:sz w:val="21"/>
                      <w:szCs w:val="21"/>
                      <w:highlight w:val="none"/>
                      <w:lang w:val="en-US" w:eastAsia="zh-CN"/>
                    </w:rPr>
                    <w:t>61</w:t>
                  </w:r>
                </w:p>
              </w:tc>
              <w:tc>
                <w:tcPr>
                  <w:tcW w:w="1005" w:type="dxa"/>
                  <w:vMerge w:val="continue"/>
                  <w:tcBorders>
                    <w:top w:val="nil"/>
                    <w:bottom w:val="nil"/>
                  </w:tcBorders>
                  <w:vAlign w:val="center"/>
                </w:tcPr>
                <w:p w14:paraId="0178F53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tcBorders>
                    <w:top w:val="nil"/>
                    <w:bottom w:val="nil"/>
                  </w:tcBorders>
                  <w:vAlign w:val="center"/>
                </w:tcPr>
                <w:p w14:paraId="3486170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right w:val="single" w:color="auto" w:sz="4" w:space="0"/>
                  </w:tcBorders>
                  <w:vAlign w:val="center"/>
                </w:tcPr>
                <w:p w14:paraId="4566376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1.548</w:t>
                  </w:r>
                </w:p>
              </w:tc>
              <w:tc>
                <w:tcPr>
                  <w:tcW w:w="1200" w:type="dxa"/>
                  <w:tcBorders>
                    <w:left w:val="single" w:color="auto" w:sz="4" w:space="0"/>
                    <w:right w:val="single" w:color="auto" w:sz="4" w:space="0"/>
                  </w:tcBorders>
                  <w:vAlign w:val="center"/>
                </w:tcPr>
                <w:p w14:paraId="01C5FD7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right w:val="single" w:color="auto" w:sz="4" w:space="0"/>
                  </w:tcBorders>
                  <w:vAlign w:val="center"/>
                </w:tcPr>
                <w:p w14:paraId="73AA79A3">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right w:val="single" w:color="auto" w:sz="4" w:space="0"/>
                  </w:tcBorders>
                  <w:vAlign w:val="center"/>
                </w:tcPr>
                <w:p w14:paraId="0BBCB07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1.548</w:t>
                  </w:r>
                </w:p>
              </w:tc>
              <w:tc>
                <w:tcPr>
                  <w:tcW w:w="1080" w:type="dxa"/>
                  <w:tcBorders>
                    <w:left w:val="single" w:color="auto" w:sz="4" w:space="0"/>
                  </w:tcBorders>
                  <w:vAlign w:val="center"/>
                </w:tcPr>
                <w:p w14:paraId="27A04F02">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right w:val="nil"/>
                  </w:tcBorders>
                  <w:vAlign w:val="center"/>
                </w:tcPr>
                <w:p w14:paraId="5BB0809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auto"/>
                      <w:sz w:val="21"/>
                      <w:szCs w:val="22"/>
                      <w:highlight w:val="none"/>
                    </w:rPr>
                  </w:pPr>
                </w:p>
              </w:tc>
            </w:tr>
            <w:tr w14:paraId="72B98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249" w:type="dxa"/>
                  <w:tcBorders>
                    <w:left w:val="nil"/>
                    <w:bottom w:val="single" w:color="000000" w:sz="12" w:space="0"/>
                  </w:tcBorders>
                  <w:vAlign w:val="center"/>
                </w:tcPr>
                <w:p w14:paraId="27838702">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24</w:t>
                  </w:r>
                </w:p>
              </w:tc>
              <w:tc>
                <w:tcPr>
                  <w:tcW w:w="468" w:type="dxa"/>
                  <w:vMerge w:val="continue"/>
                  <w:tcBorders>
                    <w:top w:val="nil"/>
                    <w:bottom w:val="single" w:color="000000" w:sz="12" w:space="0"/>
                  </w:tcBorders>
                  <w:vAlign w:val="center"/>
                </w:tcPr>
                <w:p w14:paraId="4EE26C28">
                  <w:pPr>
                    <w:widowControl/>
                    <w:jc w:val="center"/>
                    <w:rPr>
                      <w:rFonts w:hint="default" w:ascii="Times New Roman" w:hAnsi="Times New Roman" w:eastAsia="宋体" w:cs="Times New Roman"/>
                      <w:b w:val="0"/>
                      <w:bCs/>
                      <w:color w:val="auto"/>
                      <w:sz w:val="21"/>
                      <w:szCs w:val="21"/>
                      <w:highlight w:val="none"/>
                    </w:rPr>
                  </w:pPr>
                </w:p>
              </w:tc>
              <w:tc>
                <w:tcPr>
                  <w:tcW w:w="1080" w:type="dxa"/>
                  <w:tcBorders>
                    <w:bottom w:val="single" w:color="000000" w:sz="12" w:space="0"/>
                  </w:tcBorders>
                  <w:vAlign w:val="center"/>
                </w:tcPr>
                <w:p w14:paraId="19B1AE6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w:t>
                  </w:r>
                </w:p>
              </w:tc>
              <w:tc>
                <w:tcPr>
                  <w:tcW w:w="915" w:type="dxa"/>
                  <w:tcBorders>
                    <w:bottom w:val="single" w:color="000000" w:sz="12" w:space="0"/>
                  </w:tcBorders>
                  <w:vAlign w:val="center"/>
                </w:tcPr>
                <w:p w14:paraId="0646011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SW64</w:t>
                  </w:r>
                </w:p>
              </w:tc>
              <w:tc>
                <w:tcPr>
                  <w:tcW w:w="1230" w:type="dxa"/>
                  <w:tcBorders>
                    <w:bottom w:val="single" w:color="000000" w:sz="12" w:space="0"/>
                  </w:tcBorders>
                  <w:vAlign w:val="center"/>
                </w:tcPr>
                <w:p w14:paraId="144059B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900-</w:t>
                  </w:r>
                  <w:r>
                    <w:rPr>
                      <w:rFonts w:hint="eastAsia" w:ascii="Times New Roman" w:hAnsi="Times New Roman" w:eastAsia="宋体" w:cs="Times New Roman"/>
                      <w:b w:val="0"/>
                      <w:bCs/>
                      <w:color w:val="auto"/>
                      <w:sz w:val="21"/>
                      <w:szCs w:val="21"/>
                      <w:highlight w:val="none"/>
                      <w:lang w:val="en-US" w:eastAsia="zh-CN"/>
                    </w:rPr>
                    <w:t>099</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S64</w:t>
                  </w:r>
                </w:p>
              </w:tc>
              <w:tc>
                <w:tcPr>
                  <w:tcW w:w="1005" w:type="dxa"/>
                  <w:vMerge w:val="continue"/>
                  <w:tcBorders>
                    <w:top w:val="nil"/>
                    <w:bottom w:val="single" w:color="000000" w:sz="12" w:space="0"/>
                  </w:tcBorders>
                  <w:vAlign w:val="center"/>
                </w:tcPr>
                <w:p w14:paraId="30FF041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990" w:type="dxa"/>
                  <w:vMerge w:val="continue"/>
                  <w:tcBorders>
                    <w:top w:val="nil"/>
                    <w:bottom w:val="single" w:color="000000" w:sz="12" w:space="0"/>
                  </w:tcBorders>
                  <w:vAlign w:val="center"/>
                </w:tcPr>
                <w:p w14:paraId="065EE77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rPr>
                  </w:pPr>
                </w:p>
              </w:tc>
              <w:tc>
                <w:tcPr>
                  <w:tcW w:w="1155" w:type="dxa"/>
                  <w:tcBorders>
                    <w:bottom w:val="single" w:color="000000" w:sz="12" w:space="0"/>
                    <w:right w:val="single" w:color="auto" w:sz="4" w:space="0"/>
                  </w:tcBorders>
                  <w:vAlign w:val="center"/>
                </w:tcPr>
                <w:p w14:paraId="0939C78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12</w:t>
                  </w:r>
                </w:p>
              </w:tc>
              <w:tc>
                <w:tcPr>
                  <w:tcW w:w="1200" w:type="dxa"/>
                  <w:tcBorders>
                    <w:left w:val="single" w:color="auto" w:sz="4" w:space="0"/>
                    <w:bottom w:val="single" w:color="000000" w:sz="12" w:space="0"/>
                    <w:right w:val="single" w:color="auto" w:sz="4" w:space="0"/>
                  </w:tcBorders>
                  <w:vAlign w:val="center"/>
                </w:tcPr>
                <w:p w14:paraId="02FC4FA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200" w:type="dxa"/>
                  <w:tcBorders>
                    <w:left w:val="single" w:color="auto" w:sz="4" w:space="0"/>
                    <w:bottom w:val="single" w:color="000000" w:sz="12" w:space="0"/>
                    <w:right w:val="single" w:color="auto" w:sz="4" w:space="0"/>
                  </w:tcBorders>
                  <w:vAlign w:val="center"/>
                </w:tcPr>
                <w:p w14:paraId="12151B37">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1020" w:type="dxa"/>
                  <w:tcBorders>
                    <w:left w:val="single" w:color="auto" w:sz="4" w:space="0"/>
                    <w:bottom w:val="single" w:color="000000" w:sz="12" w:space="0"/>
                    <w:right w:val="single" w:color="auto" w:sz="4" w:space="0"/>
                  </w:tcBorders>
                  <w:vAlign w:val="center"/>
                </w:tcPr>
                <w:p w14:paraId="41CE867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12</w:t>
                  </w:r>
                </w:p>
              </w:tc>
              <w:tc>
                <w:tcPr>
                  <w:tcW w:w="1080" w:type="dxa"/>
                  <w:tcBorders>
                    <w:left w:val="single" w:color="auto" w:sz="4" w:space="0"/>
                    <w:bottom w:val="single" w:color="000000" w:sz="12" w:space="0"/>
                  </w:tcBorders>
                  <w:vAlign w:val="center"/>
                </w:tcPr>
                <w:p w14:paraId="2ECC192E">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p>
              </w:tc>
              <w:tc>
                <w:tcPr>
                  <w:tcW w:w="2280" w:type="dxa"/>
                  <w:vMerge w:val="continue"/>
                  <w:tcBorders>
                    <w:bottom w:val="single" w:color="auto" w:sz="4" w:space="0"/>
                    <w:right w:val="nil"/>
                  </w:tcBorders>
                  <w:vAlign w:val="center"/>
                </w:tcPr>
                <w:p w14:paraId="013DDEB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val="0"/>
                      <w:bCs/>
                      <w:color w:val="auto"/>
                      <w:sz w:val="21"/>
                      <w:szCs w:val="22"/>
                      <w:highlight w:val="none"/>
                      <w:lang w:val="en-US" w:eastAsia="zh-CN"/>
                    </w:rPr>
                  </w:pPr>
                </w:p>
              </w:tc>
            </w:tr>
          </w:tbl>
          <w:p w14:paraId="6C8C1EA1">
            <w:pPr>
              <w:pStyle w:val="12"/>
              <w:keepNext w:val="0"/>
              <w:keepLines w:val="0"/>
              <w:pageBreakBefore w:val="0"/>
              <w:widowControl w:val="0"/>
              <w:numPr>
                <w:ilvl w:val="0"/>
                <w:numId w:val="0"/>
              </w:numPr>
              <w:suppressLineNumbers w:val="0"/>
              <w:tabs>
                <w:tab w:val="clear" w:pos="204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highlight w:val="none"/>
                <w:vertAlign w:val="baseline"/>
              </w:rPr>
            </w:pPr>
            <w:r>
              <w:rPr>
                <w:rFonts w:hint="default" w:ascii="Times New Roman" w:hAnsi="Times New Roman" w:eastAsia="宋体" w:cs="Times New Roman"/>
                <w:color w:val="auto"/>
                <w:sz w:val="24"/>
                <w:szCs w:val="24"/>
                <w:highlight w:val="none"/>
              </w:rPr>
              <w:t>由上表可见，项目建成后全厂</w:t>
            </w:r>
            <w:r>
              <w:rPr>
                <w:rFonts w:hint="eastAsia" w:ascii="Times New Roman" w:hAnsi="Times New Roman" w:eastAsia="宋体" w:cs="Times New Roman"/>
                <w:color w:val="auto"/>
                <w:sz w:val="24"/>
                <w:szCs w:val="24"/>
                <w:highlight w:val="none"/>
                <w:lang w:eastAsia="zh-CN"/>
              </w:rPr>
              <w:t>固体废物</w:t>
            </w:r>
            <w:r>
              <w:rPr>
                <w:rFonts w:hint="default" w:ascii="Times New Roman" w:hAnsi="Times New Roman" w:eastAsia="宋体" w:cs="Times New Roman"/>
                <w:color w:val="auto"/>
                <w:sz w:val="24"/>
                <w:szCs w:val="24"/>
                <w:highlight w:val="none"/>
              </w:rPr>
              <w:t>按其性质分类分区收集和暂存，并均能得到有效利用或妥善处置。在严格管理下，本项目的固体废物对周围环境不会产生二次污染。</w:t>
            </w:r>
          </w:p>
        </w:tc>
      </w:tr>
    </w:tbl>
    <w:p w14:paraId="7B93AF33">
      <w:pPr>
        <w:pStyle w:val="12"/>
        <w:numPr>
          <w:ilvl w:val="0"/>
          <w:numId w:val="0"/>
        </w:numPr>
        <w:tabs>
          <w:tab w:val="clear" w:pos="2040"/>
        </w:tabs>
        <w:rPr>
          <w:rFonts w:ascii="Times New Roman" w:hAnsi="Times New Roman" w:eastAsia="宋体"/>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9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8552"/>
      </w:tblGrid>
      <w:tr w14:paraId="59B5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3" w:hRule="atLeast"/>
        </w:trPr>
        <w:tc>
          <w:tcPr>
            <w:tcW w:w="527" w:type="dxa"/>
            <w:vAlign w:val="center"/>
          </w:tcPr>
          <w:p w14:paraId="1E0DDDB8">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运营</w:t>
            </w:r>
          </w:p>
          <w:p w14:paraId="0724FEE8">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期环</w:t>
            </w:r>
          </w:p>
          <w:p w14:paraId="6C814568">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境影</w:t>
            </w:r>
          </w:p>
          <w:p w14:paraId="1881E50C">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响和</w:t>
            </w:r>
          </w:p>
          <w:p w14:paraId="13491517">
            <w:pPr>
              <w:pStyle w:val="12"/>
              <w:keepNext w:val="0"/>
              <w:keepLines w:val="0"/>
              <w:numPr>
                <w:ilvl w:val="0"/>
                <w:numId w:val="0"/>
              </w:numPr>
              <w:suppressLineNumbers w:val="0"/>
              <w:tabs>
                <w:tab w:val="clear" w:pos="2040"/>
              </w:tabs>
              <w:spacing w:before="0" w:beforeAutospacing="0" w:after="0" w:afterAutospacing="0"/>
              <w:ind w:left="0" w:right="0"/>
              <w:jc w:val="center"/>
              <w:rPr>
                <w:rFonts w:hint="default" w:ascii="Times New Roman" w:hAnsi="Times New Roman" w:eastAsia="宋体"/>
                <w:color w:val="auto"/>
                <w:highlight w:val="none"/>
                <w:vertAlign w:val="baseline"/>
              </w:rPr>
            </w:pPr>
            <w:r>
              <w:rPr>
                <w:rFonts w:hint="default" w:ascii="Times New Roman" w:hAnsi="Times New Roman" w:eastAsia="宋体"/>
                <w:color w:val="auto"/>
                <w:highlight w:val="none"/>
                <w:vertAlign w:val="baseline"/>
              </w:rPr>
              <w:t>保护措施</w:t>
            </w:r>
          </w:p>
        </w:tc>
        <w:tc>
          <w:tcPr>
            <w:tcW w:w="8552" w:type="dxa"/>
          </w:tcPr>
          <w:p w14:paraId="166B83B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固体废物贮存场所合规性分析</w:t>
            </w:r>
          </w:p>
          <w:p w14:paraId="1C73E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①</w:t>
            </w:r>
            <w:r>
              <w:rPr>
                <w:rFonts w:hint="eastAsia" w:cs="Times New Roman"/>
                <w:b/>
                <w:bCs/>
                <w:color w:val="auto"/>
                <w:sz w:val="24"/>
                <w:highlight w:val="none"/>
                <w:lang w:val="en-US" w:eastAsia="zh-CN"/>
              </w:rPr>
              <w:t>固体废物</w:t>
            </w:r>
            <w:r>
              <w:rPr>
                <w:rFonts w:hint="eastAsia" w:ascii="Times New Roman" w:hAnsi="Times New Roman" w:eastAsia="宋体" w:cs="Times New Roman"/>
                <w:b/>
                <w:bCs/>
                <w:color w:val="auto"/>
                <w:sz w:val="24"/>
                <w:highlight w:val="none"/>
                <w:lang w:val="en-US" w:eastAsia="zh-CN"/>
              </w:rPr>
              <w:t>贮存场所建设相关要求</w:t>
            </w:r>
          </w:p>
          <w:p w14:paraId="5154174F">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本项目固体废物依托现有1个</w:t>
            </w:r>
            <w:r>
              <w:rPr>
                <w:rFonts w:hint="eastAsia" w:eastAsia="宋体" w:cs="Times New Roman"/>
                <w:color w:val="auto"/>
                <w:sz w:val="24"/>
                <w:highlight w:val="none"/>
                <w:lang w:val="en-US" w:eastAsia="zh-CN"/>
              </w:rPr>
              <w:t>50</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的</w:t>
            </w:r>
            <w:r>
              <w:rPr>
                <w:rFonts w:hint="eastAsia" w:cs="Times New Roman"/>
                <w:color w:val="auto"/>
                <w:sz w:val="24"/>
                <w:highlight w:val="none"/>
                <w:lang w:val="en-US" w:eastAsia="zh-CN"/>
              </w:rPr>
              <w:t>一般固体废物</w:t>
            </w:r>
            <w:r>
              <w:rPr>
                <w:rFonts w:hint="eastAsia" w:ascii="Times New Roman" w:hAnsi="Times New Roman" w:eastAsia="宋体" w:cs="Times New Roman"/>
                <w:color w:val="auto"/>
                <w:sz w:val="24"/>
                <w:highlight w:val="none"/>
                <w:lang w:val="en-US" w:eastAsia="zh-CN"/>
              </w:rPr>
              <w:t>贮存场所</w:t>
            </w:r>
            <w:r>
              <w:rPr>
                <w:rFonts w:hint="eastAsia"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危险废物依托现有1个100m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的危险废物贮存场所。</w:t>
            </w:r>
          </w:p>
          <w:p w14:paraId="38C28678">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val="en-US" w:eastAsia="zh-CN"/>
              </w:rPr>
              <w:t>建成后全厂一般</w:t>
            </w:r>
            <w:r>
              <w:rPr>
                <w:rFonts w:hint="default" w:ascii="Times New Roman" w:hAnsi="Times New Roman" w:eastAsia="宋体" w:cs="Times New Roman"/>
                <w:color w:val="auto"/>
                <w:sz w:val="24"/>
                <w:highlight w:val="none"/>
                <w:lang w:val="en-US" w:eastAsia="zh-CN"/>
              </w:rPr>
              <w:t>固体废物贮存场所</w:t>
            </w:r>
            <w:r>
              <w:rPr>
                <w:rFonts w:hint="default" w:ascii="Times New Roman" w:hAnsi="Times New Roman" w:eastAsia="宋体" w:cs="Times New Roman"/>
                <w:color w:val="auto"/>
                <w:sz w:val="24"/>
                <w:highlight w:val="none"/>
              </w:rPr>
              <w:t>应严格按照《一般工业固体废物贮存和填埋污染控制标准》（GB18599-2020）、《省生态环境厅关于进一步完善一般工业固体废物环境管理的通知》（苏环办</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2023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327号）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省生态环境厅关于印发《江苏省固体废物全过程环境监管工作意见》的通知（苏环办[2024]16号）等文件</w:t>
            </w:r>
            <w:r>
              <w:rPr>
                <w:rFonts w:hint="default" w:ascii="Times New Roman" w:hAnsi="Times New Roman" w:eastAsia="宋体" w:cs="Times New Roman"/>
                <w:color w:val="auto"/>
                <w:sz w:val="24"/>
                <w:highlight w:val="none"/>
              </w:rPr>
              <w:t>要求建设和维护使用。</w:t>
            </w:r>
            <w:r>
              <w:rPr>
                <w:rFonts w:hint="default" w:ascii="Times New Roman" w:hAnsi="Times New Roman" w:eastAsia="宋体" w:cs="Times New Roman"/>
                <w:color w:val="auto"/>
                <w:sz w:val="24"/>
                <w:highlight w:val="none"/>
                <w:lang w:val="en-US" w:eastAsia="zh-CN"/>
              </w:rPr>
              <w:t>主要要求如下：</w:t>
            </w:r>
          </w:p>
          <w:p w14:paraId="483FE02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val="en-US" w:eastAsia="zh-CN"/>
              </w:rPr>
              <w:t>一般工业固体废物产生单位要严格按照环评文件、排污许可等明确固体废物属性，做好不同属性固体废物分类管理。</w:t>
            </w:r>
          </w:p>
          <w:p w14:paraId="56816BEE">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lang w:val="en-US" w:eastAsia="zh-CN"/>
              </w:rPr>
              <w:t>一般工业固体废物产生、收集、贮存、利用处置单位应建设满足防扬散、防流失、防渗漏或者其他防止污染环境措施要求的贮存设施。</w:t>
            </w:r>
          </w:p>
          <w:p w14:paraId="102DFF24">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产生的危险废物应严格按照《危险废物贮存污染控制标准》（GB18597-2023）、省生态环境厅关于印发《江苏省固体废物全过程环境监管工作意见》的通知（苏环办[2024]16号）等文件要求建设和维护使用。主要要求如下：</w:t>
            </w:r>
          </w:p>
          <w:p w14:paraId="689C50DD">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贮存设施应根据危险废物的形态、物理化学性质、包装形式和污染物迁移途径，采取必要的防风、防晒、防漏、防渗以及其他环境污染防治措施，不应露天堆放危险废物。贮存设施应采取技术和管理措施防止无关人员进入。</w:t>
            </w:r>
          </w:p>
          <w:p w14:paraId="445E1EFD">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危险废物的类别、数量、形态、物理化学性质和污染防治等要求设置必要的贮存分区，避免不相容的危险废物接触、混合。不同贮存分区之间采取隔离措施。隔离措施可根据危险废物特性采用过道、隔板或隔墙等方式。</w:t>
            </w:r>
          </w:p>
          <w:p w14:paraId="7E4477C3">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贮存设施或贮存分区内地面、墙面裙角、堵截泄漏的围堰、接触危险废物的隔板和墙体等应采用坚固的材料建造，表面无裂缝。</w:t>
            </w:r>
          </w:p>
          <w:p w14:paraId="012E5142">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贮存设施地面与裙角应采取表面防渗措施，表面防渗材料应与所接触的物料或污染物相容，可采用抗渗混凝土、高密度聚乙烯膜、钠基膨润土防水毯或其他防渗性能等效的材料。贮存的危险废物直接接触地面的，还应进行基础防渗，防渗层为至少1m后黏土层（渗透系数不大于10</w:t>
            </w:r>
            <w:r>
              <w:rPr>
                <w:rFonts w:hint="eastAsia" w:ascii="Times New Roman" w:hAnsi="Times New Roman" w:eastAsia="宋体" w:cs="Times New Roman"/>
                <w:color w:val="auto"/>
                <w:sz w:val="24"/>
                <w:highlight w:val="none"/>
                <w:vertAlign w:val="superscript"/>
                <w:lang w:val="en-US" w:eastAsia="zh-CN"/>
              </w:rPr>
              <w:t>-7</w:t>
            </w:r>
            <w:r>
              <w:rPr>
                <w:rFonts w:hint="eastAsia" w:ascii="Times New Roman" w:hAnsi="Times New Roman" w:eastAsia="宋体" w:cs="Times New Roman"/>
                <w:color w:val="auto"/>
                <w:sz w:val="24"/>
                <w:highlight w:val="none"/>
                <w:lang w:val="en-US" w:eastAsia="zh-CN"/>
              </w:rPr>
              <w:t>cm/s），或至少2mm厚高密度聚乙烯膜等人工防渗材料（渗透系数不大于10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lang w:val="en-US" w:eastAsia="zh-CN"/>
              </w:rPr>
              <w:t>cm/s），或其他防渗性能等效的材料。</w:t>
            </w:r>
          </w:p>
          <w:p w14:paraId="45F082C4">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同一贮存设施宜采用相同的防渗、防腐工艺（包括防渗、防腐结构或材料），防渗、防腐材料应覆盖所有可能与废物及其渗滤液、泄漏液等接触的构筑物表面；采用不同防渗、防腐工艺应分别建设贮存分区。</w:t>
            </w:r>
          </w:p>
          <w:p w14:paraId="6C68146F">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②</w:t>
            </w:r>
            <w:r>
              <w:rPr>
                <w:rFonts w:hint="eastAsia" w:cs="Times New Roman"/>
                <w:b/>
                <w:bCs/>
                <w:color w:val="auto"/>
                <w:sz w:val="24"/>
                <w:szCs w:val="24"/>
                <w:highlight w:val="none"/>
                <w:lang w:eastAsia="zh-CN"/>
              </w:rPr>
              <w:t>固体废物</w:t>
            </w:r>
            <w:r>
              <w:rPr>
                <w:rFonts w:hint="eastAsia" w:ascii="Times New Roman" w:hAnsi="Times New Roman" w:eastAsia="宋体" w:cs="Times New Roman"/>
                <w:b/>
                <w:bCs/>
                <w:color w:val="auto"/>
                <w:sz w:val="24"/>
                <w:szCs w:val="24"/>
                <w:highlight w:val="none"/>
                <w:lang w:eastAsia="zh-CN"/>
              </w:rPr>
              <w:t>贮存场所合理性分析</w:t>
            </w:r>
          </w:p>
          <w:p w14:paraId="0195FDA5">
            <w:pPr>
              <w:keepNext w:val="0"/>
              <w:keepLines w:val="0"/>
              <w:pageBreakBefore w:val="0"/>
              <w:widowControl w:val="0"/>
              <w:suppressLineNumbers w:val="0"/>
              <w:kinsoku/>
              <w:wordWrap/>
              <w:overflowPunct/>
              <w:topLinePunct/>
              <w:autoSpaceDE w:val="0"/>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建成后全厂危险废物</w:t>
            </w:r>
            <w:r>
              <w:rPr>
                <w:rFonts w:hint="default" w:ascii="Times New Roman" w:hAnsi="Times New Roman" w:eastAsia="宋体" w:cs="Times New Roman"/>
                <w:color w:val="auto"/>
                <w:sz w:val="24"/>
                <w:highlight w:val="none"/>
              </w:rPr>
              <w:t>贮存场所（设施）基本情况见下表：</w:t>
            </w:r>
          </w:p>
          <w:p w14:paraId="39623685">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25  </w:t>
            </w:r>
            <w:r>
              <w:rPr>
                <w:rFonts w:hint="default" w:ascii="Times New Roman" w:hAnsi="Times New Roman" w:eastAsia="宋体" w:cs="Times New Roman"/>
                <w:b/>
                <w:bCs/>
                <w:color w:val="auto"/>
                <w:kern w:val="2"/>
                <w:sz w:val="24"/>
                <w:szCs w:val="20"/>
                <w:highlight w:val="none"/>
                <w:lang w:val="en-US" w:eastAsia="zh-CN" w:bidi="ar-SA"/>
              </w:rPr>
              <w:t>本项目建成后全厂危险废物贮存场所基本情况样表</w:t>
            </w:r>
          </w:p>
          <w:tbl>
            <w:tblPr>
              <w:tblStyle w:val="24"/>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22"/>
              <w:gridCol w:w="1319"/>
              <w:gridCol w:w="1172"/>
              <w:gridCol w:w="776"/>
              <w:gridCol w:w="1196"/>
              <w:gridCol w:w="427"/>
              <w:gridCol w:w="763"/>
              <w:gridCol w:w="431"/>
              <w:gridCol w:w="763"/>
              <w:gridCol w:w="527"/>
            </w:tblGrid>
            <w:tr w14:paraId="3E5C9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7" w:type="pct"/>
                  <w:tcBorders>
                    <w:tl2br w:val="nil"/>
                    <w:tr2bl w:val="nil"/>
                  </w:tcBorders>
                  <w:vAlign w:val="center"/>
                </w:tcPr>
                <w:p w14:paraId="054D4E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序号</w:t>
                  </w:r>
                </w:p>
              </w:tc>
              <w:tc>
                <w:tcPr>
                  <w:tcW w:w="392" w:type="pct"/>
                  <w:tcBorders>
                    <w:tl2br w:val="nil"/>
                    <w:tr2bl w:val="nil"/>
                  </w:tcBorders>
                  <w:vAlign w:val="center"/>
                </w:tcPr>
                <w:p w14:paraId="6284FF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贮存场所名称</w:t>
                  </w:r>
                </w:p>
              </w:tc>
              <w:tc>
                <w:tcPr>
                  <w:tcW w:w="701" w:type="pct"/>
                  <w:tcBorders>
                    <w:tl2br w:val="nil"/>
                    <w:tr2bl w:val="nil"/>
                  </w:tcBorders>
                  <w:vAlign w:val="center"/>
                </w:tcPr>
                <w:p w14:paraId="52AE18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地理坐标</w:t>
                  </w:r>
                </w:p>
              </w:tc>
              <w:tc>
                <w:tcPr>
                  <w:tcW w:w="782" w:type="pct"/>
                  <w:tcBorders>
                    <w:tl2br w:val="nil"/>
                    <w:tr2bl w:val="nil"/>
                  </w:tcBorders>
                  <w:vAlign w:val="center"/>
                </w:tcPr>
                <w:p w14:paraId="46BF4C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危险废物名称</w:t>
                  </w:r>
                </w:p>
              </w:tc>
              <w:tc>
                <w:tcPr>
                  <w:tcW w:w="410" w:type="pct"/>
                  <w:tcBorders>
                    <w:tl2br w:val="nil"/>
                    <w:tr2bl w:val="nil"/>
                  </w:tcBorders>
                  <w:vAlign w:val="center"/>
                </w:tcPr>
                <w:p w14:paraId="31882C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废物类别</w:t>
                  </w:r>
                </w:p>
              </w:tc>
              <w:tc>
                <w:tcPr>
                  <w:tcW w:w="660" w:type="pct"/>
                  <w:tcBorders>
                    <w:tl2br w:val="nil"/>
                    <w:tr2bl w:val="nil"/>
                  </w:tcBorders>
                  <w:vAlign w:val="center"/>
                </w:tcPr>
                <w:p w14:paraId="5863A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废物代码</w:t>
                  </w:r>
                </w:p>
              </w:tc>
              <w:tc>
                <w:tcPr>
                  <w:tcW w:w="308" w:type="pct"/>
                  <w:tcBorders>
                    <w:tl2br w:val="nil"/>
                    <w:tr2bl w:val="nil"/>
                  </w:tcBorders>
                  <w:vAlign w:val="center"/>
                </w:tcPr>
                <w:p w14:paraId="7F63C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位置</w:t>
                  </w:r>
                </w:p>
              </w:tc>
              <w:tc>
                <w:tcPr>
                  <w:tcW w:w="387" w:type="pct"/>
                  <w:tcBorders>
                    <w:tl2br w:val="nil"/>
                    <w:tr2bl w:val="nil"/>
                  </w:tcBorders>
                  <w:vAlign w:val="center"/>
                </w:tcPr>
                <w:p w14:paraId="155A64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占地面积</w:t>
                  </w:r>
                </w:p>
              </w:tc>
              <w:tc>
                <w:tcPr>
                  <w:tcW w:w="364" w:type="pct"/>
                  <w:tcBorders>
                    <w:tl2br w:val="nil"/>
                    <w:tr2bl w:val="nil"/>
                  </w:tcBorders>
                  <w:vAlign w:val="center"/>
                </w:tcPr>
                <w:p w14:paraId="212398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贮存方式</w:t>
                  </w:r>
                </w:p>
              </w:tc>
              <w:tc>
                <w:tcPr>
                  <w:tcW w:w="398" w:type="pct"/>
                  <w:tcBorders>
                    <w:tl2br w:val="nil"/>
                    <w:tr2bl w:val="nil"/>
                  </w:tcBorders>
                  <w:vAlign w:val="center"/>
                </w:tcPr>
                <w:p w14:paraId="4C844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贮存能力</w:t>
                  </w:r>
                </w:p>
              </w:tc>
              <w:tc>
                <w:tcPr>
                  <w:tcW w:w="395" w:type="pct"/>
                  <w:tcBorders>
                    <w:tl2br w:val="nil"/>
                    <w:tr2bl w:val="nil"/>
                  </w:tcBorders>
                  <w:vAlign w:val="center"/>
                </w:tcPr>
                <w:p w14:paraId="550A2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bCs/>
                      <w:color w:val="auto"/>
                      <w:sz w:val="21"/>
                      <w:szCs w:val="20"/>
                      <w:highlight w:val="none"/>
                    </w:rPr>
                  </w:pPr>
                  <w:r>
                    <w:rPr>
                      <w:rFonts w:hint="default" w:ascii="Times New Roman" w:hAnsi="Times New Roman" w:eastAsia="宋体" w:cs="Times New Roman"/>
                      <w:b/>
                      <w:bCs/>
                      <w:color w:val="auto"/>
                      <w:sz w:val="21"/>
                      <w:szCs w:val="20"/>
                      <w:highlight w:val="none"/>
                    </w:rPr>
                    <w:t>贮存周期</w:t>
                  </w:r>
                </w:p>
              </w:tc>
            </w:tr>
            <w:tr w14:paraId="2D4CF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333" w:type="dxa"/>
                  <w:tcBorders>
                    <w:tl2br w:val="nil"/>
                    <w:tr2bl w:val="nil"/>
                  </w:tcBorders>
                  <w:vAlign w:val="center"/>
                </w:tcPr>
                <w:p w14:paraId="29ED87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kern w:val="0"/>
                      <w:sz w:val="21"/>
                      <w:szCs w:val="20"/>
                      <w:highlight w:val="none"/>
                      <w:lang w:val="en-US" w:eastAsia="zh-CN"/>
                    </w:rPr>
                  </w:pPr>
                  <w:r>
                    <w:rPr>
                      <w:rFonts w:hint="eastAsia" w:cs="Times New Roman"/>
                      <w:color w:val="auto"/>
                      <w:kern w:val="0"/>
                      <w:sz w:val="21"/>
                      <w:szCs w:val="20"/>
                      <w:highlight w:val="none"/>
                      <w:lang w:val="en-US" w:eastAsia="zh-CN"/>
                    </w:rPr>
                    <w:t>1</w:t>
                  </w:r>
                </w:p>
              </w:tc>
              <w:tc>
                <w:tcPr>
                  <w:tcW w:w="392" w:type="pct"/>
                  <w:vMerge w:val="restart"/>
                  <w:tcBorders>
                    <w:tl2br w:val="nil"/>
                    <w:tr2bl w:val="nil"/>
                  </w:tcBorders>
                  <w:vAlign w:val="center"/>
                </w:tcPr>
                <w:p w14:paraId="6E8799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kern w:val="0"/>
                      <w:sz w:val="21"/>
                      <w:szCs w:val="20"/>
                      <w:highlight w:val="none"/>
                      <w:lang w:eastAsia="zh-CN"/>
                    </w:rPr>
                  </w:pPr>
                  <w:r>
                    <w:rPr>
                      <w:rFonts w:hint="eastAsia" w:cs="Times New Roman"/>
                      <w:color w:val="auto"/>
                      <w:kern w:val="0"/>
                      <w:sz w:val="21"/>
                      <w:szCs w:val="20"/>
                      <w:highlight w:val="none"/>
                      <w:lang w:eastAsia="zh-CN"/>
                    </w:rPr>
                    <w:t>危险废物</w:t>
                  </w:r>
                </w:p>
                <w:p w14:paraId="14AB84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rPr>
                  </w:pPr>
                  <w:r>
                    <w:rPr>
                      <w:rFonts w:hint="default" w:ascii="Times New Roman" w:hAnsi="Times New Roman" w:eastAsia="宋体" w:cs="Times New Roman"/>
                      <w:color w:val="auto"/>
                      <w:kern w:val="0"/>
                      <w:sz w:val="21"/>
                      <w:szCs w:val="20"/>
                      <w:highlight w:val="none"/>
                    </w:rPr>
                    <w:t>仓库</w:t>
                  </w:r>
                </w:p>
              </w:tc>
              <w:tc>
                <w:tcPr>
                  <w:tcW w:w="701" w:type="pct"/>
                  <w:vMerge w:val="restart"/>
                  <w:tcBorders>
                    <w:tl2br w:val="nil"/>
                    <w:tr2bl w:val="nil"/>
                  </w:tcBorders>
                  <w:vAlign w:val="center"/>
                </w:tcPr>
                <w:p w14:paraId="23D38D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sz w:val="21"/>
                      <w:szCs w:val="20"/>
                      <w:highlight w:val="none"/>
                    </w:rPr>
                    <w:t>120.3593</w:t>
                  </w:r>
                  <w:r>
                    <w:rPr>
                      <w:rFonts w:hint="default" w:ascii="Times New Roman" w:hAnsi="Times New Roman" w:eastAsia="宋体" w:cs="Times New Roman"/>
                      <w:color w:val="auto"/>
                      <w:sz w:val="21"/>
                      <w:szCs w:val="20"/>
                      <w:highlight w:val="none"/>
                      <w:lang w:val="en-US" w:eastAsia="zh-CN"/>
                    </w:rPr>
                    <w:t>7</w:t>
                  </w:r>
                  <w:r>
                    <w:rPr>
                      <w:rFonts w:hint="default" w:ascii="Times New Roman" w:hAnsi="Times New Roman" w:eastAsia="宋体" w:cs="Times New Roman"/>
                      <w:color w:val="auto"/>
                      <w:sz w:val="21"/>
                      <w:szCs w:val="20"/>
                      <w:highlight w:val="none"/>
                    </w:rPr>
                    <w:t>，</w:t>
                  </w:r>
                </w:p>
                <w:p w14:paraId="371B09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color w:val="auto"/>
                      <w:sz w:val="21"/>
                      <w:szCs w:val="20"/>
                      <w:highlight w:val="none"/>
                    </w:rPr>
                    <w:t>31.50517</w:t>
                  </w:r>
                  <w:r>
                    <w:rPr>
                      <w:rFonts w:hint="default" w:ascii="Times New Roman" w:hAnsi="Times New Roman" w:eastAsia="宋体" w:cs="Times New Roman"/>
                      <w:color w:val="auto"/>
                      <w:sz w:val="21"/>
                      <w:szCs w:val="20"/>
                      <w:highlight w:val="none"/>
                      <w:lang w:val="en-US" w:eastAsia="zh-CN"/>
                    </w:rPr>
                    <w:t>4</w:t>
                  </w:r>
                </w:p>
              </w:tc>
              <w:tc>
                <w:tcPr>
                  <w:tcW w:w="782" w:type="pct"/>
                  <w:tcBorders>
                    <w:tl2br w:val="nil"/>
                    <w:tr2bl w:val="nil"/>
                  </w:tcBorders>
                  <w:vAlign w:val="center"/>
                </w:tcPr>
                <w:p w14:paraId="226ADEB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废包装桶</w:t>
                  </w:r>
                </w:p>
              </w:tc>
              <w:tc>
                <w:tcPr>
                  <w:tcW w:w="410" w:type="pct"/>
                  <w:tcBorders>
                    <w:tl2br w:val="nil"/>
                    <w:tr2bl w:val="nil"/>
                  </w:tcBorders>
                  <w:vAlign w:val="center"/>
                </w:tcPr>
                <w:p w14:paraId="6EFE027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kern w:val="0"/>
                      <w:sz w:val="21"/>
                      <w:szCs w:val="21"/>
                      <w:highlight w:val="none"/>
                      <w:lang w:bidi="ar"/>
                    </w:rPr>
                    <w:t>HW</w:t>
                  </w:r>
                  <w:r>
                    <w:rPr>
                      <w:rFonts w:hint="eastAsia" w:ascii="Times New Roman" w:hAnsi="Times New Roman" w:eastAsia="宋体" w:cs="Times New Roman"/>
                      <w:color w:val="auto"/>
                      <w:kern w:val="0"/>
                      <w:sz w:val="21"/>
                      <w:szCs w:val="21"/>
                      <w:highlight w:val="none"/>
                      <w:lang w:val="en-US" w:eastAsia="zh-CN" w:bidi="ar"/>
                    </w:rPr>
                    <w:t>49</w:t>
                  </w:r>
                </w:p>
              </w:tc>
              <w:tc>
                <w:tcPr>
                  <w:tcW w:w="660" w:type="pct"/>
                  <w:tcBorders>
                    <w:tl2br w:val="nil"/>
                    <w:tr2bl w:val="nil"/>
                  </w:tcBorders>
                  <w:vAlign w:val="center"/>
                </w:tcPr>
                <w:p w14:paraId="555848F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bidi="ar"/>
                    </w:rPr>
                    <w:t>900-041-49</w:t>
                  </w:r>
                </w:p>
              </w:tc>
              <w:tc>
                <w:tcPr>
                  <w:tcW w:w="308" w:type="pct"/>
                  <w:vMerge w:val="restart"/>
                  <w:tcBorders>
                    <w:tl2br w:val="nil"/>
                    <w:tr2bl w:val="nil"/>
                  </w:tcBorders>
                  <w:vAlign w:val="center"/>
                </w:tcPr>
                <w:p w14:paraId="54CC3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kern w:val="0"/>
                      <w:sz w:val="21"/>
                      <w:szCs w:val="20"/>
                      <w:highlight w:val="none"/>
                    </w:rPr>
                    <w:t>厂区</w:t>
                  </w:r>
                  <w:r>
                    <w:rPr>
                      <w:rFonts w:hint="default" w:ascii="Times New Roman" w:hAnsi="Times New Roman" w:eastAsia="宋体" w:cs="Times New Roman"/>
                      <w:color w:val="auto"/>
                      <w:kern w:val="0"/>
                      <w:sz w:val="21"/>
                      <w:szCs w:val="20"/>
                      <w:highlight w:val="none"/>
                      <w:lang w:val="en-US" w:eastAsia="zh-CN"/>
                    </w:rPr>
                    <w:t>东北侧</w:t>
                  </w:r>
                </w:p>
              </w:tc>
              <w:tc>
                <w:tcPr>
                  <w:tcW w:w="387" w:type="pct"/>
                  <w:vMerge w:val="restart"/>
                  <w:tcBorders>
                    <w:tl2br w:val="nil"/>
                    <w:tr2bl w:val="nil"/>
                  </w:tcBorders>
                  <w:vAlign w:val="center"/>
                </w:tcPr>
                <w:p w14:paraId="338219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kern w:val="0"/>
                      <w:sz w:val="21"/>
                      <w:szCs w:val="20"/>
                      <w:highlight w:val="none"/>
                      <w:lang w:val="en-US" w:eastAsia="zh-CN"/>
                    </w:rPr>
                    <w:t>100</w:t>
                  </w:r>
                  <w:r>
                    <w:rPr>
                      <w:rFonts w:hint="default" w:ascii="Times New Roman" w:hAnsi="Times New Roman" w:eastAsia="宋体" w:cs="Times New Roman"/>
                      <w:color w:val="auto"/>
                      <w:sz w:val="21"/>
                      <w:szCs w:val="20"/>
                      <w:highlight w:val="none"/>
                    </w:rPr>
                    <w:t>m</w:t>
                  </w:r>
                  <w:r>
                    <w:rPr>
                      <w:rFonts w:hint="default" w:ascii="Times New Roman" w:hAnsi="Times New Roman" w:eastAsia="宋体" w:cs="Times New Roman"/>
                      <w:color w:val="auto"/>
                      <w:sz w:val="21"/>
                      <w:szCs w:val="20"/>
                      <w:highlight w:val="none"/>
                      <w:vertAlign w:val="superscript"/>
                    </w:rPr>
                    <w:t>2</w:t>
                  </w:r>
                </w:p>
              </w:tc>
              <w:tc>
                <w:tcPr>
                  <w:tcW w:w="364" w:type="pct"/>
                  <w:tcBorders>
                    <w:tl2br w:val="nil"/>
                    <w:tr2bl w:val="nil"/>
                  </w:tcBorders>
                  <w:vAlign w:val="center"/>
                </w:tcPr>
                <w:p w14:paraId="158B3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0"/>
                      <w:sz w:val="21"/>
                      <w:szCs w:val="20"/>
                      <w:highlight w:val="none"/>
                      <w:lang w:val="en-US" w:eastAsia="zh-CN" w:bidi="ar-SA"/>
                    </w:rPr>
                  </w:pPr>
                  <w:r>
                    <w:rPr>
                      <w:rFonts w:hint="eastAsia" w:cs="Times New Roman"/>
                      <w:bCs/>
                      <w:color w:val="auto"/>
                      <w:kern w:val="0"/>
                      <w:sz w:val="21"/>
                      <w:szCs w:val="20"/>
                      <w:highlight w:val="none"/>
                      <w:lang w:val="en-US" w:eastAsia="zh-CN" w:bidi="ar-SA"/>
                    </w:rPr>
                    <w:t>堆放</w:t>
                  </w:r>
                </w:p>
              </w:tc>
              <w:tc>
                <w:tcPr>
                  <w:tcW w:w="398" w:type="pct"/>
                  <w:vMerge w:val="restart"/>
                  <w:tcBorders>
                    <w:tl2br w:val="nil"/>
                    <w:tr2bl w:val="nil"/>
                  </w:tcBorders>
                  <w:vAlign w:val="center"/>
                </w:tcPr>
                <w:p w14:paraId="3F225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color w:val="auto"/>
                      <w:kern w:val="0"/>
                      <w:sz w:val="21"/>
                      <w:szCs w:val="20"/>
                      <w:highlight w:val="none"/>
                      <w:lang w:val="en-US" w:eastAsia="zh-CN"/>
                    </w:rPr>
                    <w:t>100</w:t>
                  </w:r>
                  <w:r>
                    <w:rPr>
                      <w:rFonts w:hint="default" w:ascii="Times New Roman" w:hAnsi="Times New Roman" w:eastAsia="宋体" w:cs="Times New Roman"/>
                      <w:color w:val="auto"/>
                      <w:kern w:val="0"/>
                      <w:sz w:val="21"/>
                      <w:szCs w:val="20"/>
                      <w:highlight w:val="none"/>
                    </w:rPr>
                    <w:t>m</w:t>
                  </w:r>
                  <w:r>
                    <w:rPr>
                      <w:rFonts w:hint="default" w:ascii="Times New Roman" w:hAnsi="Times New Roman" w:eastAsia="宋体" w:cs="Times New Roman"/>
                      <w:color w:val="auto"/>
                      <w:kern w:val="0"/>
                      <w:sz w:val="21"/>
                      <w:szCs w:val="20"/>
                      <w:highlight w:val="none"/>
                      <w:vertAlign w:val="superscript"/>
                    </w:rPr>
                    <w:t>2</w:t>
                  </w:r>
                </w:p>
              </w:tc>
              <w:tc>
                <w:tcPr>
                  <w:tcW w:w="395" w:type="pct"/>
                  <w:tcBorders>
                    <w:tl2br w:val="nil"/>
                    <w:tr2bl w:val="nil"/>
                  </w:tcBorders>
                  <w:vAlign w:val="center"/>
                </w:tcPr>
                <w:p w14:paraId="68B763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val="en-US" w:eastAsia="zh-CN"/>
                    </w:rPr>
                  </w:pPr>
                  <w:r>
                    <w:rPr>
                      <w:rFonts w:hint="eastAsia" w:cs="Times New Roman"/>
                      <w:color w:val="auto"/>
                      <w:kern w:val="0"/>
                      <w:sz w:val="21"/>
                      <w:szCs w:val="20"/>
                      <w:highlight w:val="none"/>
                      <w:lang w:val="en-US" w:eastAsia="zh-CN"/>
                    </w:rPr>
                    <w:t>每月</w:t>
                  </w:r>
                </w:p>
              </w:tc>
            </w:tr>
            <w:tr w14:paraId="10A12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4B5F99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kern w:val="0"/>
                      <w:sz w:val="21"/>
                      <w:szCs w:val="20"/>
                      <w:highlight w:val="none"/>
                      <w:lang w:val="en-US" w:eastAsia="zh-CN"/>
                    </w:rPr>
                  </w:pPr>
                  <w:r>
                    <w:rPr>
                      <w:rFonts w:hint="eastAsia" w:cs="Times New Roman"/>
                      <w:color w:val="auto"/>
                      <w:sz w:val="21"/>
                      <w:szCs w:val="20"/>
                      <w:highlight w:val="none"/>
                      <w:lang w:val="en-US" w:eastAsia="zh-CN"/>
                    </w:rPr>
                    <w:t>2</w:t>
                  </w:r>
                </w:p>
              </w:tc>
              <w:tc>
                <w:tcPr>
                  <w:tcW w:w="392" w:type="pct"/>
                  <w:vMerge w:val="continue"/>
                  <w:tcBorders>
                    <w:tl2br w:val="nil"/>
                    <w:tr2bl w:val="nil"/>
                  </w:tcBorders>
                  <w:vAlign w:val="center"/>
                </w:tcPr>
                <w:p w14:paraId="18AD34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4DCB6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7EBA035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废无水乙醇</w:t>
                  </w:r>
                </w:p>
              </w:tc>
              <w:tc>
                <w:tcPr>
                  <w:tcW w:w="410" w:type="pct"/>
                  <w:tcBorders>
                    <w:tl2br w:val="nil"/>
                    <w:tr2bl w:val="nil"/>
                  </w:tcBorders>
                  <w:vAlign w:val="center"/>
                </w:tcPr>
                <w:p w14:paraId="3EAFD0C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HW06</w:t>
                  </w:r>
                </w:p>
              </w:tc>
              <w:tc>
                <w:tcPr>
                  <w:tcW w:w="660" w:type="pct"/>
                  <w:tcBorders>
                    <w:tl2br w:val="nil"/>
                    <w:tr2bl w:val="nil"/>
                  </w:tcBorders>
                  <w:vAlign w:val="center"/>
                </w:tcPr>
                <w:p w14:paraId="4708302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900-406-06</w:t>
                  </w:r>
                </w:p>
              </w:tc>
              <w:tc>
                <w:tcPr>
                  <w:tcW w:w="308" w:type="pct"/>
                  <w:vMerge w:val="continue"/>
                  <w:tcBorders>
                    <w:tl2br w:val="nil"/>
                    <w:tr2bl w:val="nil"/>
                  </w:tcBorders>
                  <w:vAlign w:val="center"/>
                </w:tcPr>
                <w:p w14:paraId="133A7C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30E8CE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37AD2D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bCs/>
                      <w:color w:val="auto"/>
                      <w:kern w:val="0"/>
                      <w:sz w:val="21"/>
                      <w:szCs w:val="20"/>
                      <w:highlight w:val="none"/>
                      <w:lang w:val="en-US" w:eastAsia="zh-CN" w:bidi="ar-SA"/>
                    </w:rPr>
                    <w:t>桶装</w:t>
                  </w:r>
                </w:p>
              </w:tc>
              <w:tc>
                <w:tcPr>
                  <w:tcW w:w="398" w:type="pct"/>
                  <w:vMerge w:val="continue"/>
                  <w:tcBorders>
                    <w:tl2br w:val="nil"/>
                    <w:tr2bl w:val="nil"/>
                  </w:tcBorders>
                  <w:vAlign w:val="center"/>
                </w:tcPr>
                <w:p w14:paraId="5FF30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7F2198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lang w:eastAsia="zh-CN"/>
                    </w:rPr>
                  </w:pPr>
                  <w:r>
                    <w:rPr>
                      <w:rFonts w:hint="default" w:ascii="Times New Roman" w:hAnsi="Times New Roman" w:eastAsia="宋体" w:cs="Times New Roman"/>
                      <w:bCs/>
                      <w:color w:val="auto"/>
                      <w:sz w:val="21"/>
                      <w:szCs w:val="20"/>
                      <w:highlight w:val="none"/>
                    </w:rPr>
                    <w:t>每</w:t>
                  </w:r>
                  <w:r>
                    <w:rPr>
                      <w:rFonts w:hint="default" w:ascii="Times New Roman" w:hAnsi="Times New Roman" w:eastAsia="宋体" w:cs="Times New Roman"/>
                      <w:bCs/>
                      <w:color w:val="auto"/>
                      <w:sz w:val="21"/>
                      <w:szCs w:val="20"/>
                      <w:highlight w:val="none"/>
                      <w:lang w:val="en-US" w:eastAsia="zh-CN"/>
                    </w:rPr>
                    <w:t>年</w:t>
                  </w:r>
                </w:p>
              </w:tc>
            </w:tr>
            <w:tr w14:paraId="62E65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75A2D9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kern w:val="0"/>
                      <w:sz w:val="21"/>
                      <w:szCs w:val="20"/>
                      <w:highlight w:val="none"/>
                      <w:lang w:val="en-US" w:eastAsia="zh-CN"/>
                    </w:rPr>
                  </w:pPr>
                  <w:r>
                    <w:rPr>
                      <w:rFonts w:hint="eastAsia" w:cs="Times New Roman"/>
                      <w:color w:val="auto"/>
                      <w:kern w:val="0"/>
                      <w:sz w:val="21"/>
                      <w:szCs w:val="20"/>
                      <w:highlight w:val="none"/>
                      <w:lang w:val="en-US" w:eastAsia="zh-CN"/>
                    </w:rPr>
                    <w:t>3</w:t>
                  </w:r>
                </w:p>
              </w:tc>
              <w:tc>
                <w:tcPr>
                  <w:tcW w:w="392" w:type="pct"/>
                  <w:vMerge w:val="continue"/>
                  <w:tcBorders>
                    <w:tl2br w:val="nil"/>
                    <w:tr2bl w:val="nil"/>
                  </w:tcBorders>
                  <w:vAlign w:val="center"/>
                </w:tcPr>
                <w:p w14:paraId="16CAD1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17D001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7436620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sz w:val="21"/>
                      <w:szCs w:val="20"/>
                      <w:highlight w:val="none"/>
                      <w:lang w:eastAsia="zh-CN"/>
                    </w:rPr>
                  </w:pPr>
                  <w:r>
                    <w:rPr>
                      <w:rFonts w:hint="default" w:ascii="Times New Roman" w:hAnsi="Times New Roman" w:eastAsia="宋体" w:cs="Times New Roman"/>
                      <w:b w:val="0"/>
                      <w:bCs/>
                      <w:color w:val="auto"/>
                      <w:sz w:val="21"/>
                      <w:szCs w:val="21"/>
                      <w:highlight w:val="none"/>
                    </w:rPr>
                    <w:t>废滴管、手套和口罩</w:t>
                  </w:r>
                </w:p>
              </w:tc>
              <w:tc>
                <w:tcPr>
                  <w:tcW w:w="410" w:type="pct"/>
                  <w:tcBorders>
                    <w:tl2br w:val="nil"/>
                    <w:tr2bl w:val="nil"/>
                  </w:tcBorders>
                  <w:vAlign w:val="center"/>
                </w:tcPr>
                <w:p w14:paraId="56DDAC1C">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HW49</w:t>
                  </w:r>
                </w:p>
              </w:tc>
              <w:tc>
                <w:tcPr>
                  <w:tcW w:w="660" w:type="pct"/>
                  <w:tcBorders>
                    <w:tl2br w:val="nil"/>
                    <w:tr2bl w:val="nil"/>
                  </w:tcBorders>
                  <w:vAlign w:val="center"/>
                </w:tcPr>
                <w:p w14:paraId="0AFE70C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900-047-49</w:t>
                  </w:r>
                </w:p>
              </w:tc>
              <w:tc>
                <w:tcPr>
                  <w:tcW w:w="308" w:type="pct"/>
                  <w:vMerge w:val="continue"/>
                  <w:tcBorders>
                    <w:tl2br w:val="nil"/>
                    <w:tr2bl w:val="nil"/>
                  </w:tcBorders>
                  <w:vAlign w:val="center"/>
                </w:tcPr>
                <w:p w14:paraId="1D8B69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7926A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7937A6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rPr>
                  </w:pPr>
                  <w:r>
                    <w:rPr>
                      <w:rFonts w:hint="default" w:ascii="Times New Roman" w:hAnsi="Times New Roman" w:eastAsia="宋体" w:cs="Times New Roman"/>
                      <w:bCs/>
                      <w:color w:val="auto"/>
                      <w:kern w:val="0"/>
                      <w:sz w:val="21"/>
                      <w:szCs w:val="20"/>
                      <w:highlight w:val="none"/>
                      <w:lang w:val="en-US" w:eastAsia="zh-CN"/>
                    </w:rPr>
                    <w:t>桶装</w:t>
                  </w:r>
                </w:p>
              </w:tc>
              <w:tc>
                <w:tcPr>
                  <w:tcW w:w="398" w:type="pct"/>
                  <w:vMerge w:val="continue"/>
                  <w:tcBorders>
                    <w:tl2br w:val="nil"/>
                    <w:tr2bl w:val="nil"/>
                  </w:tcBorders>
                  <w:vAlign w:val="center"/>
                </w:tcPr>
                <w:p w14:paraId="67E168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21C568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Cs/>
                      <w:color w:val="auto"/>
                      <w:sz w:val="21"/>
                      <w:szCs w:val="20"/>
                      <w:highlight w:val="none"/>
                    </w:rPr>
                    <w:t>每年</w:t>
                  </w:r>
                </w:p>
              </w:tc>
            </w:tr>
            <w:tr w14:paraId="71A52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67DD28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sz w:val="21"/>
                      <w:szCs w:val="20"/>
                      <w:highlight w:val="none"/>
                      <w:lang w:val="en-US" w:eastAsia="zh-CN"/>
                    </w:rPr>
                  </w:pPr>
                  <w:r>
                    <w:rPr>
                      <w:rFonts w:hint="eastAsia" w:cs="Times New Roman"/>
                      <w:color w:val="auto"/>
                      <w:kern w:val="0"/>
                      <w:sz w:val="21"/>
                      <w:szCs w:val="20"/>
                      <w:highlight w:val="none"/>
                      <w:lang w:val="en-US" w:eastAsia="zh-CN"/>
                    </w:rPr>
                    <w:t>4</w:t>
                  </w:r>
                </w:p>
              </w:tc>
              <w:tc>
                <w:tcPr>
                  <w:tcW w:w="392" w:type="pct"/>
                  <w:vMerge w:val="continue"/>
                  <w:tcBorders>
                    <w:tl2br w:val="nil"/>
                    <w:tr2bl w:val="nil"/>
                  </w:tcBorders>
                  <w:vAlign w:val="center"/>
                </w:tcPr>
                <w:p w14:paraId="663D71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17B7E2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71A831C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bidi="ar"/>
                    </w:rPr>
                  </w:pPr>
                  <w:r>
                    <w:rPr>
                      <w:rFonts w:hint="default" w:ascii="Times New Roman" w:hAnsi="Times New Roman" w:eastAsia="宋体" w:cs="Times New Roman"/>
                      <w:b w:val="0"/>
                      <w:bCs/>
                      <w:color w:val="auto"/>
                      <w:sz w:val="21"/>
                      <w:szCs w:val="21"/>
                      <w:highlight w:val="none"/>
                    </w:rPr>
                    <w:t>废手套</w:t>
                  </w:r>
                </w:p>
              </w:tc>
              <w:tc>
                <w:tcPr>
                  <w:tcW w:w="410" w:type="pct"/>
                  <w:tcBorders>
                    <w:tl2br w:val="nil"/>
                    <w:tr2bl w:val="nil"/>
                  </w:tcBorders>
                  <w:vAlign w:val="center"/>
                </w:tcPr>
                <w:p w14:paraId="07055A5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HW49</w:t>
                  </w:r>
                </w:p>
              </w:tc>
              <w:tc>
                <w:tcPr>
                  <w:tcW w:w="660" w:type="pct"/>
                  <w:tcBorders>
                    <w:tl2br w:val="nil"/>
                    <w:tr2bl w:val="nil"/>
                  </w:tcBorders>
                  <w:vAlign w:val="center"/>
                </w:tcPr>
                <w:p w14:paraId="4D381A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900-041-49</w:t>
                  </w:r>
                </w:p>
              </w:tc>
              <w:tc>
                <w:tcPr>
                  <w:tcW w:w="308" w:type="pct"/>
                  <w:vMerge w:val="continue"/>
                  <w:tcBorders>
                    <w:tl2br w:val="nil"/>
                    <w:tr2bl w:val="nil"/>
                  </w:tcBorders>
                  <w:vAlign w:val="center"/>
                </w:tcPr>
                <w:p w14:paraId="2E369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22CA1A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2CD658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lang w:eastAsia="zh-CN"/>
                    </w:rPr>
                  </w:pPr>
                  <w:r>
                    <w:rPr>
                      <w:rFonts w:hint="default" w:ascii="Times New Roman" w:hAnsi="Times New Roman" w:eastAsia="宋体" w:cs="Times New Roman"/>
                      <w:bCs/>
                      <w:color w:val="auto"/>
                      <w:sz w:val="21"/>
                      <w:szCs w:val="20"/>
                      <w:highlight w:val="none"/>
                      <w:lang w:val="en-US" w:eastAsia="zh-CN"/>
                    </w:rPr>
                    <w:t>吨袋</w:t>
                  </w:r>
                </w:p>
              </w:tc>
              <w:tc>
                <w:tcPr>
                  <w:tcW w:w="398" w:type="pct"/>
                  <w:vMerge w:val="continue"/>
                  <w:tcBorders>
                    <w:tl2br w:val="nil"/>
                    <w:tr2bl w:val="nil"/>
                  </w:tcBorders>
                  <w:vAlign w:val="center"/>
                </w:tcPr>
                <w:p w14:paraId="1221FD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241E00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sz w:val="21"/>
                      <w:szCs w:val="20"/>
                      <w:highlight w:val="none"/>
                      <w:lang w:val="en-US" w:eastAsia="zh-CN"/>
                    </w:rPr>
                  </w:pPr>
                  <w:r>
                    <w:rPr>
                      <w:rFonts w:hint="default" w:ascii="Times New Roman" w:hAnsi="Times New Roman" w:eastAsia="宋体" w:cs="Times New Roman"/>
                      <w:bCs/>
                      <w:color w:val="auto"/>
                      <w:sz w:val="21"/>
                      <w:szCs w:val="20"/>
                      <w:highlight w:val="none"/>
                    </w:rPr>
                    <w:t>每</w:t>
                  </w:r>
                  <w:r>
                    <w:rPr>
                      <w:rFonts w:hint="eastAsia" w:ascii="Times New Roman" w:hAnsi="Times New Roman" w:eastAsia="宋体" w:cs="Times New Roman"/>
                      <w:bCs/>
                      <w:color w:val="auto"/>
                      <w:sz w:val="21"/>
                      <w:szCs w:val="20"/>
                      <w:highlight w:val="none"/>
                      <w:lang w:val="en-US" w:eastAsia="zh-CN"/>
                    </w:rPr>
                    <w:t>月</w:t>
                  </w:r>
                </w:p>
              </w:tc>
            </w:tr>
            <w:tr w14:paraId="35DABE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7DDBF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5</w:t>
                  </w:r>
                </w:p>
              </w:tc>
              <w:tc>
                <w:tcPr>
                  <w:tcW w:w="392" w:type="pct"/>
                  <w:vMerge w:val="continue"/>
                  <w:tcBorders>
                    <w:tl2br w:val="nil"/>
                    <w:tr2bl w:val="nil"/>
                  </w:tcBorders>
                  <w:vAlign w:val="center"/>
                </w:tcPr>
                <w:p w14:paraId="082F31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rPr>
                  </w:pPr>
                </w:p>
              </w:tc>
              <w:tc>
                <w:tcPr>
                  <w:tcW w:w="701" w:type="pct"/>
                  <w:vMerge w:val="continue"/>
                  <w:tcBorders>
                    <w:tl2br w:val="nil"/>
                    <w:tr2bl w:val="nil"/>
                  </w:tcBorders>
                  <w:vAlign w:val="center"/>
                </w:tcPr>
                <w:p w14:paraId="21E2B0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24A7F2B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喷淋塔废液</w:t>
                  </w:r>
                </w:p>
              </w:tc>
              <w:tc>
                <w:tcPr>
                  <w:tcW w:w="410" w:type="pct"/>
                  <w:tcBorders>
                    <w:tl2br w:val="nil"/>
                    <w:tr2bl w:val="nil"/>
                  </w:tcBorders>
                  <w:vAlign w:val="center"/>
                </w:tcPr>
                <w:p w14:paraId="30ACEF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lang w:val="en-US"/>
                    </w:rPr>
                  </w:pPr>
                  <w:r>
                    <w:rPr>
                      <w:rFonts w:hint="default" w:ascii="Times New Roman" w:hAnsi="Times New Roman" w:eastAsia="宋体" w:cs="Times New Roman"/>
                      <w:color w:val="auto"/>
                      <w:kern w:val="0"/>
                      <w:sz w:val="21"/>
                      <w:szCs w:val="21"/>
                      <w:highlight w:val="none"/>
                      <w:lang w:bidi="ar"/>
                    </w:rPr>
                    <w:t>HW</w:t>
                  </w:r>
                  <w:r>
                    <w:rPr>
                      <w:rFonts w:hint="eastAsia" w:ascii="Times New Roman" w:hAnsi="Times New Roman" w:eastAsia="宋体" w:cs="Times New Roman"/>
                      <w:color w:val="auto"/>
                      <w:kern w:val="0"/>
                      <w:sz w:val="21"/>
                      <w:szCs w:val="21"/>
                      <w:highlight w:val="none"/>
                      <w:lang w:val="en-US" w:eastAsia="zh-CN" w:bidi="ar"/>
                    </w:rPr>
                    <w:t>06</w:t>
                  </w:r>
                </w:p>
              </w:tc>
              <w:tc>
                <w:tcPr>
                  <w:tcW w:w="660" w:type="pct"/>
                  <w:tcBorders>
                    <w:tl2br w:val="nil"/>
                    <w:tr2bl w:val="nil"/>
                  </w:tcBorders>
                  <w:vAlign w:val="center"/>
                </w:tcPr>
                <w:p w14:paraId="50CB9D45">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sz w:val="21"/>
                      <w:szCs w:val="20"/>
                      <w:highlight w:val="none"/>
                    </w:rPr>
                  </w:pPr>
                  <w:r>
                    <w:rPr>
                      <w:rFonts w:hint="eastAsia" w:ascii="Times New Roman" w:hAnsi="Times New Roman" w:eastAsia="宋体" w:cs="Times New Roman"/>
                      <w:color w:val="auto"/>
                      <w:kern w:val="0"/>
                      <w:sz w:val="21"/>
                      <w:szCs w:val="21"/>
                      <w:highlight w:val="none"/>
                      <w:lang w:val="en-US" w:eastAsia="zh-CN" w:bidi="ar"/>
                    </w:rPr>
                    <w:t>900-404-06</w:t>
                  </w:r>
                </w:p>
              </w:tc>
              <w:tc>
                <w:tcPr>
                  <w:tcW w:w="308" w:type="pct"/>
                  <w:vMerge w:val="continue"/>
                  <w:tcBorders>
                    <w:tl2br w:val="nil"/>
                    <w:tr2bl w:val="nil"/>
                  </w:tcBorders>
                  <w:vAlign w:val="center"/>
                </w:tcPr>
                <w:p w14:paraId="0F6917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00EBC5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39F30C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rPr>
                  </w:pPr>
                  <w:r>
                    <w:rPr>
                      <w:rFonts w:hint="default" w:ascii="Times New Roman" w:hAnsi="Times New Roman" w:eastAsia="宋体" w:cs="Times New Roman"/>
                      <w:bCs/>
                      <w:color w:val="auto"/>
                      <w:kern w:val="0"/>
                      <w:sz w:val="21"/>
                      <w:szCs w:val="20"/>
                      <w:highlight w:val="none"/>
                      <w:lang w:val="en-US" w:eastAsia="zh-CN"/>
                    </w:rPr>
                    <w:t>桶装</w:t>
                  </w:r>
                </w:p>
              </w:tc>
              <w:tc>
                <w:tcPr>
                  <w:tcW w:w="398" w:type="pct"/>
                  <w:vMerge w:val="continue"/>
                  <w:tcBorders>
                    <w:tl2br w:val="nil"/>
                    <w:tr2bl w:val="nil"/>
                  </w:tcBorders>
                  <w:vAlign w:val="center"/>
                </w:tcPr>
                <w:p w14:paraId="75C2E6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21AD21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半年</w:t>
                  </w:r>
                </w:p>
              </w:tc>
            </w:tr>
            <w:tr w14:paraId="559DE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153380D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6</w:t>
                  </w:r>
                </w:p>
              </w:tc>
              <w:tc>
                <w:tcPr>
                  <w:tcW w:w="392" w:type="pct"/>
                  <w:vMerge w:val="continue"/>
                  <w:tcBorders>
                    <w:tl2br w:val="nil"/>
                    <w:tr2bl w:val="nil"/>
                  </w:tcBorders>
                  <w:vAlign w:val="center"/>
                </w:tcPr>
                <w:p w14:paraId="7A1B00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11419A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5240CD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废活性炭</w:t>
                  </w:r>
                </w:p>
              </w:tc>
              <w:tc>
                <w:tcPr>
                  <w:tcW w:w="410" w:type="pct"/>
                  <w:tcBorders>
                    <w:tl2br w:val="nil"/>
                    <w:tr2bl w:val="nil"/>
                  </w:tcBorders>
                  <w:vAlign w:val="center"/>
                </w:tcPr>
                <w:p w14:paraId="3324ABD1">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HW49</w:t>
                  </w:r>
                </w:p>
              </w:tc>
              <w:tc>
                <w:tcPr>
                  <w:tcW w:w="660" w:type="pct"/>
                  <w:tcBorders>
                    <w:tl2br w:val="nil"/>
                    <w:tr2bl w:val="nil"/>
                  </w:tcBorders>
                  <w:vAlign w:val="center"/>
                </w:tcPr>
                <w:p w14:paraId="6C0DB51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sz w:val="21"/>
                      <w:szCs w:val="20"/>
                      <w:highlight w:val="none"/>
                    </w:rPr>
                  </w:pPr>
                  <w:r>
                    <w:rPr>
                      <w:rFonts w:hint="default" w:ascii="Times New Roman" w:hAnsi="Times New Roman" w:eastAsia="宋体" w:cs="Times New Roman"/>
                      <w:b w:val="0"/>
                      <w:bCs/>
                      <w:color w:val="auto"/>
                      <w:sz w:val="21"/>
                      <w:szCs w:val="21"/>
                      <w:highlight w:val="none"/>
                    </w:rPr>
                    <w:t>900-039-49</w:t>
                  </w:r>
                </w:p>
              </w:tc>
              <w:tc>
                <w:tcPr>
                  <w:tcW w:w="308" w:type="pct"/>
                  <w:vMerge w:val="continue"/>
                  <w:tcBorders>
                    <w:tl2br w:val="nil"/>
                    <w:tr2bl w:val="nil"/>
                  </w:tcBorders>
                  <w:vAlign w:val="center"/>
                </w:tcPr>
                <w:p w14:paraId="0E293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71E0F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6B6C9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Cs/>
                      <w:color w:val="auto"/>
                      <w:kern w:val="0"/>
                      <w:sz w:val="21"/>
                      <w:szCs w:val="20"/>
                      <w:highlight w:val="none"/>
                    </w:rPr>
                    <w:t>堆放</w:t>
                  </w:r>
                </w:p>
              </w:tc>
              <w:tc>
                <w:tcPr>
                  <w:tcW w:w="398" w:type="pct"/>
                  <w:vMerge w:val="continue"/>
                  <w:tcBorders>
                    <w:tl2br w:val="nil"/>
                    <w:tr2bl w:val="nil"/>
                  </w:tcBorders>
                  <w:vAlign w:val="center"/>
                </w:tcPr>
                <w:p w14:paraId="4A56EB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6985D4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半年</w:t>
                  </w:r>
                </w:p>
              </w:tc>
            </w:tr>
            <w:tr w14:paraId="751B2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7F3EB9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7</w:t>
                  </w:r>
                </w:p>
              </w:tc>
              <w:tc>
                <w:tcPr>
                  <w:tcW w:w="392" w:type="pct"/>
                  <w:vMerge w:val="continue"/>
                  <w:tcBorders>
                    <w:tl2br w:val="nil"/>
                    <w:tr2bl w:val="nil"/>
                  </w:tcBorders>
                  <w:vAlign w:val="center"/>
                </w:tcPr>
                <w:p w14:paraId="3B2D1F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73F16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3A4BE4F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bidi="ar"/>
                    </w:rPr>
                  </w:pPr>
                  <w:r>
                    <w:rPr>
                      <w:rFonts w:hint="default" w:ascii="Times New Roman" w:hAnsi="Times New Roman" w:eastAsia="宋体" w:cs="Times New Roman"/>
                      <w:b w:val="0"/>
                      <w:bCs/>
                      <w:color w:val="auto"/>
                      <w:sz w:val="21"/>
                      <w:szCs w:val="21"/>
                      <w:highlight w:val="none"/>
                    </w:rPr>
                    <w:t>废填料</w:t>
                  </w:r>
                </w:p>
              </w:tc>
              <w:tc>
                <w:tcPr>
                  <w:tcW w:w="410" w:type="pct"/>
                  <w:tcBorders>
                    <w:tl2br w:val="nil"/>
                    <w:tr2bl w:val="nil"/>
                  </w:tcBorders>
                  <w:vAlign w:val="center"/>
                </w:tcPr>
                <w:p w14:paraId="215064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bidi="ar"/>
                    </w:rPr>
                  </w:pPr>
                  <w:r>
                    <w:rPr>
                      <w:rFonts w:hint="default" w:ascii="Times New Roman" w:hAnsi="Times New Roman" w:eastAsia="宋体" w:cs="Times New Roman"/>
                      <w:b w:val="0"/>
                      <w:bCs/>
                      <w:color w:val="auto"/>
                      <w:sz w:val="21"/>
                      <w:szCs w:val="21"/>
                      <w:highlight w:val="none"/>
                    </w:rPr>
                    <w:t>HW49</w:t>
                  </w:r>
                </w:p>
              </w:tc>
              <w:tc>
                <w:tcPr>
                  <w:tcW w:w="660" w:type="pct"/>
                  <w:tcBorders>
                    <w:tl2br w:val="nil"/>
                    <w:tr2bl w:val="nil"/>
                  </w:tcBorders>
                  <w:vAlign w:val="center"/>
                </w:tcPr>
                <w:p w14:paraId="68EEA2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bidi="ar"/>
                    </w:rPr>
                  </w:pPr>
                  <w:r>
                    <w:rPr>
                      <w:rFonts w:hint="default" w:ascii="Times New Roman" w:hAnsi="Times New Roman" w:eastAsia="宋体" w:cs="Times New Roman"/>
                      <w:b w:val="0"/>
                      <w:bCs/>
                      <w:color w:val="auto"/>
                      <w:sz w:val="21"/>
                      <w:szCs w:val="21"/>
                      <w:highlight w:val="none"/>
                    </w:rPr>
                    <w:t>900-041-49</w:t>
                  </w:r>
                </w:p>
              </w:tc>
              <w:tc>
                <w:tcPr>
                  <w:tcW w:w="308" w:type="pct"/>
                  <w:vMerge w:val="continue"/>
                  <w:tcBorders>
                    <w:tl2br w:val="nil"/>
                    <w:tr2bl w:val="nil"/>
                  </w:tcBorders>
                  <w:vAlign w:val="center"/>
                </w:tcPr>
                <w:p w14:paraId="05653F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6DDB80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0DC33C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bCs/>
                      <w:color w:val="auto"/>
                      <w:kern w:val="0"/>
                      <w:sz w:val="21"/>
                      <w:szCs w:val="20"/>
                      <w:highlight w:val="none"/>
                      <w:lang w:val="en-US" w:eastAsia="zh-CN" w:bidi="ar-SA"/>
                    </w:rPr>
                    <w:t>吨袋</w:t>
                  </w:r>
                </w:p>
              </w:tc>
              <w:tc>
                <w:tcPr>
                  <w:tcW w:w="398" w:type="pct"/>
                  <w:vMerge w:val="continue"/>
                  <w:tcBorders>
                    <w:tl2br w:val="nil"/>
                    <w:tr2bl w:val="nil"/>
                  </w:tcBorders>
                  <w:vAlign w:val="center"/>
                </w:tcPr>
                <w:p w14:paraId="0C04EA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7932C6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eastAsia="zh-CN"/>
                    </w:rPr>
                  </w:pPr>
                  <w:r>
                    <w:rPr>
                      <w:rFonts w:hint="default" w:ascii="Times New Roman" w:hAnsi="Times New Roman" w:eastAsia="宋体" w:cs="Times New Roman"/>
                      <w:bCs/>
                      <w:color w:val="auto"/>
                      <w:sz w:val="21"/>
                      <w:szCs w:val="20"/>
                      <w:highlight w:val="none"/>
                      <w:lang w:val="en-US" w:eastAsia="zh-CN"/>
                    </w:rPr>
                    <w:t>每周</w:t>
                  </w:r>
                </w:p>
              </w:tc>
            </w:tr>
            <w:tr w14:paraId="48D48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6F8E12D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8</w:t>
                  </w:r>
                </w:p>
              </w:tc>
              <w:tc>
                <w:tcPr>
                  <w:tcW w:w="392" w:type="pct"/>
                  <w:vMerge w:val="continue"/>
                  <w:tcBorders>
                    <w:tl2br w:val="nil"/>
                    <w:tr2bl w:val="nil"/>
                  </w:tcBorders>
                  <w:vAlign w:val="center"/>
                </w:tcPr>
                <w:p w14:paraId="58F57D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7CC570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710ADAF8">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eastAsia="zh-CN" w:bidi="ar"/>
                    </w:rPr>
                  </w:pPr>
                  <w:r>
                    <w:rPr>
                      <w:rFonts w:hint="default" w:ascii="Times New Roman" w:hAnsi="Times New Roman" w:eastAsia="宋体" w:cs="Times New Roman"/>
                      <w:b w:val="0"/>
                      <w:bCs/>
                      <w:color w:val="auto"/>
                      <w:sz w:val="21"/>
                      <w:szCs w:val="21"/>
                      <w:highlight w:val="none"/>
                    </w:rPr>
                    <w:t>废滤芯</w:t>
                  </w:r>
                </w:p>
              </w:tc>
              <w:tc>
                <w:tcPr>
                  <w:tcW w:w="410" w:type="pct"/>
                  <w:tcBorders>
                    <w:tl2br w:val="nil"/>
                    <w:tr2bl w:val="nil"/>
                  </w:tcBorders>
                  <w:vAlign w:val="center"/>
                </w:tcPr>
                <w:p w14:paraId="08B2B6D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bidi="ar"/>
                    </w:rPr>
                  </w:pPr>
                  <w:r>
                    <w:rPr>
                      <w:rFonts w:hint="default" w:ascii="Times New Roman" w:hAnsi="Times New Roman" w:eastAsia="宋体" w:cs="Times New Roman"/>
                      <w:b w:val="0"/>
                      <w:bCs/>
                      <w:color w:val="auto"/>
                      <w:sz w:val="21"/>
                      <w:szCs w:val="21"/>
                      <w:highlight w:val="none"/>
                    </w:rPr>
                    <w:t>HW49</w:t>
                  </w:r>
                </w:p>
              </w:tc>
              <w:tc>
                <w:tcPr>
                  <w:tcW w:w="660" w:type="pct"/>
                  <w:tcBorders>
                    <w:tl2br w:val="nil"/>
                    <w:tr2bl w:val="nil"/>
                  </w:tcBorders>
                  <w:vAlign w:val="center"/>
                </w:tcPr>
                <w:p w14:paraId="351CC4BF">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bidi="ar"/>
                    </w:rPr>
                  </w:pPr>
                  <w:r>
                    <w:rPr>
                      <w:rFonts w:hint="default" w:ascii="Times New Roman" w:hAnsi="Times New Roman" w:eastAsia="宋体" w:cs="Times New Roman"/>
                      <w:b w:val="0"/>
                      <w:bCs/>
                      <w:color w:val="auto"/>
                      <w:sz w:val="21"/>
                      <w:szCs w:val="21"/>
                      <w:highlight w:val="none"/>
                    </w:rPr>
                    <w:t>900-041-49</w:t>
                  </w:r>
                </w:p>
              </w:tc>
              <w:tc>
                <w:tcPr>
                  <w:tcW w:w="308" w:type="pct"/>
                  <w:vMerge w:val="continue"/>
                  <w:tcBorders>
                    <w:tl2br w:val="nil"/>
                    <w:tr2bl w:val="nil"/>
                  </w:tcBorders>
                  <w:vAlign w:val="center"/>
                </w:tcPr>
                <w:p w14:paraId="2D5231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7E3AB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7CDB2F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bCs/>
                      <w:color w:val="auto"/>
                      <w:kern w:val="0"/>
                      <w:sz w:val="21"/>
                      <w:szCs w:val="20"/>
                      <w:highlight w:val="none"/>
                      <w:lang w:val="en-US" w:eastAsia="zh-CN" w:bidi="ar-SA"/>
                    </w:rPr>
                    <w:t>吨袋</w:t>
                  </w:r>
                </w:p>
              </w:tc>
              <w:tc>
                <w:tcPr>
                  <w:tcW w:w="398" w:type="pct"/>
                  <w:vMerge w:val="continue"/>
                  <w:tcBorders>
                    <w:tl2br w:val="nil"/>
                    <w:tr2bl w:val="nil"/>
                  </w:tcBorders>
                  <w:vAlign w:val="center"/>
                </w:tcPr>
                <w:p w14:paraId="5960BC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0C038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eastAsia="zh-CN"/>
                    </w:rPr>
                  </w:pPr>
                  <w:r>
                    <w:rPr>
                      <w:rFonts w:hint="default" w:ascii="Times New Roman" w:hAnsi="Times New Roman" w:eastAsia="宋体" w:cs="Times New Roman"/>
                      <w:bCs/>
                      <w:color w:val="auto"/>
                      <w:sz w:val="21"/>
                      <w:szCs w:val="20"/>
                      <w:highlight w:val="none"/>
                    </w:rPr>
                    <w:t>每</w:t>
                  </w:r>
                  <w:r>
                    <w:rPr>
                      <w:rFonts w:hint="default" w:ascii="Times New Roman" w:hAnsi="Times New Roman" w:eastAsia="宋体" w:cs="Times New Roman"/>
                      <w:bCs/>
                      <w:color w:val="auto"/>
                      <w:sz w:val="21"/>
                      <w:szCs w:val="20"/>
                      <w:highlight w:val="none"/>
                      <w:lang w:val="en-US" w:eastAsia="zh-CN"/>
                    </w:rPr>
                    <w:t>年</w:t>
                  </w:r>
                </w:p>
              </w:tc>
            </w:tr>
            <w:tr w14:paraId="79A7D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2F1ED5AB">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9</w:t>
                  </w:r>
                </w:p>
              </w:tc>
              <w:tc>
                <w:tcPr>
                  <w:tcW w:w="392" w:type="pct"/>
                  <w:vMerge w:val="continue"/>
                  <w:tcBorders>
                    <w:tl2br w:val="nil"/>
                    <w:tr2bl w:val="nil"/>
                  </w:tcBorders>
                  <w:vAlign w:val="center"/>
                </w:tcPr>
                <w:p w14:paraId="060F8B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133694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7EE8D05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val="en-US" w:eastAsia="zh-CN" w:bidi="ar"/>
                    </w:rPr>
                  </w:pPr>
                  <w:r>
                    <w:rPr>
                      <w:rFonts w:hint="default" w:ascii="Times New Roman" w:hAnsi="Times New Roman" w:eastAsia="宋体" w:cs="Times New Roman"/>
                      <w:b w:val="0"/>
                      <w:bCs/>
                      <w:color w:val="auto"/>
                      <w:sz w:val="21"/>
                      <w:szCs w:val="21"/>
                      <w:highlight w:val="none"/>
                    </w:rPr>
                    <w:t>研磨废液（渣）</w:t>
                  </w:r>
                </w:p>
              </w:tc>
              <w:tc>
                <w:tcPr>
                  <w:tcW w:w="410" w:type="pct"/>
                  <w:tcBorders>
                    <w:tl2br w:val="nil"/>
                    <w:tr2bl w:val="nil"/>
                  </w:tcBorders>
                  <w:vAlign w:val="center"/>
                </w:tcPr>
                <w:p w14:paraId="75CE945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bidi="ar"/>
                    </w:rPr>
                  </w:pPr>
                  <w:r>
                    <w:rPr>
                      <w:rFonts w:hint="default" w:ascii="Times New Roman" w:hAnsi="Times New Roman" w:eastAsia="宋体" w:cs="Times New Roman"/>
                      <w:b w:val="0"/>
                      <w:bCs/>
                      <w:color w:val="auto"/>
                      <w:sz w:val="21"/>
                      <w:szCs w:val="21"/>
                      <w:highlight w:val="none"/>
                    </w:rPr>
                    <w:t>HW17</w:t>
                  </w:r>
                </w:p>
              </w:tc>
              <w:tc>
                <w:tcPr>
                  <w:tcW w:w="660" w:type="pct"/>
                  <w:tcBorders>
                    <w:tl2br w:val="nil"/>
                    <w:tr2bl w:val="nil"/>
                  </w:tcBorders>
                  <w:vAlign w:val="center"/>
                </w:tcPr>
                <w:p w14:paraId="2674FE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bidi="ar"/>
                    </w:rPr>
                  </w:pPr>
                  <w:r>
                    <w:rPr>
                      <w:rFonts w:hint="default" w:ascii="Times New Roman" w:hAnsi="Times New Roman" w:eastAsia="宋体" w:cs="Times New Roman"/>
                      <w:b w:val="0"/>
                      <w:bCs/>
                      <w:color w:val="auto"/>
                      <w:sz w:val="21"/>
                      <w:szCs w:val="21"/>
                      <w:highlight w:val="none"/>
                    </w:rPr>
                    <w:t>336-064- 17</w:t>
                  </w:r>
                </w:p>
              </w:tc>
              <w:tc>
                <w:tcPr>
                  <w:tcW w:w="308" w:type="pct"/>
                  <w:vMerge w:val="continue"/>
                  <w:tcBorders>
                    <w:tl2br w:val="nil"/>
                    <w:tr2bl w:val="nil"/>
                  </w:tcBorders>
                  <w:vAlign w:val="center"/>
                </w:tcPr>
                <w:p w14:paraId="267BA4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736EA5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7E6C2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bCs/>
                      <w:color w:val="auto"/>
                      <w:kern w:val="0"/>
                      <w:sz w:val="21"/>
                      <w:szCs w:val="20"/>
                      <w:highlight w:val="none"/>
                      <w:lang w:val="en-US" w:eastAsia="zh-CN" w:bidi="ar-SA"/>
                    </w:rPr>
                    <w:t>桶装</w:t>
                  </w:r>
                </w:p>
              </w:tc>
              <w:tc>
                <w:tcPr>
                  <w:tcW w:w="398" w:type="pct"/>
                  <w:vMerge w:val="continue"/>
                  <w:tcBorders>
                    <w:tl2br w:val="nil"/>
                    <w:tr2bl w:val="nil"/>
                  </w:tcBorders>
                  <w:vAlign w:val="center"/>
                </w:tcPr>
                <w:p w14:paraId="47A5C5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553C88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kern w:val="0"/>
                      <w:sz w:val="21"/>
                      <w:szCs w:val="20"/>
                      <w:highlight w:val="none"/>
                      <w:lang w:eastAsia="zh-CN"/>
                    </w:rPr>
                  </w:pPr>
                  <w:r>
                    <w:rPr>
                      <w:rFonts w:hint="default" w:ascii="Times New Roman" w:hAnsi="Times New Roman" w:eastAsia="宋体" w:cs="Times New Roman"/>
                      <w:bCs/>
                      <w:color w:val="auto"/>
                      <w:sz w:val="21"/>
                      <w:szCs w:val="20"/>
                      <w:highlight w:val="none"/>
                      <w:lang w:val="en-US" w:eastAsia="zh-CN"/>
                    </w:rPr>
                    <w:t>半年</w:t>
                  </w:r>
                </w:p>
              </w:tc>
            </w:tr>
            <w:tr w14:paraId="6662F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0E7068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10</w:t>
                  </w:r>
                </w:p>
              </w:tc>
              <w:tc>
                <w:tcPr>
                  <w:tcW w:w="392" w:type="pct"/>
                  <w:vMerge w:val="continue"/>
                  <w:tcBorders>
                    <w:tl2br w:val="nil"/>
                    <w:tr2bl w:val="nil"/>
                  </w:tcBorders>
                  <w:vAlign w:val="center"/>
                </w:tcPr>
                <w:p w14:paraId="23E3BD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0B67A2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3F833150">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实验室废液</w:t>
                  </w:r>
                </w:p>
              </w:tc>
              <w:tc>
                <w:tcPr>
                  <w:tcW w:w="410" w:type="pct"/>
                  <w:tcBorders>
                    <w:tl2br w:val="nil"/>
                    <w:tr2bl w:val="nil"/>
                  </w:tcBorders>
                  <w:vAlign w:val="center"/>
                </w:tcPr>
                <w:p w14:paraId="6C41175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HW49</w:t>
                  </w:r>
                </w:p>
              </w:tc>
              <w:tc>
                <w:tcPr>
                  <w:tcW w:w="660" w:type="pct"/>
                  <w:tcBorders>
                    <w:tl2br w:val="nil"/>
                    <w:tr2bl w:val="nil"/>
                  </w:tcBorders>
                  <w:vAlign w:val="center"/>
                </w:tcPr>
                <w:p w14:paraId="45482A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r>
                    <w:rPr>
                      <w:rFonts w:hint="default" w:ascii="Times New Roman" w:hAnsi="Times New Roman" w:eastAsia="宋体" w:cs="Times New Roman"/>
                      <w:b w:val="0"/>
                      <w:bCs/>
                      <w:color w:val="auto"/>
                      <w:sz w:val="21"/>
                      <w:szCs w:val="21"/>
                      <w:highlight w:val="none"/>
                    </w:rPr>
                    <w:t>900-047-49</w:t>
                  </w:r>
                </w:p>
              </w:tc>
              <w:tc>
                <w:tcPr>
                  <w:tcW w:w="308" w:type="pct"/>
                  <w:vMerge w:val="continue"/>
                  <w:tcBorders>
                    <w:tl2br w:val="nil"/>
                    <w:tr2bl w:val="nil"/>
                  </w:tcBorders>
                  <w:vAlign w:val="center"/>
                </w:tcPr>
                <w:p w14:paraId="6FC3A8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090CF4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2B1BCF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0"/>
                      <w:sz w:val="21"/>
                      <w:szCs w:val="20"/>
                      <w:highlight w:val="none"/>
                      <w:lang w:val="en-US" w:eastAsia="zh-CN" w:bidi="ar-SA"/>
                    </w:rPr>
                  </w:pPr>
                  <w:r>
                    <w:rPr>
                      <w:rFonts w:hint="default" w:ascii="Times New Roman" w:hAnsi="Times New Roman" w:eastAsia="宋体" w:cs="Times New Roman"/>
                      <w:bCs/>
                      <w:color w:val="auto"/>
                      <w:kern w:val="0"/>
                      <w:sz w:val="21"/>
                      <w:szCs w:val="20"/>
                      <w:highlight w:val="none"/>
                      <w:lang w:val="en-US" w:eastAsia="zh-CN" w:bidi="ar-SA"/>
                    </w:rPr>
                    <w:t>桶装</w:t>
                  </w:r>
                </w:p>
              </w:tc>
              <w:tc>
                <w:tcPr>
                  <w:tcW w:w="398" w:type="pct"/>
                  <w:vMerge w:val="continue"/>
                  <w:tcBorders>
                    <w:tl2br w:val="nil"/>
                    <w:tr2bl w:val="nil"/>
                  </w:tcBorders>
                  <w:vAlign w:val="center"/>
                </w:tcPr>
                <w:p w14:paraId="65B433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50B854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sz w:val="21"/>
                      <w:szCs w:val="20"/>
                      <w:highlight w:val="none"/>
                      <w:lang w:val="en-US" w:eastAsia="zh-CN"/>
                    </w:rPr>
                  </w:pPr>
                  <w:r>
                    <w:rPr>
                      <w:rFonts w:hint="default" w:ascii="Times New Roman" w:hAnsi="Times New Roman" w:eastAsia="宋体" w:cs="Times New Roman"/>
                      <w:bCs/>
                      <w:color w:val="auto"/>
                      <w:sz w:val="21"/>
                      <w:szCs w:val="20"/>
                      <w:highlight w:val="none"/>
                      <w:lang w:val="en-US" w:eastAsia="zh-CN"/>
                    </w:rPr>
                    <w:t>半年</w:t>
                  </w:r>
                </w:p>
              </w:tc>
            </w:tr>
            <w:tr w14:paraId="06BE8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32423CF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cs="Times New Roman"/>
                      <w:color w:val="auto"/>
                      <w:sz w:val="21"/>
                      <w:szCs w:val="20"/>
                      <w:highlight w:val="none"/>
                      <w:lang w:val="en-US" w:eastAsia="zh-CN"/>
                    </w:rPr>
                  </w:pPr>
                  <w:r>
                    <w:rPr>
                      <w:rFonts w:hint="eastAsia" w:cs="Times New Roman"/>
                      <w:color w:val="auto"/>
                      <w:sz w:val="21"/>
                      <w:szCs w:val="20"/>
                      <w:highlight w:val="none"/>
                      <w:lang w:val="en-US" w:eastAsia="zh-CN"/>
                    </w:rPr>
                    <w:t>11</w:t>
                  </w:r>
                </w:p>
              </w:tc>
              <w:tc>
                <w:tcPr>
                  <w:tcW w:w="392" w:type="pct"/>
                  <w:vMerge w:val="continue"/>
                  <w:tcBorders>
                    <w:tl2br w:val="nil"/>
                    <w:tr2bl w:val="nil"/>
                  </w:tcBorders>
                  <w:vAlign w:val="center"/>
                </w:tcPr>
                <w:p w14:paraId="5ED3DE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05FE59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4BE0FCF2">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废润滑油</w:t>
                  </w:r>
                </w:p>
              </w:tc>
              <w:tc>
                <w:tcPr>
                  <w:tcW w:w="410" w:type="pct"/>
                  <w:tcBorders>
                    <w:tl2br w:val="nil"/>
                    <w:tr2bl w:val="nil"/>
                  </w:tcBorders>
                  <w:vAlign w:val="center"/>
                </w:tcPr>
                <w:p w14:paraId="17B40D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HW08</w:t>
                  </w:r>
                </w:p>
              </w:tc>
              <w:tc>
                <w:tcPr>
                  <w:tcW w:w="660" w:type="pct"/>
                  <w:tcBorders>
                    <w:tl2br w:val="nil"/>
                    <w:tr2bl w:val="nil"/>
                  </w:tcBorders>
                  <w:vAlign w:val="center"/>
                </w:tcPr>
                <w:p w14:paraId="255F2B4D">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900-217-08</w:t>
                  </w:r>
                </w:p>
              </w:tc>
              <w:tc>
                <w:tcPr>
                  <w:tcW w:w="308" w:type="pct"/>
                  <w:vMerge w:val="continue"/>
                  <w:tcBorders>
                    <w:tl2br w:val="nil"/>
                    <w:tr2bl w:val="nil"/>
                  </w:tcBorders>
                  <w:vAlign w:val="center"/>
                </w:tcPr>
                <w:p w14:paraId="01A948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04D202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07B141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0"/>
                      <w:sz w:val="21"/>
                      <w:szCs w:val="20"/>
                      <w:highlight w:val="none"/>
                      <w:lang w:val="en-US" w:eastAsia="zh-CN" w:bidi="ar-SA"/>
                    </w:rPr>
                  </w:pPr>
                  <w:r>
                    <w:rPr>
                      <w:rFonts w:hint="eastAsia" w:cs="Times New Roman"/>
                      <w:bCs/>
                      <w:color w:val="auto"/>
                      <w:kern w:val="0"/>
                      <w:sz w:val="21"/>
                      <w:szCs w:val="20"/>
                      <w:highlight w:val="none"/>
                      <w:lang w:val="en-US" w:eastAsia="zh-CN" w:bidi="ar-SA"/>
                    </w:rPr>
                    <w:t>桶装</w:t>
                  </w:r>
                </w:p>
              </w:tc>
              <w:tc>
                <w:tcPr>
                  <w:tcW w:w="398" w:type="pct"/>
                  <w:vMerge w:val="continue"/>
                  <w:tcBorders>
                    <w:tl2br w:val="nil"/>
                    <w:tr2bl w:val="nil"/>
                  </w:tcBorders>
                  <w:vAlign w:val="center"/>
                </w:tcPr>
                <w:p w14:paraId="6071B5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05EF41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sz w:val="21"/>
                      <w:szCs w:val="20"/>
                      <w:highlight w:val="none"/>
                      <w:lang w:val="en-US" w:eastAsia="zh-CN"/>
                    </w:rPr>
                  </w:pPr>
                  <w:r>
                    <w:rPr>
                      <w:rFonts w:hint="eastAsia" w:cs="Times New Roman"/>
                      <w:bCs/>
                      <w:color w:val="auto"/>
                      <w:sz w:val="21"/>
                      <w:szCs w:val="20"/>
                      <w:highlight w:val="none"/>
                      <w:lang w:val="en-US" w:eastAsia="zh-CN"/>
                    </w:rPr>
                    <w:t>每年</w:t>
                  </w:r>
                </w:p>
              </w:tc>
            </w:tr>
            <w:tr w14:paraId="46CC0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dxa"/>
                  <w:tcBorders>
                    <w:tl2br w:val="nil"/>
                    <w:tr2bl w:val="nil"/>
                  </w:tcBorders>
                  <w:vAlign w:val="center"/>
                </w:tcPr>
                <w:p w14:paraId="28DCD217">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cs="Times New Roman"/>
                      <w:color w:val="auto"/>
                      <w:sz w:val="21"/>
                      <w:szCs w:val="20"/>
                      <w:highlight w:val="none"/>
                      <w:lang w:val="en-US" w:eastAsia="zh-CN"/>
                    </w:rPr>
                  </w:pPr>
                  <w:r>
                    <w:rPr>
                      <w:rFonts w:hint="eastAsia" w:cs="Times New Roman"/>
                      <w:color w:val="auto"/>
                      <w:sz w:val="21"/>
                      <w:szCs w:val="20"/>
                      <w:highlight w:val="none"/>
                      <w:lang w:val="en-US" w:eastAsia="zh-CN"/>
                    </w:rPr>
                    <w:t>12</w:t>
                  </w:r>
                </w:p>
              </w:tc>
              <w:tc>
                <w:tcPr>
                  <w:tcW w:w="392" w:type="pct"/>
                  <w:vMerge w:val="continue"/>
                  <w:tcBorders>
                    <w:tl2br w:val="nil"/>
                    <w:tr2bl w:val="nil"/>
                  </w:tcBorders>
                  <w:vAlign w:val="center"/>
                </w:tcPr>
                <w:p w14:paraId="4AA2B3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01" w:type="pct"/>
                  <w:vMerge w:val="continue"/>
                  <w:tcBorders>
                    <w:tl2br w:val="nil"/>
                    <w:tr2bl w:val="nil"/>
                  </w:tcBorders>
                  <w:vAlign w:val="center"/>
                </w:tcPr>
                <w:p w14:paraId="5FD9EE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782" w:type="pct"/>
                  <w:tcBorders>
                    <w:tl2br w:val="nil"/>
                    <w:tr2bl w:val="nil"/>
                  </w:tcBorders>
                  <w:vAlign w:val="center"/>
                </w:tcPr>
                <w:p w14:paraId="0790BFB6">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设备清洗废液</w:t>
                  </w:r>
                </w:p>
              </w:tc>
              <w:tc>
                <w:tcPr>
                  <w:tcW w:w="410" w:type="pct"/>
                  <w:tcBorders>
                    <w:tl2br w:val="nil"/>
                    <w:tr2bl w:val="nil"/>
                  </w:tcBorders>
                  <w:vAlign w:val="center"/>
                </w:tcPr>
                <w:p w14:paraId="6F5E7089">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HW13</w:t>
                  </w:r>
                </w:p>
              </w:tc>
              <w:tc>
                <w:tcPr>
                  <w:tcW w:w="660" w:type="pct"/>
                  <w:tcBorders>
                    <w:tl2br w:val="nil"/>
                    <w:tr2bl w:val="nil"/>
                  </w:tcBorders>
                  <w:vAlign w:val="center"/>
                </w:tcPr>
                <w:p w14:paraId="2B742D8E">
                  <w:pPr>
                    <w:keepNext w:val="0"/>
                    <w:keepLines w:val="0"/>
                    <w:pageBreakBefore w:val="0"/>
                    <w:widowControl/>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900-016-13</w:t>
                  </w:r>
                </w:p>
              </w:tc>
              <w:tc>
                <w:tcPr>
                  <w:tcW w:w="308" w:type="pct"/>
                  <w:vMerge w:val="continue"/>
                  <w:tcBorders>
                    <w:tl2br w:val="nil"/>
                    <w:tr2bl w:val="nil"/>
                  </w:tcBorders>
                  <w:vAlign w:val="center"/>
                </w:tcPr>
                <w:p w14:paraId="54370B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87" w:type="pct"/>
                  <w:vMerge w:val="continue"/>
                  <w:tcBorders>
                    <w:tl2br w:val="nil"/>
                    <w:tr2bl w:val="nil"/>
                  </w:tcBorders>
                  <w:vAlign w:val="center"/>
                </w:tcPr>
                <w:p w14:paraId="5C824C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64" w:type="pct"/>
                  <w:tcBorders>
                    <w:tl2br w:val="nil"/>
                    <w:tr2bl w:val="nil"/>
                  </w:tcBorders>
                  <w:vAlign w:val="center"/>
                </w:tcPr>
                <w:p w14:paraId="2F1D8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kern w:val="0"/>
                      <w:sz w:val="21"/>
                      <w:szCs w:val="20"/>
                      <w:highlight w:val="none"/>
                      <w:lang w:val="en-US" w:eastAsia="zh-CN" w:bidi="ar-SA"/>
                    </w:rPr>
                  </w:pPr>
                  <w:r>
                    <w:rPr>
                      <w:rFonts w:hint="eastAsia" w:cs="Times New Roman"/>
                      <w:bCs/>
                      <w:color w:val="auto"/>
                      <w:kern w:val="0"/>
                      <w:sz w:val="21"/>
                      <w:szCs w:val="20"/>
                      <w:highlight w:val="none"/>
                      <w:lang w:val="en-US" w:eastAsia="zh-CN" w:bidi="ar-SA"/>
                    </w:rPr>
                    <w:t>桶装</w:t>
                  </w:r>
                </w:p>
              </w:tc>
              <w:tc>
                <w:tcPr>
                  <w:tcW w:w="398" w:type="pct"/>
                  <w:vMerge w:val="continue"/>
                  <w:tcBorders>
                    <w:tl2br w:val="nil"/>
                    <w:tr2bl w:val="nil"/>
                  </w:tcBorders>
                  <w:vAlign w:val="center"/>
                </w:tcPr>
                <w:p w14:paraId="64A11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0"/>
                      <w:highlight w:val="none"/>
                    </w:rPr>
                  </w:pPr>
                </w:p>
              </w:tc>
              <w:tc>
                <w:tcPr>
                  <w:tcW w:w="395" w:type="pct"/>
                  <w:tcBorders>
                    <w:tl2br w:val="nil"/>
                    <w:tr2bl w:val="nil"/>
                  </w:tcBorders>
                  <w:vAlign w:val="center"/>
                </w:tcPr>
                <w:p w14:paraId="500394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bCs/>
                      <w:color w:val="auto"/>
                      <w:sz w:val="21"/>
                      <w:szCs w:val="20"/>
                      <w:highlight w:val="none"/>
                      <w:lang w:val="en-US" w:eastAsia="zh-CN"/>
                    </w:rPr>
                  </w:pPr>
                  <w:r>
                    <w:rPr>
                      <w:rFonts w:hint="eastAsia" w:cs="Times New Roman"/>
                      <w:bCs/>
                      <w:color w:val="auto"/>
                      <w:sz w:val="21"/>
                      <w:szCs w:val="20"/>
                      <w:highlight w:val="none"/>
                      <w:lang w:val="en-US" w:eastAsia="zh-CN"/>
                    </w:rPr>
                    <w:t>每月</w:t>
                  </w:r>
                </w:p>
              </w:tc>
            </w:tr>
          </w:tbl>
          <w:p w14:paraId="3C7E55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szCs w:val="24"/>
                <w:highlight w:val="none"/>
              </w:rPr>
              <w:t>本项目建成后</w:t>
            </w:r>
            <w:r>
              <w:rPr>
                <w:rFonts w:hint="eastAsia" w:ascii="Times New Roman" w:hAnsi="Times New Roman" w:cs="Times New Roman"/>
                <w:color w:val="auto"/>
                <w:sz w:val="24"/>
                <w:szCs w:val="24"/>
                <w:highlight w:val="none"/>
                <w:lang w:eastAsia="zh-CN"/>
              </w:rPr>
              <w:t>全厂</w:t>
            </w:r>
            <w:r>
              <w:rPr>
                <w:rFonts w:hint="default" w:ascii="Times New Roman" w:hAnsi="Times New Roman" w:cs="Times New Roman"/>
                <w:color w:val="auto"/>
                <w:sz w:val="24"/>
                <w:szCs w:val="24"/>
                <w:highlight w:val="none"/>
              </w:rPr>
              <w:t>产生的</w:t>
            </w:r>
            <w:r>
              <w:rPr>
                <w:rFonts w:hint="eastAsia" w:cs="Times New Roman"/>
                <w:color w:val="auto"/>
                <w:sz w:val="24"/>
                <w:szCs w:val="24"/>
                <w:highlight w:val="none"/>
                <w:lang w:eastAsia="zh-CN"/>
              </w:rPr>
              <w:t>一般固体废物</w:t>
            </w:r>
            <w:r>
              <w:rPr>
                <w:rFonts w:hint="default" w:ascii="Times New Roman" w:hAnsi="Times New Roman" w:cs="Times New Roman"/>
                <w:color w:val="auto"/>
                <w:sz w:val="24"/>
                <w:szCs w:val="24"/>
                <w:highlight w:val="none"/>
              </w:rPr>
              <w:t>包括</w:t>
            </w:r>
            <w:r>
              <w:rPr>
                <w:rFonts w:hint="eastAsia" w:cs="Times New Roman"/>
                <w:color w:val="auto"/>
                <w:sz w:val="24"/>
                <w:szCs w:val="24"/>
                <w:highlight w:val="none"/>
                <w:lang w:val="en-US" w:eastAsia="zh-CN"/>
              </w:rPr>
              <w:t>膜片边角料500t/a、废模型1022.5184t/a、废包装袋4.12t/a、废样品0.1t/a、粉尘5.82t/a、废布袋2t/a、天使扣边角料2t/a、废纸板50t/a</w:t>
            </w:r>
            <w:r>
              <w:rPr>
                <w:rFonts w:hint="eastAsia" w:cs="Times New Roman"/>
                <w:color w:val="auto"/>
                <w:sz w:val="24"/>
                <w:szCs w:val="24"/>
                <w:highlight w:val="none"/>
                <w:lang w:eastAsia="zh-CN"/>
              </w:rPr>
              <w:t>等</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膜片边角料、废模型、天使扣边角料、废纸板</w:t>
            </w:r>
            <w:r>
              <w:rPr>
                <w:rFonts w:hint="eastAsia" w:cs="Times New Roman"/>
                <w:color w:val="auto"/>
                <w:sz w:val="24"/>
                <w:szCs w:val="24"/>
                <w:highlight w:val="none"/>
                <w:lang w:eastAsia="zh-CN"/>
              </w:rPr>
              <w:t>和废</w:t>
            </w:r>
            <w:r>
              <w:rPr>
                <w:rFonts w:hint="eastAsia" w:cs="Times New Roman"/>
                <w:color w:val="auto"/>
                <w:sz w:val="24"/>
                <w:szCs w:val="24"/>
                <w:highlight w:val="none"/>
                <w:lang w:val="en-US" w:eastAsia="zh-CN"/>
              </w:rPr>
              <w:t>包装袋</w:t>
            </w:r>
            <w:r>
              <w:rPr>
                <w:rFonts w:hint="eastAsia" w:cs="Times New Roman"/>
                <w:color w:val="auto"/>
                <w:sz w:val="24"/>
                <w:szCs w:val="24"/>
                <w:highlight w:val="none"/>
                <w:lang w:eastAsia="zh-CN"/>
              </w:rPr>
              <w:t>的</w:t>
            </w:r>
            <w:r>
              <w:rPr>
                <w:rFonts w:hint="default" w:ascii="Times New Roman" w:hAnsi="Times New Roman" w:cs="Times New Roman"/>
                <w:color w:val="auto"/>
                <w:sz w:val="24"/>
                <w:szCs w:val="24"/>
                <w:highlight w:val="none"/>
              </w:rPr>
              <w:t>贮存周期为</w:t>
            </w:r>
            <w:r>
              <w:rPr>
                <w:rFonts w:hint="eastAsia" w:cs="Times New Roman"/>
                <w:color w:val="auto"/>
                <w:sz w:val="24"/>
                <w:szCs w:val="24"/>
                <w:highlight w:val="none"/>
                <w:lang w:eastAsia="zh-CN"/>
              </w:rPr>
              <w:t>半</w:t>
            </w:r>
            <w:r>
              <w:rPr>
                <w:rFonts w:hint="eastAsia" w:ascii="Times New Roman" w:hAnsi="Times New Roman" w:cs="Times New Roman"/>
                <w:color w:val="auto"/>
                <w:sz w:val="24"/>
                <w:szCs w:val="24"/>
                <w:highlight w:val="none"/>
                <w:lang w:val="en-US" w:eastAsia="zh-CN"/>
              </w:rPr>
              <w:t>个月</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废样品、</w:t>
            </w:r>
            <w:r>
              <w:rPr>
                <w:rFonts w:hint="eastAsia" w:cs="Times New Roman"/>
                <w:color w:val="auto"/>
                <w:sz w:val="24"/>
                <w:szCs w:val="24"/>
                <w:highlight w:val="none"/>
                <w:lang w:eastAsia="zh-CN"/>
              </w:rPr>
              <w:t>粉尘和废布袋的贮存周期为一年，</w:t>
            </w:r>
            <w:r>
              <w:rPr>
                <w:rFonts w:hint="default" w:ascii="Times New Roman" w:hAnsi="Times New Roman" w:cs="Times New Roman"/>
                <w:color w:val="auto"/>
                <w:sz w:val="24"/>
                <w:szCs w:val="24"/>
                <w:highlight w:val="none"/>
              </w:rPr>
              <w:t>贮存密度以</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计，则</w:t>
            </w:r>
            <w:r>
              <w:rPr>
                <w:rFonts w:hint="eastAsia" w:cs="Times New Roman"/>
                <w:color w:val="auto"/>
                <w:sz w:val="24"/>
                <w:szCs w:val="24"/>
                <w:highlight w:val="none"/>
                <w:lang w:eastAsia="zh-CN"/>
              </w:rPr>
              <w:t>一般固体废物</w:t>
            </w:r>
            <w:r>
              <w:rPr>
                <w:rFonts w:hint="default" w:ascii="Times New Roman" w:hAnsi="Times New Roman" w:cs="Times New Roman"/>
                <w:color w:val="auto"/>
                <w:sz w:val="24"/>
                <w:szCs w:val="24"/>
                <w:highlight w:val="none"/>
              </w:rPr>
              <w:t>仓库所需</w:t>
            </w:r>
            <w:r>
              <w:rPr>
                <w:rFonts w:hint="eastAsia" w:ascii="Times New Roman" w:hAnsi="Times New Roman" w:eastAsia="宋体" w:cs="Times New Roman"/>
                <w:color w:val="auto"/>
                <w:sz w:val="24"/>
                <w:szCs w:val="24"/>
                <w:highlight w:val="none"/>
                <w:lang w:eastAsia="zh-CN"/>
              </w:rPr>
              <w:t>贮存</w:t>
            </w:r>
            <w:r>
              <w:rPr>
                <w:rFonts w:hint="eastAsia" w:cs="Times New Roman"/>
                <w:color w:val="auto"/>
                <w:sz w:val="24"/>
                <w:szCs w:val="24"/>
                <w:highlight w:val="none"/>
                <w:lang w:eastAsia="zh-CN"/>
              </w:rPr>
              <w:t>能力</w:t>
            </w:r>
            <w:r>
              <w:rPr>
                <w:rFonts w:hint="eastAsia" w:ascii="Times New Roman" w:hAnsi="Times New Roman" w:eastAsia="宋体" w:cs="Times New Roman"/>
                <w:color w:val="auto"/>
                <w:sz w:val="24"/>
                <w:szCs w:val="24"/>
                <w:highlight w:val="none"/>
                <w:lang w:eastAsia="zh-CN"/>
              </w:rPr>
              <w:t>为</w:t>
            </w:r>
            <w:r>
              <w:rPr>
                <w:rFonts w:hint="eastAsia" w:eastAsia="宋体" w:cs="Times New Roman"/>
                <w:color w:val="auto"/>
                <w:sz w:val="24"/>
                <w:szCs w:val="24"/>
                <w:highlight w:val="none"/>
                <w:lang w:val="en-US" w:eastAsia="zh-CN"/>
              </w:rPr>
              <w:t>81.83</w:t>
            </w:r>
            <w:r>
              <w:rPr>
                <w:rFonts w:hint="eastAsia" w:ascii="Times New Roman" w:hAnsi="Times New Roman" w:eastAsia="宋体"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一般固体废物</w:t>
            </w:r>
            <w:r>
              <w:rPr>
                <w:rFonts w:hint="default" w:ascii="Times New Roman" w:hAnsi="Times New Roman" w:cs="Times New Roman"/>
                <w:color w:val="auto"/>
                <w:sz w:val="24"/>
                <w:szCs w:val="24"/>
                <w:highlight w:val="none"/>
              </w:rPr>
              <w:t>仓库</w:t>
            </w:r>
            <w:r>
              <w:rPr>
                <w:rFonts w:hint="eastAsia" w:cs="Times New Roman"/>
                <w:color w:val="auto"/>
                <w:sz w:val="24"/>
                <w:szCs w:val="24"/>
                <w:highlight w:val="none"/>
                <w:lang w:eastAsia="zh-CN"/>
              </w:rPr>
              <w:t>贮存能力</w:t>
            </w:r>
            <w:r>
              <w:rPr>
                <w:rFonts w:hint="eastAsia" w:cs="Times New Roman"/>
                <w:color w:val="auto"/>
                <w:sz w:val="24"/>
                <w:szCs w:val="24"/>
                <w:highlight w:val="none"/>
                <w:lang w:val="en-US" w:eastAsia="zh-CN"/>
              </w:rPr>
              <w:t>250</w:t>
            </w:r>
            <w:r>
              <w:rPr>
                <w:rFonts w:hint="default" w:ascii="Times New Roman" w:hAnsi="Times New Roman" w:cs="Times New Roman"/>
                <w:color w:val="auto"/>
                <w:sz w:val="24"/>
                <w:szCs w:val="24"/>
                <w:highlight w:val="none"/>
              </w:rPr>
              <w:t>m</w:t>
            </w:r>
            <w:r>
              <w:rPr>
                <w:rFonts w:hint="eastAsia"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，能够满足存储要求。</w:t>
            </w:r>
          </w:p>
          <w:p w14:paraId="1268979C">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建成后</w:t>
            </w:r>
            <w:r>
              <w:rPr>
                <w:rFonts w:hint="eastAsia" w:ascii="Times New Roman" w:hAnsi="Times New Roman" w:eastAsia="宋体" w:cs="Times New Roman"/>
                <w:color w:val="auto"/>
                <w:sz w:val="24"/>
                <w:highlight w:val="none"/>
                <w:lang w:val="en-US" w:eastAsia="zh-CN"/>
              </w:rPr>
              <w:t>将</w:t>
            </w:r>
            <w:r>
              <w:rPr>
                <w:rFonts w:hint="eastAsia" w:cs="Times New Roman"/>
                <w:color w:val="auto"/>
                <w:sz w:val="24"/>
                <w:highlight w:val="none"/>
                <w:lang w:val="en-US" w:eastAsia="zh-CN"/>
              </w:rPr>
              <w:t>新增（硅油-脱模剂）废包装桶215个/年</w:t>
            </w:r>
            <w:r>
              <w:rPr>
                <w:rFonts w:hint="default" w:ascii="Times New Roman" w:hAnsi="Times New Roman" w:eastAsia="宋体" w:cs="Times New Roman"/>
                <w:color w:val="auto"/>
                <w:sz w:val="24"/>
                <w:highlight w:val="none"/>
                <w:lang w:val="en-US" w:eastAsia="zh-CN"/>
              </w:rPr>
              <w:t>，每</w:t>
            </w:r>
            <w:r>
              <w:rPr>
                <w:rFonts w:hint="eastAsia" w:cs="Times New Roman"/>
                <w:color w:val="auto"/>
                <w:sz w:val="24"/>
                <w:highlight w:val="none"/>
                <w:lang w:val="en-US" w:eastAsia="zh-CN"/>
              </w:rPr>
              <w:t>月转运</w:t>
            </w:r>
            <w:r>
              <w:rPr>
                <w:rFonts w:hint="default" w:ascii="Times New Roman" w:hAnsi="Times New Roman" w:eastAsia="宋体" w:cs="Times New Roman"/>
                <w:color w:val="auto"/>
                <w:sz w:val="24"/>
                <w:highlight w:val="none"/>
                <w:lang w:val="en-US" w:eastAsia="zh-CN"/>
              </w:rPr>
              <w:t>一次；</w:t>
            </w:r>
            <w:r>
              <w:rPr>
                <w:rFonts w:hint="eastAsia" w:ascii="Times New Roman" w:hAnsi="Times New Roman" w:eastAsia="宋体" w:cs="Times New Roman"/>
                <w:color w:val="auto"/>
                <w:sz w:val="24"/>
                <w:highlight w:val="none"/>
                <w:lang w:val="en-US" w:eastAsia="zh-CN"/>
              </w:rPr>
              <w:t>新增</w:t>
            </w:r>
            <w:r>
              <w:rPr>
                <w:rFonts w:hint="default" w:ascii="Times New Roman" w:hAnsi="Times New Roman" w:eastAsia="宋体" w:cs="Times New Roman"/>
                <w:color w:val="auto"/>
                <w:sz w:val="24"/>
                <w:highlight w:val="none"/>
              </w:rPr>
              <w:t>废活性炭</w:t>
            </w:r>
            <w:r>
              <w:rPr>
                <w:rFonts w:hint="eastAsia" w:cs="Times New Roman"/>
                <w:color w:val="auto"/>
                <w:sz w:val="24"/>
                <w:highlight w:val="none"/>
                <w:lang w:val="en-US" w:eastAsia="zh-CN"/>
              </w:rPr>
              <w:t>28.71</w:t>
            </w:r>
            <w:r>
              <w:rPr>
                <w:rFonts w:hint="default" w:ascii="Times New Roman" w:hAnsi="Times New Roman" w:eastAsia="宋体" w:cs="Times New Roman"/>
                <w:color w:val="auto"/>
                <w:sz w:val="24"/>
                <w:highlight w:val="none"/>
                <w:lang w:val="en-US" w:eastAsia="zh-CN"/>
              </w:rPr>
              <w:t>t/a，废活性炭</w:t>
            </w:r>
            <w:r>
              <w:rPr>
                <w:rFonts w:hint="eastAsia" w:cs="Times New Roman"/>
                <w:color w:val="auto"/>
                <w:sz w:val="24"/>
                <w:highlight w:val="none"/>
                <w:lang w:val="en-US" w:eastAsia="zh-CN"/>
              </w:rPr>
              <w:t>每3个月</w:t>
            </w:r>
            <w:r>
              <w:rPr>
                <w:rFonts w:hint="default" w:ascii="Times New Roman" w:hAnsi="Times New Roman" w:eastAsia="宋体" w:cs="Times New Roman"/>
                <w:color w:val="auto"/>
                <w:sz w:val="24"/>
                <w:highlight w:val="none"/>
                <w:lang w:val="en-US" w:eastAsia="zh-CN"/>
              </w:rPr>
              <w:t>转运一次</w:t>
            </w:r>
            <w:r>
              <w:rPr>
                <w:rFonts w:hint="eastAsia" w:cs="Times New Roman"/>
                <w:color w:val="auto"/>
                <w:sz w:val="24"/>
                <w:highlight w:val="none"/>
                <w:lang w:val="en-US" w:eastAsia="zh-CN"/>
              </w:rPr>
              <w:t>；新增废润滑油2t/a，每年转运一次；新增设备清洗废液20t/a，每个月转运一次；①本项目产生（硅油-脱模剂）废包装桶约</w:t>
            </w:r>
            <w:r>
              <w:rPr>
                <w:rFonts w:hint="eastAsia" w:ascii="Times New Roman" w:hAnsi="Times New Roman" w:eastAsia="宋体" w:cs="Times New Roman"/>
                <w:color w:val="auto"/>
                <w:sz w:val="24"/>
                <w:highlight w:val="none"/>
                <w:lang w:val="en-US" w:eastAsia="zh-CN"/>
              </w:rPr>
              <w:t>215只/年</w:t>
            </w:r>
            <w:r>
              <w:rPr>
                <w:rFonts w:hint="default" w:ascii="Times New Roman" w:hAnsi="Times New Roman" w:eastAsia="宋体" w:cs="Times New Roman"/>
                <w:color w:val="auto"/>
                <w:sz w:val="24"/>
                <w:highlight w:val="none"/>
                <w:lang w:val="en-US" w:eastAsia="zh-CN"/>
              </w:rPr>
              <w:t>，每</w:t>
            </w:r>
            <w:r>
              <w:rPr>
                <w:rFonts w:hint="eastAsia" w:cs="Times New Roman"/>
                <w:color w:val="auto"/>
                <w:sz w:val="24"/>
                <w:highlight w:val="none"/>
                <w:lang w:val="en-US" w:eastAsia="zh-CN"/>
              </w:rPr>
              <w:t>月转运</w:t>
            </w:r>
            <w:r>
              <w:rPr>
                <w:rFonts w:hint="default" w:ascii="Times New Roman" w:hAnsi="Times New Roman" w:eastAsia="宋体" w:cs="Times New Roman"/>
                <w:color w:val="auto"/>
                <w:sz w:val="24"/>
                <w:highlight w:val="none"/>
                <w:lang w:val="en-US" w:eastAsia="zh-CN"/>
              </w:rPr>
              <w:t>一次</w:t>
            </w:r>
            <w:r>
              <w:rPr>
                <w:rFonts w:hint="eastAsia" w:cs="Times New Roman"/>
                <w:color w:val="auto"/>
                <w:sz w:val="24"/>
                <w:highlight w:val="none"/>
                <w:lang w:val="en-US" w:eastAsia="zh-CN"/>
              </w:rPr>
              <w:t>，废包装桶码齐后用保鲜膜缠绕暂存于为危险废物车间，单只包装桶的占地面积约为0.3m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，按1层，则所需暂存面积约5.4m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；于危险废物仓库内暂存后委托资质单位处置。②项目新增废活性炭产生量28.71t/a，贮存周期为半年，装入容重为1t的塑料桶中暂存，单只塑料桶的占地面积约为0.785m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，需15只桶，则所需暂存面积约11.775m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；③废润滑油产生量为2t/a，贮存周期为一年，装入容重为1t的塑料桶中暂存，单只塑料桶的占地面积约为0.785m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，需2只桶，则所需暂存面积约1.57m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；④项目产生设备清洗废液20t/a，贮存周期为每月，装入容重为1t的塑料桶中暂存，单只塑料桶的占地面积约为0.785m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，需2只桶，则所需暂存面积约1.57m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w:t>
            </w:r>
          </w:p>
          <w:p w14:paraId="76236B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32"/>
                <w:szCs w:val="32"/>
                <w:highlight w:val="none"/>
                <w:lang w:eastAsia="zh-CN"/>
              </w:rPr>
            </w:pPr>
            <w:r>
              <w:rPr>
                <w:rFonts w:hint="eastAsia" w:cs="Times New Roman"/>
                <w:color w:val="auto"/>
                <w:sz w:val="24"/>
                <w:highlight w:val="none"/>
                <w:lang w:val="en-US" w:eastAsia="zh-CN"/>
              </w:rPr>
              <w:t>综上所述，本项目新增危险废物共需约20.315m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区域暂存</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现有</w:t>
            </w:r>
            <w:r>
              <w:rPr>
                <w:rFonts w:hint="eastAsia" w:cs="Times New Roman"/>
                <w:color w:val="auto"/>
                <w:sz w:val="24"/>
                <w:highlight w:val="none"/>
                <w:lang w:eastAsia="zh-CN"/>
              </w:rPr>
              <w:t>危险废物</w:t>
            </w:r>
            <w:r>
              <w:rPr>
                <w:rFonts w:hint="default" w:ascii="Times New Roman" w:hAnsi="Times New Roman" w:eastAsia="宋体" w:cs="Times New Roman"/>
                <w:color w:val="auto"/>
                <w:sz w:val="24"/>
                <w:highlight w:val="none"/>
              </w:rPr>
              <w:t>仓库建设面积为</w:t>
            </w:r>
            <w:r>
              <w:rPr>
                <w:rFonts w:hint="default" w:ascii="Times New Roman" w:hAnsi="Times New Roman" w:eastAsia="宋体" w:cs="Times New Roman"/>
                <w:color w:val="auto"/>
                <w:sz w:val="24"/>
                <w:highlight w:val="none"/>
                <w:lang w:val="en-US" w:eastAsia="zh-CN"/>
              </w:rPr>
              <w:t>100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现有项目危险废物已使用约40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剩余储存能力</w:t>
            </w:r>
            <w:r>
              <w:rPr>
                <w:rFonts w:hint="eastAsia" w:cs="Times New Roman"/>
                <w:color w:val="auto"/>
                <w:sz w:val="24"/>
                <w:highlight w:val="none"/>
                <w:lang w:val="en-US" w:eastAsia="zh-CN"/>
              </w:rPr>
              <w:t>60m</w:t>
            </w:r>
            <w:r>
              <w:rPr>
                <w:rFonts w:hint="eastAsia"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rPr>
              <w:t>能够满足</w:t>
            </w: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存储要求。</w:t>
            </w:r>
          </w:p>
          <w:p w14:paraId="58C1AC81">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③</w:t>
            </w:r>
            <w:r>
              <w:rPr>
                <w:rFonts w:hint="eastAsia" w:cs="Times New Roman"/>
                <w:b/>
                <w:bCs/>
                <w:color w:val="auto"/>
                <w:sz w:val="24"/>
                <w:highlight w:val="none"/>
                <w:lang w:eastAsia="zh-CN"/>
              </w:rPr>
              <w:t>固体废物</w:t>
            </w:r>
            <w:r>
              <w:rPr>
                <w:rFonts w:hint="default" w:ascii="Times New Roman" w:hAnsi="Times New Roman" w:eastAsia="宋体" w:cs="Times New Roman"/>
                <w:b/>
                <w:bCs/>
                <w:color w:val="auto"/>
                <w:sz w:val="24"/>
                <w:highlight w:val="none"/>
              </w:rPr>
              <w:t>贮存</w:t>
            </w:r>
            <w:r>
              <w:rPr>
                <w:rFonts w:hint="eastAsia" w:ascii="Times New Roman" w:hAnsi="Times New Roman" w:eastAsia="宋体" w:cs="Times New Roman"/>
                <w:b/>
                <w:bCs/>
                <w:color w:val="auto"/>
                <w:sz w:val="24"/>
                <w:highlight w:val="none"/>
                <w:lang w:val="en-US" w:eastAsia="zh-CN"/>
              </w:rPr>
              <w:t>设施环境管理要求</w:t>
            </w:r>
          </w:p>
          <w:p w14:paraId="340AE8E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A.危险废物存入贮存设施前应对危险废物类别和特性与危险废物标签等危险废物识别标志的一致性进行核验，不一致的或类别、特性不明的不应存入。</w:t>
            </w:r>
          </w:p>
          <w:p w14:paraId="1A6AFC8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B.应定期检查危险废物的贮存状况，及时清理贮存设施地面，更换破损泄漏的危险废物贮存容器和包装物，保证堆存危险废物的防雨、防风、防扬尘等设施功能完好。</w:t>
            </w:r>
          </w:p>
          <w:p w14:paraId="06B5439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C.作业设备及车辆等结束作业离开贮存设施时，应对其残留的危险废物进行清理，清理的废物或清洗废水应收集处理。</w:t>
            </w:r>
          </w:p>
          <w:p w14:paraId="6B5ACEA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D.贮存设施运行期间，应按国家有关标准和规定建立危险废物管理台账并保存。</w:t>
            </w:r>
          </w:p>
          <w:p w14:paraId="1004E24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E.贮存设施所有者或运营者应建立贮存设施环境管理制度、管理人员岗位职责制度、设施运行操作制度、人员岗位培训制度等。</w:t>
            </w:r>
          </w:p>
          <w:p w14:paraId="1881C12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F.贮存设施所有者或运营者应依据国家土壤和地下水污染防治的有关规定，结合贮存设施特点建立土壤和地下水污染隐患排查制度，并定期开展隐患排查；发现隐患应及时采取措施消除隐患，并建立档案。</w:t>
            </w:r>
          </w:p>
          <w:p w14:paraId="3043CA1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G.贮存设施所有者或运营者应建立贮存设施全部档案，包括设计、施工、验收、运行、监测和环境应急灯，应按国家有关档案管理的法律法规进行整理和归档。</w:t>
            </w:r>
          </w:p>
          <w:p w14:paraId="4D7A46C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H.应按照要求制定意外事故的方法措施和应急预案。</w:t>
            </w:r>
          </w:p>
          <w:p w14:paraId="5769D58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val="en-US" w:eastAsia="zh-CN"/>
              </w:rPr>
              <w:t>）固体废物转移合规性分析</w:t>
            </w:r>
          </w:p>
          <w:p w14:paraId="532A25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w:t>
            </w:r>
            <w:r>
              <w:rPr>
                <w:rFonts w:hint="default" w:ascii="Times New Roman" w:hAnsi="Times New Roman" w:eastAsia="宋体" w:cs="Times New Roman"/>
                <w:b w:val="0"/>
                <w:bCs w:val="0"/>
                <w:color w:val="auto"/>
                <w:sz w:val="24"/>
                <w:highlight w:val="none"/>
                <w:lang w:val="en-US" w:eastAsia="zh-CN"/>
              </w:rPr>
              <w:t>危险</w:t>
            </w:r>
            <w:r>
              <w:rPr>
                <w:rFonts w:hint="eastAsia" w:ascii="Times New Roman" w:hAnsi="Times New Roman" w:eastAsia="宋体" w:cs="Times New Roman"/>
                <w:b w:val="0"/>
                <w:bCs w:val="0"/>
                <w:color w:val="auto"/>
                <w:sz w:val="24"/>
                <w:highlight w:val="none"/>
                <w:lang w:val="en-US" w:eastAsia="zh-CN"/>
              </w:rPr>
              <w:t>废物</w:t>
            </w:r>
            <w:r>
              <w:rPr>
                <w:rFonts w:hint="default" w:ascii="Times New Roman" w:hAnsi="Times New Roman" w:eastAsia="宋体" w:cs="Times New Roman"/>
                <w:b w:val="0"/>
                <w:bCs w:val="0"/>
                <w:color w:val="auto"/>
                <w:sz w:val="24"/>
                <w:highlight w:val="none"/>
                <w:lang w:val="en-US" w:eastAsia="zh-CN"/>
              </w:rPr>
              <w:t>按照《危险废物管理计划和管理台账制定技术导则》（HJ1259-2022）要求制定危险废物管理计划和管理台账，及危险废物申报相关资料。</w:t>
            </w:r>
          </w:p>
          <w:p w14:paraId="7B983E3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②</w:t>
            </w:r>
            <w:r>
              <w:rPr>
                <w:rFonts w:hint="default" w:ascii="Times New Roman" w:hAnsi="Times New Roman" w:eastAsia="宋体" w:cs="Times New Roman"/>
                <w:b w:val="0"/>
                <w:bCs w:val="0"/>
                <w:color w:val="auto"/>
                <w:sz w:val="24"/>
                <w:highlight w:val="none"/>
                <w:lang w:val="en-US" w:eastAsia="zh-CN"/>
              </w:rPr>
              <w:t>全面落实危险废物转移电子联单制度，实行省内全域扫描“二维码”转移。加强与危险货物道路运输电子运单数据共享，实现运输轨迹可溯可查。</w:t>
            </w:r>
          </w:p>
          <w:p w14:paraId="75EBE1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③</w:t>
            </w:r>
            <w:r>
              <w:rPr>
                <w:rFonts w:hint="default" w:ascii="Times New Roman" w:hAnsi="Times New Roman" w:eastAsia="宋体" w:cs="Times New Roman"/>
                <w:b w:val="0"/>
                <w:bCs w:val="0"/>
                <w:color w:val="auto"/>
                <w:sz w:val="24"/>
                <w:highlight w:val="none"/>
                <w:lang w:val="en-US" w:eastAsia="zh-CN"/>
              </w:rPr>
              <w:t>危险废物的收集、运输按照《危险废物收集 贮存 运输技术规范》（HJ2025-2012）的要求进行。在运输过程中，按照《江苏省固体废物污染环境防治条例》中对危险废物的包装、运输的有关标准、技术规范和要求进行，有效防止危险废物转移过程中污染环境的措施和事故应急救援方案。</w:t>
            </w:r>
          </w:p>
          <w:p w14:paraId="770066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④</w:t>
            </w:r>
            <w:r>
              <w:rPr>
                <w:rFonts w:hint="default" w:ascii="Times New Roman" w:hAnsi="Times New Roman" w:eastAsia="宋体" w:cs="Times New Roman"/>
                <w:b w:val="0"/>
                <w:bCs w:val="0"/>
                <w:color w:val="auto"/>
                <w:sz w:val="24"/>
                <w:highlight w:val="none"/>
                <w:lang w:val="en-US" w:eastAsia="zh-CN"/>
              </w:rPr>
              <w:t>项目需处理的危险废物采用专门的车辆，密闭运输，严格禁止抛洒滴漏，杜绝在运输过程中造成环境的二次污染。在危险废物的运输中执行《危险废物转移联单管理办法》中有关的规定和要求。建设单位须针对此对员工进行培训，加强安全生产及防止污染的意识，培训通过后方可上岗。</w:t>
            </w:r>
          </w:p>
          <w:p w14:paraId="4DDE42C9">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固体废物利用处置方式合规性分析</w:t>
            </w:r>
          </w:p>
          <w:p w14:paraId="3DD55C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①</w:t>
            </w:r>
            <w:r>
              <w:rPr>
                <w:rFonts w:hint="default" w:ascii="Times New Roman" w:hAnsi="Times New Roman" w:eastAsia="宋体" w:cs="Times New Roman"/>
                <w:b w:val="0"/>
                <w:bCs w:val="0"/>
                <w:color w:val="auto"/>
                <w:sz w:val="24"/>
                <w:highlight w:val="none"/>
                <w:lang w:val="en-US" w:eastAsia="zh-CN"/>
              </w:rPr>
              <w:t>危险废物产生单位须依法核实经营单位主体资格和技术能力，直接签订委托合同，并向经营单位提供相关危险废物产生工艺、具体成分，以及是否易燃易爆等信息，违法委托的，应当与造成环境污染和生态破坏的委托方承担连带责任。</w:t>
            </w:r>
          </w:p>
          <w:p w14:paraId="60E7345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②危险废物委托处置的环境影响分析</w:t>
            </w:r>
          </w:p>
          <w:p w14:paraId="2C89FD5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本项目产生的的危险废物主要为</w:t>
            </w:r>
            <w:r>
              <w:rPr>
                <w:rFonts w:hint="eastAsia" w:cs="Times New Roman"/>
                <w:b w:val="0"/>
                <w:bCs w:val="0"/>
                <w:color w:val="auto"/>
                <w:sz w:val="24"/>
                <w:highlight w:val="none"/>
                <w:lang w:val="en-US" w:eastAsia="zh-CN"/>
              </w:rPr>
              <w:t>（硅油-脱模剂）废包装桶</w:t>
            </w:r>
            <w:r>
              <w:rPr>
                <w:rFonts w:hint="eastAsia" w:ascii="Times New Roman" w:hAnsi="Times New Roman" w:eastAsia="宋体" w:cs="Times New Roman"/>
                <w:b w:val="0"/>
                <w:bCs w:val="0"/>
                <w:color w:val="auto"/>
                <w:sz w:val="24"/>
                <w:highlight w:val="none"/>
                <w:lang w:val="en-US" w:eastAsia="zh-CN"/>
              </w:rPr>
              <w:t>（HW49，900-041-49）、废活性炭（HW49，900-039-49）。以上危险废物定期交由江苏永吉环保科技有限公司和江阴市锦绣江南环境发展有限公司处置。危险废物委托处置合同见附件</w:t>
            </w:r>
            <w:r>
              <w:rPr>
                <w:rFonts w:hint="eastAsia" w:cs="Times New Roman"/>
                <w:b w:val="0"/>
                <w:bCs w:val="0"/>
                <w:color w:val="auto"/>
                <w:sz w:val="24"/>
                <w:highlight w:val="none"/>
                <w:lang w:val="en-US" w:eastAsia="zh-CN"/>
              </w:rPr>
              <w:t>6</w:t>
            </w:r>
            <w:r>
              <w:rPr>
                <w:rFonts w:hint="eastAsia" w:ascii="Times New Roman" w:hAnsi="Times New Roman" w:eastAsia="宋体" w:cs="Times New Roman"/>
                <w:b w:val="0"/>
                <w:bCs w:val="0"/>
                <w:color w:val="auto"/>
                <w:sz w:val="24"/>
                <w:highlight w:val="none"/>
                <w:lang w:val="en-US" w:eastAsia="zh-CN"/>
              </w:rPr>
              <w:t>。</w:t>
            </w:r>
          </w:p>
          <w:p w14:paraId="583BE87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w:t>
            </w:r>
            <w:r>
              <w:rPr>
                <w:rFonts w:hint="eastAsia" w:ascii="Times New Roman" w:hAnsi="Times New Roman" w:eastAsia="宋体" w:cs="Times New Roman"/>
                <w:b w:val="0"/>
                <w:bCs w:val="0"/>
                <w:color w:val="auto"/>
                <w:sz w:val="24"/>
                <w:highlight w:val="none"/>
                <w:lang w:val="en-US" w:eastAsia="zh-CN"/>
              </w:rPr>
              <w:t>江苏永吉环保科技有限公司于2021年4月12日取得扬州市生态环境局颁发的“危险废物经营许可证”（危险废物经营许可证编号为JSYZ108400D026-4），江阴市锦绣江南环境发展有限公司于2022年11月9日取得江苏省生态环境厅颁发的“危险废物经营许可证”（危险废物经营许可证编号为JS0281OOI572-4），本项目产生的废包装桶（HW49，900-041-49）</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废活性炭（HW49，900-039-49）</w:t>
            </w:r>
            <w:r>
              <w:rPr>
                <w:rFonts w:hint="eastAsia" w:cs="Times New Roman"/>
                <w:b w:val="0"/>
                <w:bCs w:val="0"/>
                <w:color w:val="auto"/>
                <w:sz w:val="24"/>
                <w:highlight w:val="none"/>
                <w:lang w:val="en-US" w:eastAsia="zh-CN"/>
              </w:rPr>
              <w:t>、设备清洗废液（HW13，900-016-13）、废润滑油（HW08，900-217-08）</w:t>
            </w:r>
            <w:r>
              <w:rPr>
                <w:rFonts w:hint="eastAsia" w:ascii="Times New Roman" w:hAnsi="Times New Roman" w:eastAsia="宋体" w:cs="Times New Roman"/>
                <w:b w:val="0"/>
                <w:bCs w:val="0"/>
                <w:color w:val="auto"/>
                <w:sz w:val="24"/>
                <w:highlight w:val="none"/>
                <w:lang w:val="en-US" w:eastAsia="zh-CN"/>
              </w:rPr>
              <w:t>属于江阴市锦绣江南环境发展有限公司处理处置的范畴，江阴市锦绣江南环境发展有限公司尚有余量。因此本项目产生的危险废物委托江阴市锦绣江南环境发展有限公司处置是可行的。</w:t>
            </w:r>
          </w:p>
          <w:p w14:paraId="0C673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highlight w:val="none"/>
                <w:lang w:val="en-US" w:eastAsia="zh-CN"/>
              </w:rPr>
              <w:t>危险废物贮存过程污染控制要求</w:t>
            </w:r>
          </w:p>
          <w:p w14:paraId="112C6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危险废物贮存污染控制标准</w:t>
            </w:r>
            <w:r>
              <w:rPr>
                <w:rFonts w:hint="eastAsia" w:ascii="Times New Roman" w:hAnsi="Times New Roman" w:eastAsia="宋体" w:cs="Times New Roman"/>
                <w:color w:val="auto"/>
                <w:sz w:val="24"/>
                <w:highlight w:val="none"/>
              </w:rPr>
              <w:t>》（GB</w:t>
            </w:r>
            <w:r>
              <w:rPr>
                <w:rFonts w:hint="eastAsia" w:ascii="Times New Roman" w:hAnsi="Times New Roman" w:eastAsia="宋体" w:cs="Times New Roman"/>
                <w:color w:val="auto"/>
                <w:sz w:val="24"/>
                <w:highlight w:val="none"/>
                <w:lang w:val="en-US" w:eastAsia="zh-CN"/>
              </w:rPr>
              <w:t>18597-2023</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等文件要求，危险废物贮存过程应采取主要污染控制措施如下：</w:t>
            </w:r>
          </w:p>
          <w:p w14:paraId="1F2E75AB">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26 </w:t>
            </w:r>
            <w:r>
              <w:rPr>
                <w:rFonts w:hint="eastAsia" w:ascii="Times New Roman" w:hAnsi="Times New Roman" w:eastAsia="宋体" w:cs="Times New Roman"/>
                <w:b/>
                <w:bCs/>
                <w:color w:val="auto"/>
                <w:kern w:val="2"/>
                <w:sz w:val="24"/>
                <w:szCs w:val="20"/>
                <w:highlight w:val="none"/>
                <w:lang w:val="en-US" w:eastAsia="zh-CN" w:bidi="ar-SA"/>
              </w:rPr>
              <w:t>危险废物贮存过程污染控制要求</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2"/>
              <w:gridCol w:w="4245"/>
              <w:gridCol w:w="2916"/>
              <w:gridCol w:w="755"/>
            </w:tblGrid>
            <w:tr w14:paraId="3AC01B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6581D2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b/>
                      <w:bCs/>
                      <w:color w:val="auto"/>
                      <w:kern w:val="2"/>
                      <w:sz w:val="21"/>
                      <w:szCs w:val="21"/>
                      <w:highlight w:val="none"/>
                      <w:shd w:val="clear" w:color="auto" w:fill="auto"/>
                      <w:lang w:val="en-US" w:eastAsia="zh-CN"/>
                    </w:rPr>
                  </w:pPr>
                  <w:r>
                    <w:rPr>
                      <w:rFonts w:hint="eastAsia" w:ascii="Times New Roman" w:hAnsi="Times New Roman" w:eastAsia="宋体" w:cs="Times New Roman"/>
                      <w:b/>
                      <w:bCs/>
                      <w:color w:val="auto"/>
                      <w:kern w:val="2"/>
                      <w:sz w:val="21"/>
                      <w:szCs w:val="21"/>
                      <w:highlight w:val="none"/>
                      <w:shd w:val="clear" w:color="auto" w:fill="auto"/>
                      <w:lang w:val="en-US" w:eastAsia="zh-CN"/>
                    </w:rPr>
                    <w:t>序号</w:t>
                  </w:r>
                </w:p>
              </w:tc>
              <w:tc>
                <w:tcPr>
                  <w:tcW w:w="2548" w:type="pct"/>
                  <w:tcBorders>
                    <w:tl2br w:val="nil"/>
                    <w:tr2bl w:val="nil"/>
                  </w:tcBorders>
                  <w:noWrap w:val="0"/>
                  <w:tcMar>
                    <w:top w:w="0" w:type="dxa"/>
                    <w:left w:w="0" w:type="dxa"/>
                    <w:bottom w:w="0" w:type="dxa"/>
                    <w:right w:w="0" w:type="dxa"/>
                  </w:tcMar>
                  <w:vAlign w:val="center"/>
                </w:tcPr>
                <w:p w14:paraId="3154E1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color w:val="auto"/>
                      <w:kern w:val="2"/>
                      <w:sz w:val="21"/>
                      <w:szCs w:val="21"/>
                      <w:highlight w:val="none"/>
                      <w:shd w:val="clear" w:color="auto" w:fill="auto"/>
                      <w:lang w:val="en-US" w:eastAsia="zh-CN"/>
                    </w:rPr>
                  </w:pPr>
                  <w:r>
                    <w:rPr>
                      <w:rFonts w:hint="eastAsia" w:ascii="Times New Roman" w:hAnsi="Times New Roman" w:eastAsia="宋体" w:cs="Times New Roman"/>
                      <w:b/>
                      <w:bCs/>
                      <w:color w:val="auto"/>
                      <w:kern w:val="2"/>
                      <w:sz w:val="21"/>
                      <w:szCs w:val="21"/>
                      <w:highlight w:val="none"/>
                      <w:shd w:val="clear" w:color="auto" w:fill="auto"/>
                      <w:lang w:val="en-US" w:eastAsia="zh-CN"/>
                    </w:rPr>
                    <w:t>污染控制要求</w:t>
                  </w:r>
                </w:p>
              </w:tc>
              <w:tc>
                <w:tcPr>
                  <w:tcW w:w="1750" w:type="pct"/>
                  <w:tcBorders>
                    <w:tl2br w:val="nil"/>
                    <w:tr2bl w:val="nil"/>
                  </w:tcBorders>
                  <w:noWrap w:val="0"/>
                  <w:tcMar>
                    <w:top w:w="0" w:type="dxa"/>
                    <w:left w:w="0" w:type="dxa"/>
                    <w:bottom w:w="0" w:type="dxa"/>
                    <w:right w:w="0" w:type="dxa"/>
                  </w:tcMar>
                  <w:vAlign w:val="center"/>
                </w:tcPr>
                <w:p w14:paraId="1A1B18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color w:val="auto"/>
                      <w:kern w:val="2"/>
                      <w:sz w:val="21"/>
                      <w:szCs w:val="21"/>
                      <w:highlight w:val="none"/>
                      <w:shd w:val="clear" w:color="auto" w:fill="auto"/>
                      <w:lang w:val="en-US" w:eastAsia="zh-CN"/>
                    </w:rPr>
                  </w:pPr>
                  <w:r>
                    <w:rPr>
                      <w:rFonts w:hint="eastAsia" w:ascii="Times New Roman" w:hAnsi="Times New Roman" w:eastAsia="宋体" w:cs="Times New Roman"/>
                      <w:b/>
                      <w:bCs/>
                      <w:color w:val="auto"/>
                      <w:kern w:val="2"/>
                      <w:sz w:val="21"/>
                      <w:szCs w:val="21"/>
                      <w:highlight w:val="none"/>
                      <w:shd w:val="clear" w:color="auto" w:fill="auto"/>
                      <w:lang w:val="en-US" w:eastAsia="zh-CN"/>
                    </w:rPr>
                    <w:t>本项目拟采取的措施</w:t>
                  </w:r>
                </w:p>
              </w:tc>
              <w:tc>
                <w:tcPr>
                  <w:tcW w:w="453" w:type="pct"/>
                  <w:tcBorders>
                    <w:tl2br w:val="nil"/>
                    <w:tr2bl w:val="nil"/>
                  </w:tcBorders>
                  <w:noWrap w:val="0"/>
                  <w:tcMar>
                    <w:top w:w="0" w:type="dxa"/>
                    <w:left w:w="0" w:type="dxa"/>
                    <w:bottom w:w="0" w:type="dxa"/>
                    <w:right w:w="0" w:type="dxa"/>
                  </w:tcMar>
                  <w:vAlign w:val="center"/>
                </w:tcPr>
                <w:p w14:paraId="11A47E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bCs/>
                      <w:color w:val="auto"/>
                      <w:kern w:val="2"/>
                      <w:sz w:val="21"/>
                      <w:szCs w:val="21"/>
                      <w:highlight w:val="none"/>
                      <w:shd w:val="clear" w:color="auto" w:fill="auto"/>
                      <w:lang w:val="en-US" w:eastAsia="zh-CN"/>
                    </w:rPr>
                  </w:pPr>
                  <w:r>
                    <w:rPr>
                      <w:rFonts w:hint="eastAsia" w:ascii="Times New Roman" w:hAnsi="Times New Roman" w:eastAsia="宋体" w:cs="Times New Roman"/>
                      <w:b/>
                      <w:bCs/>
                      <w:color w:val="auto"/>
                      <w:kern w:val="2"/>
                      <w:sz w:val="21"/>
                      <w:szCs w:val="21"/>
                      <w:highlight w:val="none"/>
                      <w:shd w:val="clear" w:color="auto" w:fill="auto"/>
                      <w:lang w:val="en-US" w:eastAsia="zh-CN"/>
                    </w:rPr>
                    <w:t>是否符合要求</w:t>
                  </w:r>
                </w:p>
              </w:tc>
            </w:tr>
            <w:tr w14:paraId="723533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14D3D0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1</w:t>
                  </w:r>
                </w:p>
              </w:tc>
              <w:tc>
                <w:tcPr>
                  <w:tcW w:w="2548" w:type="pct"/>
                  <w:tcBorders>
                    <w:tl2br w:val="nil"/>
                    <w:tr2bl w:val="nil"/>
                  </w:tcBorders>
                  <w:noWrap w:val="0"/>
                  <w:tcMar>
                    <w:top w:w="0" w:type="dxa"/>
                    <w:left w:w="0" w:type="dxa"/>
                    <w:bottom w:w="0" w:type="dxa"/>
                    <w:right w:w="0" w:type="dxa"/>
                  </w:tcMar>
                  <w:vAlign w:val="center"/>
                </w:tcPr>
                <w:p w14:paraId="5DB7B0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default" w:ascii="Times New Roman" w:hAnsi="Times New Roman" w:eastAsia="宋体" w:cs="Times New Roman"/>
                      <w:b w:val="0"/>
                      <w:bCs w:val="0"/>
                      <w:color w:val="auto"/>
                      <w:kern w:val="0"/>
                      <w:sz w:val="21"/>
                      <w:szCs w:val="21"/>
                      <w:highlight w:val="none"/>
                      <w:shd w:val="clear" w:color="auto" w:fill="auto"/>
                      <w:lang w:val="en-US" w:eastAsia="zh-CN"/>
                    </w:rPr>
                    <w:t>在贮存库内或通过贮存分区方式贮存液态危险废物的，应具有液体泄漏堵截设施，堵截设施最小容积不应低于对应贮存区域最大液态废物容器容积或液态废物总储量1/10（二者取较大值）。</w:t>
                  </w:r>
                  <w:r>
                    <w:rPr>
                      <w:rFonts w:hint="eastAsia" w:ascii="Times New Roman" w:hAnsi="Times New Roman" w:eastAsia="宋体" w:cs="Times New Roman"/>
                      <w:b w:val="0"/>
                      <w:bCs w:val="0"/>
                      <w:color w:val="auto"/>
                      <w:kern w:val="0"/>
                      <w:sz w:val="21"/>
                      <w:szCs w:val="21"/>
                      <w:highlight w:val="none"/>
                      <w:shd w:val="clear" w:color="auto" w:fill="auto"/>
                      <w:lang w:val="en-US" w:eastAsia="zh-CN"/>
                    </w:rPr>
                    <w:t>用于贮存可能产生渗滤液的危险废物的贮存库或贮存分区应设计渗滤液收集设施，收集设施容积应满足渗滤液的收集要求。</w:t>
                  </w:r>
                </w:p>
              </w:tc>
              <w:tc>
                <w:tcPr>
                  <w:tcW w:w="1750" w:type="pct"/>
                  <w:tcBorders>
                    <w:tl2br w:val="nil"/>
                    <w:tr2bl w:val="nil"/>
                  </w:tcBorders>
                  <w:noWrap w:val="0"/>
                  <w:tcMar>
                    <w:top w:w="0" w:type="dxa"/>
                    <w:left w:w="0" w:type="dxa"/>
                    <w:bottom w:w="0" w:type="dxa"/>
                    <w:right w:w="0" w:type="dxa"/>
                  </w:tcMar>
                  <w:vAlign w:val="center"/>
                </w:tcPr>
                <w:p w14:paraId="1FD733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本项目产生的危险废物主要有</w:t>
                  </w:r>
                  <w:r>
                    <w:rPr>
                      <w:rFonts w:hint="eastAsia" w:cs="Times New Roman"/>
                      <w:b w:val="0"/>
                      <w:bCs w:val="0"/>
                      <w:color w:val="auto"/>
                      <w:kern w:val="0"/>
                      <w:sz w:val="21"/>
                      <w:szCs w:val="21"/>
                      <w:highlight w:val="none"/>
                      <w:shd w:val="clear" w:color="auto" w:fill="auto"/>
                      <w:lang w:val="en-US" w:eastAsia="zh-CN"/>
                    </w:rPr>
                    <w:t>（硅油-脱模剂）废包装桶</w:t>
                  </w:r>
                  <w:r>
                    <w:rPr>
                      <w:rFonts w:hint="eastAsia" w:ascii="Times New Roman" w:hAnsi="Times New Roman" w:eastAsia="宋体" w:cs="Times New Roman"/>
                      <w:b w:val="0"/>
                      <w:bCs w:val="0"/>
                      <w:color w:val="auto"/>
                      <w:kern w:val="0"/>
                      <w:sz w:val="21"/>
                      <w:szCs w:val="21"/>
                      <w:highlight w:val="none"/>
                      <w:shd w:val="clear" w:color="auto" w:fill="auto"/>
                      <w:lang w:val="en-US" w:eastAsia="zh-CN"/>
                    </w:rPr>
                    <w:t>、废活性炭</w:t>
                  </w:r>
                  <w:r>
                    <w:rPr>
                      <w:rFonts w:hint="eastAsia" w:cs="Times New Roman"/>
                      <w:b w:val="0"/>
                      <w:bCs w:val="0"/>
                      <w:color w:val="auto"/>
                      <w:kern w:val="0"/>
                      <w:sz w:val="21"/>
                      <w:szCs w:val="21"/>
                      <w:highlight w:val="none"/>
                      <w:shd w:val="clear" w:color="auto" w:fill="auto"/>
                      <w:lang w:val="en-US" w:eastAsia="zh-CN"/>
                    </w:rPr>
                    <w:t>、废油、设备清洗废液</w:t>
                  </w:r>
                  <w:r>
                    <w:rPr>
                      <w:rFonts w:hint="eastAsia" w:ascii="Times New Roman" w:hAnsi="Times New Roman" w:eastAsia="宋体" w:cs="Times New Roman"/>
                      <w:b w:val="0"/>
                      <w:bCs w:val="0"/>
                      <w:color w:val="auto"/>
                      <w:kern w:val="0"/>
                      <w:sz w:val="21"/>
                      <w:szCs w:val="21"/>
                      <w:highlight w:val="none"/>
                      <w:shd w:val="clear" w:color="auto" w:fill="auto"/>
                      <w:lang w:eastAsia="zh-CN"/>
                    </w:rPr>
                    <w:t>。液体</w:t>
                  </w:r>
                  <w:r>
                    <w:rPr>
                      <w:rFonts w:hint="eastAsia" w:cs="Times New Roman"/>
                      <w:b w:val="0"/>
                      <w:bCs w:val="0"/>
                      <w:color w:val="auto"/>
                      <w:kern w:val="0"/>
                      <w:sz w:val="21"/>
                      <w:szCs w:val="21"/>
                      <w:highlight w:val="none"/>
                      <w:shd w:val="clear" w:color="auto" w:fill="auto"/>
                      <w:lang w:eastAsia="zh-CN"/>
                    </w:rPr>
                    <w:t>危险废物</w:t>
                  </w:r>
                  <w:r>
                    <w:rPr>
                      <w:rFonts w:hint="eastAsia" w:ascii="Times New Roman" w:hAnsi="Times New Roman" w:eastAsia="宋体" w:cs="Times New Roman"/>
                      <w:b w:val="0"/>
                      <w:bCs w:val="0"/>
                      <w:color w:val="auto"/>
                      <w:kern w:val="0"/>
                      <w:sz w:val="21"/>
                      <w:szCs w:val="21"/>
                      <w:highlight w:val="none"/>
                      <w:shd w:val="clear" w:color="auto" w:fill="auto"/>
                      <w:lang w:eastAsia="zh-CN"/>
                    </w:rPr>
                    <w:t>均为密闭桶装，且下方设有防渗漏托盘</w:t>
                  </w:r>
                  <w:r>
                    <w:rPr>
                      <w:rFonts w:hint="eastAsia" w:ascii="Times New Roman" w:hAnsi="Times New Roman" w:eastAsia="宋体" w:cs="Times New Roman"/>
                      <w:b w:val="0"/>
                      <w:bCs w:val="0"/>
                      <w:color w:val="auto"/>
                      <w:kern w:val="0"/>
                      <w:sz w:val="21"/>
                      <w:szCs w:val="21"/>
                      <w:highlight w:val="none"/>
                      <w:shd w:val="clear" w:color="auto" w:fill="auto"/>
                      <w:lang w:val="en-US" w:eastAsia="zh-CN"/>
                    </w:rPr>
                    <w:t>并设置截流沟</w:t>
                  </w:r>
                  <w:r>
                    <w:rPr>
                      <w:rFonts w:hint="eastAsia" w:ascii="Times New Roman" w:hAnsi="Times New Roman" w:eastAsia="宋体" w:cs="Times New Roman"/>
                      <w:b w:val="0"/>
                      <w:bCs w:val="0"/>
                      <w:color w:val="auto"/>
                      <w:kern w:val="0"/>
                      <w:sz w:val="21"/>
                      <w:szCs w:val="21"/>
                      <w:highlight w:val="none"/>
                      <w:shd w:val="clear" w:color="auto" w:fill="auto"/>
                      <w:lang w:eastAsia="zh-CN"/>
                    </w:rPr>
                    <w:t>，</w:t>
                  </w:r>
                  <w:r>
                    <w:rPr>
                      <w:rFonts w:hint="eastAsia" w:ascii="Times New Roman" w:hAnsi="Times New Roman" w:eastAsia="宋体" w:cs="Times New Roman"/>
                      <w:b w:val="0"/>
                      <w:bCs w:val="0"/>
                      <w:color w:val="auto"/>
                      <w:kern w:val="0"/>
                      <w:sz w:val="21"/>
                      <w:szCs w:val="21"/>
                      <w:highlight w:val="none"/>
                      <w:shd w:val="clear" w:color="auto" w:fill="auto"/>
                      <w:lang w:val="en-US" w:eastAsia="zh-CN"/>
                    </w:rPr>
                    <w:t>可满足截流要求</w:t>
                  </w:r>
                  <w:r>
                    <w:rPr>
                      <w:rFonts w:hint="eastAsia" w:ascii="Times New Roman" w:hAnsi="Times New Roman" w:eastAsia="宋体" w:cs="Times New Roman"/>
                      <w:b w:val="0"/>
                      <w:bCs w:val="0"/>
                      <w:color w:val="auto"/>
                      <w:kern w:val="0"/>
                      <w:sz w:val="21"/>
                      <w:szCs w:val="21"/>
                      <w:highlight w:val="none"/>
                      <w:shd w:val="clear" w:color="auto" w:fill="auto"/>
                      <w:lang w:eastAsia="zh-CN"/>
                    </w:rPr>
                    <w:t>。</w:t>
                  </w:r>
                  <w:r>
                    <w:rPr>
                      <w:rFonts w:hint="eastAsia" w:ascii="Times New Roman" w:hAnsi="Times New Roman" w:eastAsia="宋体" w:cs="Times New Roman"/>
                      <w:b w:val="0"/>
                      <w:bCs w:val="0"/>
                      <w:color w:val="auto"/>
                      <w:kern w:val="0"/>
                      <w:sz w:val="21"/>
                      <w:szCs w:val="21"/>
                      <w:highlight w:val="none"/>
                      <w:shd w:val="clear" w:color="auto" w:fill="auto"/>
                      <w:lang w:val="en-US" w:eastAsia="zh-CN"/>
                    </w:rPr>
                    <w:t>本项目各类</w:t>
                  </w:r>
                  <w:r>
                    <w:rPr>
                      <w:rFonts w:hint="eastAsia" w:cs="Times New Roman"/>
                      <w:b w:val="0"/>
                      <w:bCs w:val="0"/>
                      <w:color w:val="auto"/>
                      <w:kern w:val="0"/>
                      <w:sz w:val="21"/>
                      <w:szCs w:val="21"/>
                      <w:highlight w:val="none"/>
                      <w:shd w:val="clear" w:color="auto" w:fill="auto"/>
                      <w:lang w:val="en-US" w:eastAsia="zh-CN"/>
                    </w:rPr>
                    <w:t>危险废物</w:t>
                  </w:r>
                  <w:r>
                    <w:rPr>
                      <w:rFonts w:hint="eastAsia" w:ascii="Times New Roman" w:hAnsi="Times New Roman" w:eastAsia="宋体" w:cs="Times New Roman"/>
                      <w:b w:val="0"/>
                      <w:bCs w:val="0"/>
                      <w:color w:val="auto"/>
                      <w:kern w:val="0"/>
                      <w:sz w:val="21"/>
                      <w:szCs w:val="21"/>
                      <w:highlight w:val="none"/>
                      <w:shd w:val="clear" w:color="auto" w:fill="auto"/>
                      <w:lang w:val="en-US" w:eastAsia="zh-CN"/>
                    </w:rPr>
                    <w:t>贮存过程无渗滤液产生。</w:t>
                  </w:r>
                </w:p>
              </w:tc>
              <w:tc>
                <w:tcPr>
                  <w:tcW w:w="453" w:type="pct"/>
                  <w:tcBorders>
                    <w:tl2br w:val="nil"/>
                    <w:tr2bl w:val="nil"/>
                  </w:tcBorders>
                  <w:noWrap w:val="0"/>
                  <w:tcMar>
                    <w:top w:w="0" w:type="dxa"/>
                    <w:left w:w="0" w:type="dxa"/>
                    <w:bottom w:w="0" w:type="dxa"/>
                    <w:right w:w="0" w:type="dxa"/>
                  </w:tcMar>
                  <w:vAlign w:val="center"/>
                </w:tcPr>
                <w:p w14:paraId="11A803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b w:val="0"/>
                      <w:bCs w:val="0"/>
                      <w:color w:val="auto"/>
                      <w:kern w:val="0"/>
                      <w:sz w:val="21"/>
                      <w:szCs w:val="21"/>
                      <w:highlight w:val="none"/>
                      <w:shd w:val="clear" w:color="auto" w:fill="auto"/>
                      <w:lang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符合</w:t>
                  </w:r>
                </w:p>
              </w:tc>
            </w:tr>
            <w:tr w14:paraId="7B1601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47063A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2</w:t>
                  </w:r>
                </w:p>
              </w:tc>
              <w:tc>
                <w:tcPr>
                  <w:tcW w:w="2548" w:type="pct"/>
                  <w:tcBorders>
                    <w:tl2br w:val="nil"/>
                    <w:tr2bl w:val="nil"/>
                  </w:tcBorders>
                  <w:noWrap w:val="0"/>
                  <w:tcMar>
                    <w:top w:w="0" w:type="dxa"/>
                    <w:left w:w="0" w:type="dxa"/>
                    <w:bottom w:w="0" w:type="dxa"/>
                    <w:right w:w="0" w:type="dxa"/>
                  </w:tcMar>
                  <w:vAlign w:val="center"/>
                </w:tcPr>
                <w:p w14:paraId="74157E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易产生粉尘、VOCs、酸雾、有毒有害大气污染物和刺激性气味气体的危险废物应装入闭口容器或包装物内贮存。</w:t>
                  </w:r>
                </w:p>
              </w:tc>
              <w:tc>
                <w:tcPr>
                  <w:tcW w:w="1750" w:type="pct"/>
                  <w:tcBorders>
                    <w:tl2br w:val="nil"/>
                    <w:tr2bl w:val="nil"/>
                  </w:tcBorders>
                  <w:noWrap w:val="0"/>
                  <w:tcMar>
                    <w:top w:w="0" w:type="dxa"/>
                    <w:left w:w="0" w:type="dxa"/>
                    <w:bottom w:w="0" w:type="dxa"/>
                    <w:right w:w="0" w:type="dxa"/>
                  </w:tcMar>
                  <w:vAlign w:val="center"/>
                </w:tcPr>
                <w:p w14:paraId="67E39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本项目产生的危险废物主要有</w:t>
                  </w:r>
                  <w:r>
                    <w:rPr>
                      <w:rFonts w:hint="eastAsia" w:cs="Times New Roman"/>
                      <w:b w:val="0"/>
                      <w:bCs w:val="0"/>
                      <w:color w:val="auto"/>
                      <w:kern w:val="0"/>
                      <w:sz w:val="21"/>
                      <w:szCs w:val="21"/>
                      <w:highlight w:val="none"/>
                      <w:shd w:val="clear" w:color="auto" w:fill="auto"/>
                      <w:lang w:val="en-US" w:eastAsia="zh-CN"/>
                    </w:rPr>
                    <w:t>（硅油-脱模剂）废包装桶</w:t>
                  </w:r>
                  <w:r>
                    <w:rPr>
                      <w:rFonts w:hint="eastAsia" w:ascii="Times New Roman" w:hAnsi="Times New Roman" w:eastAsia="宋体" w:cs="Times New Roman"/>
                      <w:b w:val="0"/>
                      <w:bCs w:val="0"/>
                      <w:color w:val="auto"/>
                      <w:kern w:val="0"/>
                      <w:sz w:val="21"/>
                      <w:szCs w:val="21"/>
                      <w:highlight w:val="none"/>
                      <w:shd w:val="clear" w:color="auto" w:fill="auto"/>
                      <w:lang w:val="en-US" w:eastAsia="zh-CN"/>
                    </w:rPr>
                    <w:t>、废活性炭</w:t>
                  </w:r>
                  <w:r>
                    <w:rPr>
                      <w:rFonts w:hint="eastAsia" w:cs="Times New Roman"/>
                      <w:b w:val="0"/>
                      <w:bCs w:val="0"/>
                      <w:color w:val="auto"/>
                      <w:kern w:val="0"/>
                      <w:sz w:val="21"/>
                      <w:szCs w:val="21"/>
                      <w:highlight w:val="none"/>
                      <w:shd w:val="clear" w:color="auto" w:fill="auto"/>
                      <w:lang w:val="en-US" w:eastAsia="zh-CN"/>
                    </w:rPr>
                    <w:t>、废油、设备清洗废液</w:t>
                  </w:r>
                  <w:r>
                    <w:rPr>
                      <w:rFonts w:hint="eastAsia" w:ascii="Times New Roman" w:hAnsi="Times New Roman" w:eastAsia="宋体" w:cs="Times New Roman"/>
                      <w:b w:val="0"/>
                      <w:bCs w:val="0"/>
                      <w:color w:val="auto"/>
                      <w:kern w:val="0"/>
                      <w:sz w:val="21"/>
                      <w:szCs w:val="21"/>
                      <w:highlight w:val="none"/>
                      <w:shd w:val="clear" w:color="auto" w:fill="auto"/>
                      <w:lang w:val="en-US" w:eastAsia="zh-CN"/>
                    </w:rPr>
                    <w:t>等</w:t>
                  </w:r>
                  <w:r>
                    <w:rPr>
                      <w:rFonts w:hint="eastAsia" w:ascii="Times New Roman" w:hAnsi="Times New Roman" w:eastAsia="宋体" w:cs="Times New Roman"/>
                      <w:b w:val="0"/>
                      <w:bCs w:val="0"/>
                      <w:color w:val="auto"/>
                      <w:kern w:val="0"/>
                      <w:sz w:val="21"/>
                      <w:szCs w:val="21"/>
                      <w:highlight w:val="none"/>
                      <w:shd w:val="clear" w:color="auto" w:fill="auto"/>
                      <w:lang w:eastAsia="zh-CN"/>
                    </w:rPr>
                    <w:t>。液体</w:t>
                  </w:r>
                  <w:r>
                    <w:rPr>
                      <w:rFonts w:hint="eastAsia" w:cs="Times New Roman"/>
                      <w:b w:val="0"/>
                      <w:bCs w:val="0"/>
                      <w:color w:val="auto"/>
                      <w:kern w:val="0"/>
                      <w:sz w:val="21"/>
                      <w:szCs w:val="21"/>
                      <w:highlight w:val="none"/>
                      <w:shd w:val="clear" w:color="auto" w:fill="auto"/>
                      <w:lang w:eastAsia="zh-CN"/>
                    </w:rPr>
                    <w:t>危险废物</w:t>
                  </w:r>
                  <w:r>
                    <w:rPr>
                      <w:rFonts w:hint="eastAsia" w:ascii="Times New Roman" w:hAnsi="Times New Roman" w:eastAsia="宋体" w:cs="Times New Roman"/>
                      <w:b w:val="0"/>
                      <w:bCs w:val="0"/>
                      <w:color w:val="auto"/>
                      <w:kern w:val="0"/>
                      <w:sz w:val="21"/>
                      <w:szCs w:val="21"/>
                      <w:highlight w:val="none"/>
                      <w:shd w:val="clear" w:color="auto" w:fill="auto"/>
                      <w:lang w:eastAsia="zh-CN"/>
                    </w:rPr>
                    <w:t>均为密闭桶装</w:t>
                  </w:r>
                  <w:r>
                    <w:rPr>
                      <w:rFonts w:hint="eastAsia" w:ascii="Times New Roman" w:hAnsi="Times New Roman" w:eastAsia="宋体" w:cs="Times New Roman"/>
                      <w:b w:val="0"/>
                      <w:bCs w:val="0"/>
                      <w:color w:val="auto"/>
                      <w:kern w:val="0"/>
                      <w:sz w:val="21"/>
                      <w:szCs w:val="21"/>
                      <w:highlight w:val="none"/>
                      <w:shd w:val="clear" w:color="auto" w:fill="auto"/>
                      <w:lang w:val="en-US" w:eastAsia="zh-CN"/>
                    </w:rPr>
                    <w:t>贮存</w:t>
                  </w:r>
                  <w:r>
                    <w:rPr>
                      <w:rFonts w:hint="eastAsia" w:ascii="Times New Roman" w:hAnsi="Times New Roman" w:eastAsia="宋体" w:cs="Times New Roman"/>
                      <w:b w:val="0"/>
                      <w:bCs w:val="0"/>
                      <w:color w:val="auto"/>
                      <w:kern w:val="0"/>
                      <w:sz w:val="21"/>
                      <w:szCs w:val="21"/>
                      <w:highlight w:val="none"/>
                      <w:shd w:val="clear" w:color="auto" w:fill="auto"/>
                      <w:lang w:eastAsia="zh-CN"/>
                    </w:rPr>
                    <w:t>。</w:t>
                  </w:r>
                </w:p>
              </w:tc>
              <w:tc>
                <w:tcPr>
                  <w:tcW w:w="453" w:type="pct"/>
                  <w:tcBorders>
                    <w:tl2br w:val="nil"/>
                    <w:tr2bl w:val="nil"/>
                  </w:tcBorders>
                  <w:noWrap w:val="0"/>
                  <w:tcMar>
                    <w:top w:w="0" w:type="dxa"/>
                    <w:left w:w="0" w:type="dxa"/>
                    <w:bottom w:w="0" w:type="dxa"/>
                    <w:right w:w="0" w:type="dxa"/>
                  </w:tcMar>
                  <w:vAlign w:val="center"/>
                </w:tcPr>
                <w:p w14:paraId="2DBB4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b w:val="0"/>
                      <w:bCs w:val="0"/>
                      <w:color w:val="auto"/>
                      <w:kern w:val="0"/>
                      <w:sz w:val="21"/>
                      <w:szCs w:val="21"/>
                      <w:highlight w:val="none"/>
                      <w:shd w:val="clear" w:color="auto" w:fill="auto"/>
                      <w:lang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符合</w:t>
                  </w:r>
                </w:p>
              </w:tc>
            </w:tr>
            <w:tr w14:paraId="493D57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tcBorders>
                    <w:tl2br w:val="nil"/>
                    <w:tr2bl w:val="nil"/>
                  </w:tcBorders>
                  <w:noWrap w:val="0"/>
                  <w:tcMar>
                    <w:top w:w="0" w:type="dxa"/>
                    <w:left w:w="0" w:type="dxa"/>
                    <w:bottom w:w="0" w:type="dxa"/>
                    <w:right w:w="0" w:type="dxa"/>
                  </w:tcMar>
                  <w:vAlign w:val="center"/>
                </w:tcPr>
                <w:p w14:paraId="785A0B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3</w:t>
                  </w:r>
                </w:p>
              </w:tc>
              <w:tc>
                <w:tcPr>
                  <w:tcW w:w="2548" w:type="pct"/>
                  <w:tcBorders>
                    <w:tl2br w:val="nil"/>
                    <w:tr2bl w:val="nil"/>
                  </w:tcBorders>
                  <w:noWrap w:val="0"/>
                  <w:tcMar>
                    <w:top w:w="0" w:type="dxa"/>
                    <w:left w:w="0" w:type="dxa"/>
                    <w:bottom w:w="0" w:type="dxa"/>
                    <w:right w:w="0" w:type="dxa"/>
                  </w:tcMar>
                  <w:vAlign w:val="center"/>
                </w:tcPr>
                <w:p w14:paraId="54309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both"/>
                    <w:textAlignment w:val="center"/>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ascii="Times New Roman" w:hAnsi="Times New Roman" w:eastAsia="宋体" w:cs="Times New Roman"/>
                      <w:b w:val="0"/>
                      <w:bCs w:val="0"/>
                      <w:color w:val="auto"/>
                      <w:kern w:val="0"/>
                      <w:sz w:val="21"/>
                      <w:szCs w:val="21"/>
                      <w:highlight w:val="none"/>
                      <w:shd w:val="clear" w:color="auto" w:fill="auto"/>
                      <w:lang w:val="en-US" w:eastAsia="zh-CN"/>
                    </w:rPr>
                    <w:t>贮存易产生粉尘、</w:t>
                  </w:r>
                  <w:r>
                    <w:rPr>
                      <w:rFonts w:hint="eastAsia" w:ascii="Times New Roman" w:hAnsi="Times New Roman" w:eastAsia="宋体" w:cs="Times New Roman"/>
                      <w:b w:val="0"/>
                      <w:bCs w:val="0"/>
                      <w:color w:val="auto"/>
                      <w:kern w:val="0"/>
                      <w:sz w:val="21"/>
                      <w:szCs w:val="21"/>
                      <w:highlight w:val="none"/>
                      <w:u w:val="none"/>
                      <w:shd w:val="clear" w:color="auto" w:fill="auto"/>
                      <w:lang w:val="en-US" w:eastAsia="zh-CN"/>
                    </w:rPr>
                    <w:t>VOCs、酸雾、有毒有害大气污染物和刺激性气味气体的危险废物贮存库，应设置气体收集装置和气体净化设施，气体净化设施的排气筒高度应符合GB16297要求。同时，贮存设施产生的废气（无组织废气）的排放应符合GB37822的要求。</w:t>
                  </w:r>
                </w:p>
              </w:tc>
              <w:tc>
                <w:tcPr>
                  <w:tcW w:w="1750" w:type="pct"/>
                  <w:tcBorders>
                    <w:tl2br w:val="nil"/>
                    <w:tr2bl w:val="nil"/>
                  </w:tcBorders>
                  <w:noWrap w:val="0"/>
                  <w:tcMar>
                    <w:top w:w="0" w:type="dxa"/>
                    <w:left w:w="0" w:type="dxa"/>
                    <w:bottom w:w="0" w:type="dxa"/>
                    <w:right w:w="0" w:type="dxa"/>
                  </w:tcMar>
                  <w:vAlign w:val="center"/>
                </w:tcPr>
                <w:p w14:paraId="1815D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b w:val="0"/>
                      <w:bCs w:val="0"/>
                      <w:color w:val="auto"/>
                      <w:kern w:val="0"/>
                      <w:sz w:val="21"/>
                      <w:szCs w:val="21"/>
                      <w:highlight w:val="none"/>
                      <w:shd w:val="clear" w:color="auto" w:fill="auto"/>
                      <w:lang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本项目产生的危险废物密闭储存，</w:t>
                  </w:r>
                  <w:r>
                    <w:rPr>
                      <w:rFonts w:hint="eastAsia" w:cs="Times New Roman"/>
                      <w:b w:val="0"/>
                      <w:bCs w:val="0"/>
                      <w:color w:val="auto"/>
                      <w:kern w:val="0"/>
                      <w:sz w:val="21"/>
                      <w:szCs w:val="21"/>
                      <w:highlight w:val="none"/>
                      <w:shd w:val="clear" w:color="auto" w:fill="auto"/>
                      <w:lang w:val="en-US" w:eastAsia="zh-CN"/>
                    </w:rPr>
                    <w:t>危险废物</w:t>
                  </w:r>
                  <w:r>
                    <w:rPr>
                      <w:rFonts w:hint="eastAsia" w:ascii="Times New Roman" w:hAnsi="Times New Roman" w:eastAsia="宋体" w:cs="Times New Roman"/>
                      <w:b w:val="0"/>
                      <w:bCs w:val="0"/>
                      <w:color w:val="auto"/>
                      <w:kern w:val="0"/>
                      <w:sz w:val="21"/>
                      <w:szCs w:val="21"/>
                      <w:highlight w:val="none"/>
                      <w:shd w:val="clear" w:color="auto" w:fill="auto"/>
                      <w:lang w:val="en-US" w:eastAsia="zh-CN"/>
                    </w:rPr>
                    <w:t>仓库已设置气体收集装置和气体净化装置，无组织废气排放满足《挥发性有机物无组织排放控制标准》（GB37822-2019）中特别排放限值</w:t>
                  </w:r>
                  <w:r>
                    <w:rPr>
                      <w:rFonts w:hint="eastAsia" w:ascii="Times New Roman" w:hAnsi="Times New Roman" w:eastAsia="宋体" w:cs="Times New Roman"/>
                      <w:b w:val="0"/>
                      <w:bCs w:val="0"/>
                      <w:color w:val="auto"/>
                      <w:kern w:val="0"/>
                      <w:sz w:val="21"/>
                      <w:szCs w:val="21"/>
                      <w:highlight w:val="none"/>
                      <w:shd w:val="clear" w:color="auto" w:fill="auto"/>
                      <w:lang w:eastAsia="zh-CN"/>
                    </w:rPr>
                    <w:t>。</w:t>
                  </w:r>
                </w:p>
              </w:tc>
              <w:tc>
                <w:tcPr>
                  <w:tcW w:w="453" w:type="pct"/>
                  <w:tcBorders>
                    <w:tl2br w:val="nil"/>
                    <w:tr2bl w:val="nil"/>
                  </w:tcBorders>
                  <w:noWrap w:val="0"/>
                  <w:tcMar>
                    <w:top w:w="0" w:type="dxa"/>
                    <w:left w:w="0" w:type="dxa"/>
                    <w:bottom w:w="0" w:type="dxa"/>
                    <w:right w:w="0" w:type="dxa"/>
                  </w:tcMar>
                  <w:vAlign w:val="center"/>
                </w:tcPr>
                <w:p w14:paraId="49C9F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center"/>
                    <w:rPr>
                      <w:rFonts w:hint="eastAsia" w:ascii="Times New Roman" w:hAnsi="Times New Roman" w:eastAsia="宋体" w:cs="Times New Roman"/>
                      <w:b w:val="0"/>
                      <w:bCs w:val="0"/>
                      <w:color w:val="auto"/>
                      <w:kern w:val="0"/>
                      <w:sz w:val="21"/>
                      <w:szCs w:val="21"/>
                      <w:highlight w:val="none"/>
                      <w:shd w:val="clear" w:color="auto" w:fill="auto"/>
                      <w:lang w:eastAsia="zh-CN"/>
                    </w:rPr>
                  </w:pPr>
                  <w:r>
                    <w:rPr>
                      <w:rFonts w:hint="eastAsia" w:ascii="Times New Roman" w:hAnsi="Times New Roman" w:eastAsia="宋体" w:cs="Times New Roman"/>
                      <w:b w:val="0"/>
                      <w:bCs w:val="0"/>
                      <w:color w:val="auto"/>
                      <w:kern w:val="0"/>
                      <w:sz w:val="21"/>
                      <w:szCs w:val="21"/>
                      <w:highlight w:val="none"/>
                      <w:shd w:val="clear" w:color="auto" w:fill="auto"/>
                      <w:lang w:eastAsia="zh-CN"/>
                    </w:rPr>
                    <w:t>符合</w:t>
                  </w:r>
                </w:p>
              </w:tc>
            </w:tr>
          </w:tbl>
          <w:p w14:paraId="73B65D8B">
            <w:pPr>
              <w:keepNext w:val="0"/>
              <w:keepLines w:val="0"/>
              <w:suppressLineNumbers w:val="0"/>
              <w:autoSpaceDE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环境保护图形标志牌</w:t>
            </w:r>
          </w:p>
          <w:p w14:paraId="32DE4525">
            <w:pPr>
              <w:keepNext w:val="0"/>
              <w:keepLines w:val="0"/>
              <w:widowControl/>
              <w:suppressLineNumbers w:val="0"/>
              <w:spacing w:before="0" w:beforeAutospacing="0" w:after="0" w:afterAutospacing="0" w:line="360" w:lineRule="auto"/>
              <w:ind w:left="0" w:right="0" w:firstLine="480"/>
              <w:rPr>
                <w:rFonts w:hint="eastAsia" w:ascii="Times New Roman" w:hAnsi="Times New Roman" w:eastAsia="宋体"/>
                <w:color w:val="auto"/>
                <w:sz w:val="24"/>
                <w:szCs w:val="24"/>
                <w:highlight w:val="none"/>
                <w:lang w:eastAsia="zh-CN"/>
              </w:rPr>
            </w:pPr>
            <w:r>
              <w:rPr>
                <w:rFonts w:hint="default" w:ascii="Times New Roman" w:hAnsi="Times New Roman" w:eastAsia="宋体"/>
                <w:color w:val="auto"/>
                <w:sz w:val="24"/>
                <w:szCs w:val="24"/>
                <w:highlight w:val="none"/>
              </w:rPr>
              <w:t>建设单位按照《</w:t>
            </w:r>
            <w:r>
              <w:rPr>
                <w:rFonts w:hint="eastAsia" w:ascii="Times New Roman" w:hAnsi="Times New Roman" w:eastAsia="宋体"/>
                <w:color w:val="auto"/>
                <w:sz w:val="24"/>
                <w:szCs w:val="24"/>
                <w:highlight w:val="none"/>
                <w:lang w:eastAsia="zh-CN"/>
              </w:rPr>
              <w:t>环境保护图形标志 固体废物贮存（处置）场</w:t>
            </w:r>
            <w:r>
              <w:rPr>
                <w:rFonts w:hint="default" w:ascii="Times New Roman" w:hAnsi="Times New Roman" w:eastAsia="宋体"/>
                <w:color w:val="auto"/>
                <w:sz w:val="24"/>
                <w:szCs w:val="24"/>
                <w:highlight w:val="none"/>
              </w:rPr>
              <w:t>》（GB15562.2-1995）</w:t>
            </w:r>
            <w:r>
              <w:rPr>
                <w:rFonts w:hint="eastAsia" w:ascii="Times New Roman" w:hAnsi="Times New Roman" w:eastAsia="宋体"/>
                <w:color w:val="auto"/>
                <w:sz w:val="24"/>
                <w:szCs w:val="24"/>
                <w:highlight w:val="none"/>
                <w:lang w:val="en-US" w:eastAsia="zh-CN"/>
              </w:rPr>
              <w:t>及</w:t>
            </w:r>
            <w:r>
              <w:rPr>
                <w:rFonts w:hint="eastAsia" w:ascii="Times New Roman" w:hAnsi="Times New Roman" w:eastAsia="宋体"/>
                <w:color w:val="auto"/>
                <w:sz w:val="24"/>
                <w:szCs w:val="24"/>
                <w:highlight w:val="none"/>
                <w:lang w:eastAsia="zh-CN"/>
              </w:rPr>
              <w:t>《环境保护图形标志 固体废物贮存（处置）场</w:t>
            </w:r>
            <w:r>
              <w:rPr>
                <w:rFonts w:hint="eastAsia" w:ascii="Times New Roman" w:hAnsi="Times New Roman" w:eastAsia="宋体"/>
                <w:color w:val="auto"/>
                <w:sz w:val="24"/>
                <w:szCs w:val="24"/>
                <w:highlight w:val="none"/>
                <w:lang w:val="en-US" w:eastAsia="zh-CN"/>
              </w:rPr>
              <w:t>》（GB15562.2-1995）修改单的公告 公告2023年第5号</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b w:val="0"/>
                <w:bCs w:val="0"/>
                <w:color w:val="auto"/>
                <w:sz w:val="24"/>
                <w:szCs w:val="24"/>
                <w:highlight w:val="none"/>
                <w:lang w:val="en-US" w:eastAsia="zh-CN"/>
              </w:rPr>
              <w:t>《危险废物识别标志设置技术规范》（HJ1276-2022）、</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eastAsia="zh-CN"/>
              </w:rPr>
              <w:t>江苏省固体废物全过程环境监管工作意见</w:t>
            </w:r>
            <w:r>
              <w:rPr>
                <w:rFonts w:hint="default" w:ascii="Times New Roman" w:hAnsi="Times New Roman" w:eastAsia="宋体"/>
                <w:color w:val="auto"/>
                <w:sz w:val="24"/>
                <w:szCs w:val="24"/>
                <w:highlight w:val="none"/>
              </w:rPr>
              <w:t>》（苏环办[</w:t>
            </w:r>
            <w:r>
              <w:rPr>
                <w:rFonts w:hint="eastAsia" w:ascii="Times New Roman" w:hAnsi="Times New Roman" w:eastAsia="宋体"/>
                <w:color w:val="auto"/>
                <w:sz w:val="24"/>
                <w:szCs w:val="24"/>
                <w:highlight w:val="none"/>
                <w:lang w:val="en-US" w:eastAsia="zh-CN"/>
              </w:rPr>
              <w:t>2024</w:t>
            </w:r>
            <w:r>
              <w:rPr>
                <w:rFonts w:hint="default"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16</w:t>
            </w:r>
            <w:r>
              <w:rPr>
                <w:rFonts w:hint="default" w:ascii="Times New Roman" w:hAnsi="Times New Roman" w:eastAsia="宋体"/>
                <w:color w:val="auto"/>
                <w:sz w:val="24"/>
                <w:szCs w:val="24"/>
                <w:highlight w:val="none"/>
              </w:rPr>
              <w:t>号）</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《省生态环境厅关于做好江苏省危险废物全生命周期监控系统上线运行工作的通知》（苏环办[2020]401号）的要求设置固体废物堆放场的环境保护图形标志</w:t>
            </w:r>
            <w:r>
              <w:rPr>
                <w:rFonts w:hint="eastAsia"/>
                <w:color w:val="auto"/>
                <w:sz w:val="24"/>
                <w:szCs w:val="24"/>
                <w:highlight w:val="none"/>
                <w:lang w:eastAsia="zh-CN"/>
              </w:rPr>
              <w:t>。</w:t>
            </w:r>
          </w:p>
          <w:p w14:paraId="2B8BD067">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综上所述，本项目</w:t>
            </w:r>
            <w:r>
              <w:rPr>
                <w:rFonts w:hint="eastAsia" w:cs="Times New Roman"/>
                <w:b/>
                <w:bCs/>
                <w:color w:val="auto"/>
                <w:kern w:val="2"/>
                <w:sz w:val="24"/>
                <w:szCs w:val="24"/>
                <w:highlight w:val="none"/>
                <w:lang w:val="en-US" w:eastAsia="zh-CN" w:bidi="ar-SA"/>
              </w:rPr>
              <w:t>固体废物</w:t>
            </w:r>
            <w:r>
              <w:rPr>
                <w:rFonts w:hint="default" w:ascii="Times New Roman" w:hAnsi="Times New Roman" w:eastAsia="宋体" w:cs="Times New Roman"/>
                <w:b/>
                <w:bCs/>
                <w:color w:val="auto"/>
                <w:kern w:val="2"/>
                <w:sz w:val="24"/>
                <w:szCs w:val="24"/>
                <w:highlight w:val="none"/>
                <w:lang w:val="en-US" w:eastAsia="zh-CN" w:bidi="ar-SA"/>
              </w:rPr>
              <w:t>采取上述治理措施后，各类</w:t>
            </w:r>
            <w:r>
              <w:rPr>
                <w:rFonts w:hint="eastAsia" w:cs="Times New Roman"/>
                <w:b/>
                <w:bCs/>
                <w:color w:val="auto"/>
                <w:kern w:val="2"/>
                <w:sz w:val="24"/>
                <w:szCs w:val="24"/>
                <w:highlight w:val="none"/>
                <w:lang w:val="en-US" w:eastAsia="zh-CN" w:bidi="ar-SA"/>
              </w:rPr>
              <w:t>固体废物</w:t>
            </w:r>
            <w:r>
              <w:rPr>
                <w:rFonts w:hint="default" w:ascii="Times New Roman" w:hAnsi="Times New Roman" w:eastAsia="宋体" w:cs="Times New Roman"/>
                <w:b/>
                <w:bCs/>
                <w:color w:val="auto"/>
                <w:kern w:val="2"/>
                <w:sz w:val="24"/>
                <w:szCs w:val="24"/>
                <w:highlight w:val="none"/>
                <w:lang w:val="en-US" w:eastAsia="zh-CN" w:bidi="ar-SA"/>
              </w:rPr>
              <w:t>均能得到合理处置，不产生二次污染，不会对周围环境产生影响。</w:t>
            </w:r>
          </w:p>
          <w:p w14:paraId="07783D36">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sz w:val="24"/>
                <w:highlight w:val="none"/>
              </w:rPr>
              <w:t>地下水、土壤</w:t>
            </w:r>
          </w:p>
          <w:p w14:paraId="76FAC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（1）污染源分析</w:t>
            </w:r>
          </w:p>
          <w:p w14:paraId="0CFCE6FE">
            <w:pPr>
              <w:keepNext w:val="0"/>
              <w:keepLines w:val="0"/>
              <w:widowControl w:val="0"/>
              <w:suppressLineNumbers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土壤是复杂的三相共存体系，其污染物质主要通过被污染大气的沉降、工业废水的漫流和入渗、以及固体废物通过大气迁移、扩散、沉降或降水淋溶、地表径流等而进入土壤环境。本项目运营期主要污染物来源于废气和固体废物等污染物，可能会对土壤环境产生影响。</w:t>
            </w:r>
          </w:p>
          <w:p w14:paraId="015BD497">
            <w:pPr>
              <w:keepNext w:val="0"/>
              <w:keepLines w:val="0"/>
              <w:widowControl w:val="0"/>
              <w:suppressLineNumbers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本项目废气均经合理处置后达标排放</w:t>
            </w:r>
            <w:r>
              <w:rPr>
                <w:rFonts w:hint="eastAsia" w:ascii="Times New Roman" w:hAnsi="Times New Roman" w:eastAsia="宋体" w:cs="Times New Roman"/>
                <w:color w:val="auto"/>
                <w:kern w:val="0"/>
                <w:sz w:val="24"/>
                <w:szCs w:val="24"/>
                <w:highlight w:val="none"/>
                <w:lang w:val="en-US" w:eastAsia="zh-CN" w:bidi="ar-SA"/>
              </w:rPr>
              <w:t>；原料存储于室内原料</w:t>
            </w:r>
            <w:r>
              <w:rPr>
                <w:rFonts w:hint="eastAsia" w:cs="Times New Roman"/>
                <w:color w:val="auto"/>
                <w:kern w:val="0"/>
                <w:sz w:val="24"/>
                <w:szCs w:val="24"/>
                <w:highlight w:val="none"/>
                <w:lang w:val="en-US" w:eastAsia="zh-CN" w:bidi="ar-SA"/>
              </w:rPr>
              <w:t>区</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固体废物</w:t>
            </w:r>
            <w:r>
              <w:rPr>
                <w:rFonts w:hint="default" w:ascii="Times New Roman" w:hAnsi="Times New Roman" w:eastAsia="宋体" w:cs="Times New Roman"/>
                <w:color w:val="auto"/>
                <w:kern w:val="0"/>
                <w:sz w:val="24"/>
                <w:szCs w:val="24"/>
                <w:highlight w:val="none"/>
                <w:lang w:val="en-US" w:eastAsia="zh-CN" w:bidi="ar-SA"/>
              </w:rPr>
              <w:t>堆放于室内</w:t>
            </w:r>
            <w:r>
              <w:rPr>
                <w:rFonts w:hint="eastAsia" w:cs="Times New Roman"/>
                <w:color w:val="auto"/>
                <w:kern w:val="0"/>
                <w:sz w:val="24"/>
                <w:szCs w:val="24"/>
                <w:highlight w:val="none"/>
                <w:lang w:val="en-US" w:eastAsia="zh-CN" w:bidi="ar-SA"/>
              </w:rPr>
              <w:t>一般固体废物</w:t>
            </w:r>
            <w:r>
              <w:rPr>
                <w:rFonts w:hint="eastAsia" w:ascii="Times New Roman" w:hAnsi="Times New Roman" w:eastAsia="宋体" w:cs="Times New Roman"/>
                <w:color w:val="auto"/>
                <w:kern w:val="0"/>
                <w:sz w:val="24"/>
                <w:szCs w:val="24"/>
                <w:highlight w:val="none"/>
                <w:lang w:val="en-US" w:eastAsia="zh-CN" w:bidi="ar-SA"/>
              </w:rPr>
              <w:t>仓库</w:t>
            </w:r>
            <w:r>
              <w:rPr>
                <w:rFonts w:hint="default"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危险废物</w:t>
            </w:r>
            <w:r>
              <w:rPr>
                <w:rFonts w:hint="eastAsia" w:ascii="Times New Roman" w:hAnsi="Times New Roman" w:eastAsia="宋体" w:cs="Times New Roman"/>
                <w:color w:val="auto"/>
                <w:kern w:val="0"/>
                <w:sz w:val="24"/>
                <w:szCs w:val="24"/>
                <w:highlight w:val="none"/>
                <w:lang w:val="en-US" w:eastAsia="zh-CN" w:bidi="ar-SA"/>
              </w:rPr>
              <w:t>仓库</w:t>
            </w:r>
            <w:r>
              <w:rPr>
                <w:rFonts w:hint="default" w:ascii="Times New Roman" w:hAnsi="Times New Roman" w:eastAsia="宋体" w:cs="Times New Roman"/>
                <w:color w:val="auto"/>
                <w:kern w:val="0"/>
                <w:sz w:val="24"/>
                <w:szCs w:val="24"/>
                <w:highlight w:val="none"/>
                <w:lang w:val="en-US" w:eastAsia="zh-CN" w:bidi="ar-SA"/>
              </w:rPr>
              <w:t>，合理分类收集堆放</w:t>
            </w:r>
            <w:r>
              <w:rPr>
                <w:rFonts w:hint="eastAsia" w:ascii="Times New Roman" w:hAnsi="Times New Roman" w:eastAsia="宋体" w:cs="Times New Roman"/>
                <w:color w:val="auto"/>
                <w:kern w:val="0"/>
                <w:sz w:val="24"/>
                <w:szCs w:val="24"/>
                <w:highlight w:val="none"/>
                <w:lang w:val="en-US" w:eastAsia="zh-CN" w:bidi="ar-SA"/>
              </w:rPr>
              <w:t>，均</w:t>
            </w:r>
            <w:r>
              <w:rPr>
                <w:rFonts w:hint="default" w:ascii="Times New Roman" w:hAnsi="Times New Roman" w:eastAsia="宋体" w:cs="Times New Roman"/>
                <w:color w:val="auto"/>
                <w:kern w:val="0"/>
                <w:sz w:val="24"/>
                <w:szCs w:val="24"/>
                <w:highlight w:val="none"/>
                <w:lang w:val="en-US" w:eastAsia="zh-CN" w:bidi="ar-SA"/>
              </w:rPr>
              <w:t>满足“防风、防雨、防晒”的要求，</w:t>
            </w:r>
            <w:r>
              <w:rPr>
                <w:rFonts w:hint="eastAsia" w:ascii="Times New Roman" w:hAnsi="Times New Roman" w:eastAsia="宋体" w:cs="Times New Roman"/>
                <w:color w:val="auto"/>
                <w:kern w:val="0"/>
                <w:sz w:val="24"/>
                <w:szCs w:val="24"/>
                <w:highlight w:val="none"/>
                <w:lang w:val="en-US" w:eastAsia="zh-CN" w:bidi="ar-SA"/>
              </w:rPr>
              <w:t>且</w:t>
            </w:r>
            <w:r>
              <w:rPr>
                <w:rFonts w:hint="default" w:ascii="Times New Roman" w:hAnsi="Times New Roman" w:eastAsia="宋体" w:cs="Times New Roman"/>
                <w:color w:val="auto"/>
                <w:kern w:val="0"/>
                <w:sz w:val="24"/>
                <w:szCs w:val="24"/>
                <w:highlight w:val="none"/>
                <w:lang w:val="en-US" w:eastAsia="zh-CN" w:bidi="ar-SA"/>
              </w:rPr>
              <w:t>采取</w:t>
            </w:r>
            <w:r>
              <w:rPr>
                <w:rFonts w:hint="eastAsia" w:ascii="Times New Roman" w:hAnsi="Times New Roman" w:eastAsia="宋体" w:cs="Times New Roman"/>
                <w:color w:val="auto"/>
                <w:kern w:val="0"/>
                <w:sz w:val="24"/>
                <w:szCs w:val="24"/>
                <w:highlight w:val="none"/>
                <w:lang w:val="en-US" w:eastAsia="zh-CN" w:bidi="ar-SA"/>
              </w:rPr>
              <w:t>有效</w:t>
            </w:r>
            <w:r>
              <w:rPr>
                <w:rFonts w:hint="default" w:ascii="Times New Roman" w:hAnsi="Times New Roman" w:eastAsia="宋体" w:cs="Times New Roman"/>
                <w:color w:val="auto"/>
                <w:kern w:val="0"/>
                <w:sz w:val="24"/>
                <w:szCs w:val="24"/>
                <w:highlight w:val="none"/>
                <w:lang w:val="en-US" w:eastAsia="zh-CN" w:bidi="ar-SA"/>
              </w:rPr>
              <w:t>防渗措施，防止降水淋溶、地表径流，</w:t>
            </w:r>
            <w:r>
              <w:rPr>
                <w:rFonts w:hint="eastAsia" w:ascii="Times New Roman" w:hAnsi="Times New Roman" w:eastAsia="宋体" w:cs="Times New Roman"/>
                <w:color w:val="auto"/>
                <w:kern w:val="0"/>
                <w:sz w:val="24"/>
                <w:szCs w:val="24"/>
                <w:highlight w:val="none"/>
                <w:lang w:val="en-US" w:eastAsia="zh-CN" w:bidi="ar-SA"/>
              </w:rPr>
              <w:t>因此本项目正常运营情况下</w:t>
            </w:r>
            <w:r>
              <w:rPr>
                <w:rFonts w:hint="default" w:ascii="Times New Roman" w:hAnsi="Times New Roman" w:eastAsia="宋体" w:cs="Times New Roman"/>
                <w:color w:val="auto"/>
                <w:kern w:val="0"/>
                <w:sz w:val="24"/>
                <w:szCs w:val="24"/>
                <w:highlight w:val="none"/>
                <w:lang w:val="en-US" w:eastAsia="zh-CN" w:bidi="ar-SA"/>
              </w:rPr>
              <w:t>对土壤和地下水</w:t>
            </w:r>
            <w:r>
              <w:rPr>
                <w:rFonts w:hint="eastAsia" w:ascii="Times New Roman" w:hAnsi="Times New Roman" w:eastAsia="宋体" w:cs="Times New Roman"/>
                <w:color w:val="auto"/>
                <w:kern w:val="0"/>
                <w:sz w:val="24"/>
                <w:szCs w:val="24"/>
                <w:highlight w:val="none"/>
                <w:lang w:val="en-US" w:eastAsia="zh-CN" w:bidi="ar-SA"/>
              </w:rPr>
              <w:t>基本无影响。</w:t>
            </w:r>
          </w:p>
          <w:p w14:paraId="7C4FBAB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2" w:firstLineChars="200"/>
              <w:textAlignment w:val="auto"/>
              <w:outlineLvl w:val="3"/>
              <w:rPr>
                <w:rFonts w:hint="eastAsia"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（2）污染防治措施</w:t>
            </w:r>
          </w:p>
          <w:p w14:paraId="00D28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lang w:val="en-US" w:eastAsia="zh-CN"/>
              </w:rPr>
              <w:t>本项目生产过程中产生的废气</w:t>
            </w:r>
            <w:r>
              <w:rPr>
                <w:rFonts w:hint="eastAsia"/>
                <w:color w:val="auto"/>
                <w:sz w:val="24"/>
                <w:highlight w:val="none"/>
                <w:lang w:val="en-US" w:eastAsia="zh-CN"/>
              </w:rPr>
              <w:t>通过布袋除尘装置处理后打标排放；非甲烷总烃</w:t>
            </w:r>
            <w:r>
              <w:rPr>
                <w:rFonts w:hint="eastAsia" w:ascii="Times New Roman" w:hAnsi="Times New Roman" w:eastAsia="宋体"/>
                <w:color w:val="auto"/>
                <w:sz w:val="24"/>
                <w:highlight w:val="none"/>
                <w:lang w:val="en-US" w:eastAsia="zh-CN"/>
              </w:rPr>
              <w:t>通过</w:t>
            </w:r>
            <w:r>
              <w:rPr>
                <w:rFonts w:hint="eastAsia"/>
                <w:color w:val="auto"/>
                <w:sz w:val="24"/>
                <w:highlight w:val="none"/>
                <w:lang w:val="en-US" w:eastAsia="zh-CN"/>
              </w:rPr>
              <w:t>碱喷淋+水喷淋+除雾器</w:t>
            </w:r>
            <w:r>
              <w:rPr>
                <w:rFonts w:hint="eastAsia" w:ascii="Times New Roman" w:hAnsi="Times New Roman" w:eastAsia="宋体"/>
                <w:color w:val="auto"/>
                <w:sz w:val="24"/>
                <w:highlight w:val="none"/>
                <w:lang w:val="en-US" w:eastAsia="zh-CN"/>
              </w:rPr>
              <w:t>+二级活性炭吸附处理后达标排放，车间区域地面铺设环氧树脂涂层。废活性炭</w:t>
            </w:r>
            <w:r>
              <w:rPr>
                <w:rFonts w:hint="eastAsia"/>
                <w:color w:val="auto"/>
                <w:sz w:val="24"/>
                <w:highlight w:val="none"/>
                <w:lang w:val="en-US" w:eastAsia="zh-CN"/>
              </w:rPr>
              <w:t>、设备清洗废液等危险废物</w:t>
            </w:r>
            <w:r>
              <w:rPr>
                <w:rFonts w:hint="eastAsia" w:ascii="Times New Roman" w:hAnsi="Times New Roman" w:eastAsia="宋体"/>
                <w:color w:val="auto"/>
                <w:sz w:val="24"/>
                <w:highlight w:val="none"/>
                <w:lang w:val="en-US" w:eastAsia="zh-CN"/>
              </w:rPr>
              <w:t>密封包装后储存于</w:t>
            </w:r>
            <w:r>
              <w:rPr>
                <w:rFonts w:hint="eastAsia"/>
                <w:color w:val="auto"/>
                <w:sz w:val="24"/>
                <w:highlight w:val="none"/>
                <w:lang w:val="en-US" w:eastAsia="zh-CN"/>
              </w:rPr>
              <w:t>危险废物</w:t>
            </w:r>
            <w:r>
              <w:rPr>
                <w:rFonts w:hint="eastAsia" w:ascii="Times New Roman" w:hAnsi="Times New Roman" w:eastAsia="宋体"/>
                <w:color w:val="auto"/>
                <w:sz w:val="24"/>
                <w:highlight w:val="none"/>
                <w:lang w:val="en-US" w:eastAsia="zh-CN"/>
              </w:rPr>
              <w:t>仓库，</w:t>
            </w:r>
            <w:r>
              <w:rPr>
                <w:rFonts w:hint="eastAsia"/>
                <w:color w:val="auto"/>
                <w:sz w:val="24"/>
                <w:highlight w:val="none"/>
                <w:lang w:val="en-US" w:eastAsia="zh-CN"/>
              </w:rPr>
              <w:t>危险废物</w:t>
            </w:r>
            <w:r>
              <w:rPr>
                <w:rFonts w:hint="eastAsia" w:ascii="Times New Roman" w:hAnsi="Times New Roman" w:eastAsia="宋体"/>
                <w:color w:val="auto"/>
                <w:sz w:val="24"/>
                <w:highlight w:val="none"/>
                <w:lang w:val="en-US" w:eastAsia="zh-CN"/>
              </w:rPr>
              <w:t>仓库周围应设置截流沟。</w:t>
            </w:r>
          </w:p>
          <w:p w14:paraId="08405B8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0"/>
                <w:sz w:val="24"/>
                <w:szCs w:val="20"/>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SA"/>
              </w:rPr>
              <w:t>表4-</w:t>
            </w:r>
            <w:r>
              <w:rPr>
                <w:rFonts w:hint="eastAsia" w:cs="Times New Roman"/>
                <w:b/>
                <w:bCs/>
                <w:color w:val="auto"/>
                <w:kern w:val="0"/>
                <w:sz w:val="24"/>
                <w:szCs w:val="24"/>
                <w:highlight w:val="none"/>
                <w:lang w:val="en-US" w:eastAsia="zh-CN" w:bidi="ar-SA"/>
              </w:rPr>
              <w:t xml:space="preserve">27  </w:t>
            </w:r>
            <w:r>
              <w:rPr>
                <w:rFonts w:hint="default" w:ascii="Times New Roman" w:hAnsi="Times New Roman" w:eastAsia="宋体" w:cs="Times New Roman"/>
                <w:b/>
                <w:bCs/>
                <w:color w:val="auto"/>
                <w:kern w:val="0"/>
                <w:sz w:val="24"/>
                <w:szCs w:val="20"/>
                <w:highlight w:val="none"/>
                <w:lang w:val="en-US" w:eastAsia="zh-CN" w:bidi="ar-SA"/>
              </w:rPr>
              <w:t>本项目分区防渗要求</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920"/>
              <w:gridCol w:w="5724"/>
            </w:tblGrid>
            <w:tr w14:paraId="73060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tcBorders>
                    <w:tl2br w:val="nil"/>
                    <w:tr2bl w:val="nil"/>
                  </w:tcBorders>
                  <w:vAlign w:val="center"/>
                </w:tcPr>
                <w:p w14:paraId="013F79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152" w:type="pct"/>
                  <w:tcBorders>
                    <w:tl2br w:val="nil"/>
                    <w:tr2bl w:val="nil"/>
                  </w:tcBorders>
                  <w:vAlign w:val="center"/>
                </w:tcPr>
                <w:p w14:paraId="11E2FA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防渗分区</w:t>
                  </w:r>
                </w:p>
              </w:tc>
              <w:tc>
                <w:tcPr>
                  <w:tcW w:w="3434" w:type="pct"/>
                  <w:tcBorders>
                    <w:tl2br w:val="nil"/>
                    <w:tr2bl w:val="nil"/>
                  </w:tcBorders>
                  <w:vAlign w:val="center"/>
                </w:tcPr>
                <w:p w14:paraId="32D671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防渗要求</w:t>
                  </w:r>
                </w:p>
              </w:tc>
            </w:tr>
            <w:tr w14:paraId="5F779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tcBorders>
                    <w:tl2br w:val="nil"/>
                    <w:tr2bl w:val="nil"/>
                  </w:tcBorders>
                  <w:vAlign w:val="center"/>
                </w:tcPr>
                <w:p w14:paraId="3A4146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152" w:type="pct"/>
                  <w:tcBorders>
                    <w:tl2br w:val="nil"/>
                    <w:tr2bl w:val="nil"/>
                  </w:tcBorders>
                  <w:vAlign w:val="center"/>
                </w:tcPr>
                <w:p w14:paraId="28C514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i w:val="0"/>
                      <w:color w:val="auto"/>
                      <w:kern w:val="0"/>
                      <w:sz w:val="21"/>
                      <w:szCs w:val="21"/>
                      <w:highlight w:val="none"/>
                      <w:u w:val="none"/>
                      <w:lang w:val="en-US" w:eastAsia="zh-CN" w:bidi="ar"/>
                    </w:rPr>
                    <w:t>生产车间</w:t>
                  </w:r>
                </w:p>
              </w:tc>
              <w:tc>
                <w:tcPr>
                  <w:tcW w:w="3434" w:type="pct"/>
                  <w:tcBorders>
                    <w:tl2br w:val="nil"/>
                    <w:tr2bl w:val="nil"/>
                  </w:tcBorders>
                  <w:vAlign w:val="center"/>
                </w:tcPr>
                <w:p w14:paraId="1E3F79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rPr>
                  </w:pPr>
                  <w:r>
                    <w:rPr>
                      <w:rFonts w:hint="eastAsia"/>
                      <w:color w:val="auto"/>
                      <w:szCs w:val="21"/>
                      <w:highlight w:val="none"/>
                      <w:lang w:val="en-US" w:eastAsia="zh-CN"/>
                    </w:rPr>
                    <w:t>重要防渗区域；水泥硬化基础+环氧树脂涂层</w:t>
                  </w:r>
                </w:p>
              </w:tc>
            </w:tr>
            <w:tr w14:paraId="05474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tcBorders>
                    <w:tl2br w:val="nil"/>
                    <w:tr2bl w:val="nil"/>
                  </w:tcBorders>
                  <w:vAlign w:val="center"/>
                </w:tcPr>
                <w:p w14:paraId="2432A0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c>
                <w:tcPr>
                  <w:tcW w:w="1152" w:type="pct"/>
                  <w:tcBorders>
                    <w:tl2br w:val="nil"/>
                    <w:tr2bl w:val="nil"/>
                  </w:tcBorders>
                  <w:vAlign w:val="center"/>
                </w:tcPr>
                <w:p w14:paraId="7BA6E9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原料仓库</w:t>
                  </w:r>
                </w:p>
              </w:tc>
              <w:tc>
                <w:tcPr>
                  <w:tcW w:w="3434" w:type="pct"/>
                  <w:tcBorders>
                    <w:tl2br w:val="nil"/>
                    <w:tr2bl w:val="nil"/>
                  </w:tcBorders>
                  <w:vAlign w:val="center"/>
                </w:tcPr>
                <w:p w14:paraId="446F94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color w:val="auto"/>
                      <w:szCs w:val="21"/>
                      <w:highlight w:val="none"/>
                      <w:lang w:val="en-US" w:eastAsia="zh-CN"/>
                    </w:rPr>
                  </w:pPr>
                  <w:r>
                    <w:rPr>
                      <w:rFonts w:hint="eastAsia"/>
                      <w:color w:val="auto"/>
                      <w:szCs w:val="21"/>
                      <w:highlight w:val="none"/>
                      <w:lang w:val="en-US" w:eastAsia="zh-CN"/>
                    </w:rPr>
                    <w:t>重要防渗区域；水泥硬化基础+环氧树脂涂层</w:t>
                  </w:r>
                </w:p>
              </w:tc>
            </w:tr>
            <w:tr w14:paraId="2D458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tcBorders>
                    <w:tl2br w:val="nil"/>
                    <w:tr2bl w:val="nil"/>
                  </w:tcBorders>
                  <w:vAlign w:val="center"/>
                </w:tcPr>
                <w:p w14:paraId="4ABFA9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1152" w:type="pct"/>
                  <w:tcBorders>
                    <w:tl2br w:val="nil"/>
                    <w:tr2bl w:val="nil"/>
                  </w:tcBorders>
                  <w:vAlign w:val="center"/>
                </w:tcPr>
                <w:p w14:paraId="44B5C1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实验室</w:t>
                  </w:r>
                </w:p>
              </w:tc>
              <w:tc>
                <w:tcPr>
                  <w:tcW w:w="3434" w:type="pct"/>
                  <w:tcBorders>
                    <w:tl2br w:val="nil"/>
                    <w:tr2bl w:val="nil"/>
                  </w:tcBorders>
                  <w:vAlign w:val="center"/>
                </w:tcPr>
                <w:p w14:paraId="67595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eastAsia"/>
                      <w:color w:val="auto"/>
                      <w:szCs w:val="21"/>
                      <w:highlight w:val="none"/>
                      <w:lang w:val="en-US" w:eastAsia="zh-CN"/>
                    </w:rPr>
                  </w:pPr>
                  <w:r>
                    <w:rPr>
                      <w:rFonts w:hint="eastAsia"/>
                      <w:color w:val="auto"/>
                      <w:szCs w:val="21"/>
                      <w:highlight w:val="none"/>
                      <w:lang w:val="en-US" w:eastAsia="zh-CN"/>
                    </w:rPr>
                    <w:t>重要防渗区域；水泥硬化基础+环氧树脂涂层</w:t>
                  </w:r>
                </w:p>
              </w:tc>
            </w:tr>
            <w:tr w14:paraId="37C89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tcBorders>
                    <w:tl2br w:val="nil"/>
                    <w:tr2bl w:val="nil"/>
                  </w:tcBorders>
                  <w:vAlign w:val="center"/>
                </w:tcPr>
                <w:p w14:paraId="65EE73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4</w:t>
                  </w:r>
                </w:p>
              </w:tc>
              <w:tc>
                <w:tcPr>
                  <w:tcW w:w="1152" w:type="pct"/>
                  <w:tcBorders>
                    <w:tl2br w:val="nil"/>
                    <w:tr2bl w:val="nil"/>
                  </w:tcBorders>
                  <w:vAlign w:val="center"/>
                </w:tcPr>
                <w:p w14:paraId="3ED669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rPr>
                  </w:pPr>
                  <w:r>
                    <w:rPr>
                      <w:rFonts w:hint="eastAsia"/>
                      <w:color w:val="auto"/>
                      <w:szCs w:val="21"/>
                      <w:highlight w:val="none"/>
                      <w:lang w:val="en-US" w:eastAsia="zh-CN"/>
                    </w:rPr>
                    <w:t>危险废物仓库</w:t>
                  </w:r>
                </w:p>
              </w:tc>
              <w:tc>
                <w:tcPr>
                  <w:tcW w:w="3434" w:type="pct"/>
                  <w:tcBorders>
                    <w:tl2br w:val="nil"/>
                    <w:tr2bl w:val="nil"/>
                  </w:tcBorders>
                  <w:vAlign w:val="center"/>
                </w:tcPr>
                <w:p w14:paraId="546176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rPr>
                  </w:pPr>
                  <w:r>
                    <w:rPr>
                      <w:rFonts w:hint="eastAsia"/>
                      <w:color w:val="auto"/>
                      <w:szCs w:val="21"/>
                      <w:highlight w:val="none"/>
                      <w:lang w:val="en-US" w:eastAsia="zh-CN"/>
                    </w:rPr>
                    <w:t>重要防渗区域；水泥硬化基础+环氧树脂涂层；危险废物仓库设置托盘等防流失措施。</w:t>
                  </w:r>
                </w:p>
              </w:tc>
            </w:tr>
            <w:tr w14:paraId="04EDA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tcBorders>
                    <w:tl2br w:val="nil"/>
                    <w:tr2bl w:val="nil"/>
                  </w:tcBorders>
                  <w:vAlign w:val="center"/>
                </w:tcPr>
                <w:p w14:paraId="06C0B0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1152" w:type="pct"/>
                  <w:tcBorders>
                    <w:tl2br w:val="nil"/>
                    <w:tr2bl w:val="nil"/>
                  </w:tcBorders>
                  <w:vAlign w:val="center"/>
                </w:tcPr>
                <w:p w14:paraId="743A76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rPr>
                  </w:pPr>
                  <w:r>
                    <w:rPr>
                      <w:rFonts w:hint="eastAsia" w:ascii="宋体" w:hAnsi="宋体" w:cs="宋体"/>
                      <w:i w:val="0"/>
                      <w:color w:val="auto"/>
                      <w:kern w:val="0"/>
                      <w:sz w:val="21"/>
                      <w:szCs w:val="21"/>
                      <w:highlight w:val="none"/>
                      <w:u w:val="none"/>
                      <w:lang w:val="en-US" w:eastAsia="zh-CN" w:bidi="ar"/>
                    </w:rPr>
                    <w:t>一般固体废物</w:t>
                  </w:r>
                  <w:r>
                    <w:rPr>
                      <w:rFonts w:hint="eastAsia" w:ascii="宋体" w:hAnsi="宋体" w:eastAsia="宋体" w:cs="宋体"/>
                      <w:i w:val="0"/>
                      <w:color w:val="auto"/>
                      <w:kern w:val="0"/>
                      <w:sz w:val="21"/>
                      <w:szCs w:val="21"/>
                      <w:highlight w:val="none"/>
                      <w:u w:val="none"/>
                      <w:lang w:val="en-US" w:eastAsia="zh-CN" w:bidi="ar"/>
                    </w:rPr>
                    <w:t>仓库</w:t>
                  </w:r>
                </w:p>
              </w:tc>
              <w:tc>
                <w:tcPr>
                  <w:tcW w:w="3434" w:type="pct"/>
                  <w:tcBorders>
                    <w:tl2br w:val="nil"/>
                    <w:tr2bl w:val="nil"/>
                  </w:tcBorders>
                  <w:vAlign w:val="center"/>
                </w:tcPr>
                <w:p w14:paraId="01BE7B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auto"/>
                      <w:szCs w:val="21"/>
                      <w:highlight w:val="none"/>
                    </w:rPr>
                  </w:pPr>
                  <w:r>
                    <w:rPr>
                      <w:rFonts w:hint="eastAsia" w:cs="Times New Roman"/>
                      <w:i w:val="0"/>
                      <w:iCs w:val="0"/>
                      <w:color w:val="auto"/>
                      <w:kern w:val="0"/>
                      <w:sz w:val="21"/>
                      <w:szCs w:val="21"/>
                      <w:highlight w:val="none"/>
                      <w:u w:val="none"/>
                      <w:lang w:val="en-US" w:eastAsia="zh-CN" w:bidi="ar"/>
                    </w:rPr>
                    <w:t>一般防渗：黏土铺底+水泥硬化基础（</w:t>
                  </w:r>
                  <w:r>
                    <w:rPr>
                      <w:rFonts w:hint="eastAsia"/>
                      <w:color w:val="auto"/>
                      <w:szCs w:val="21"/>
                      <w:highlight w:val="none"/>
                      <w:lang w:val="en-US" w:eastAsia="zh-CN"/>
                    </w:rPr>
                    <w:t>厂房现有结构</w:t>
                  </w:r>
                  <w:r>
                    <w:rPr>
                      <w:rFonts w:hint="eastAsia" w:cs="Times New Roman"/>
                      <w:i w:val="0"/>
                      <w:iCs w:val="0"/>
                      <w:color w:val="auto"/>
                      <w:kern w:val="0"/>
                      <w:sz w:val="21"/>
                      <w:szCs w:val="21"/>
                      <w:highlight w:val="none"/>
                      <w:u w:val="none"/>
                      <w:lang w:val="en-US" w:eastAsia="zh-CN" w:bidi="ar"/>
                    </w:rPr>
                    <w:t>）</w:t>
                  </w:r>
                </w:p>
              </w:tc>
            </w:tr>
          </w:tbl>
          <w:p w14:paraId="3C3F0DCD">
            <w:pPr>
              <w:keepNext w:val="0"/>
              <w:keepLines w:val="0"/>
              <w:suppressLineNumbers w:val="0"/>
              <w:spacing w:before="0" w:beforeAutospacing="0" w:after="0" w:afterAutospacing="0" w:line="360" w:lineRule="auto"/>
              <w:ind w:left="0" w:right="0" w:firstLine="482" w:firstLineChars="200"/>
              <w:outlineLvl w:val="3"/>
              <w:rPr>
                <w:rFonts w:hint="eastAsia" w:ascii="Times New Roman" w:hAnsi="Times New Roman" w:eastAsia="宋体"/>
                <w:b/>
                <w:bCs/>
                <w:color w:val="auto"/>
                <w:sz w:val="24"/>
                <w:highlight w:val="none"/>
              </w:rPr>
            </w:pPr>
            <w:r>
              <w:rPr>
                <w:rFonts w:hint="eastAsia" w:ascii="Times New Roman" w:hAnsi="Times New Roman" w:eastAsia="宋体"/>
                <w:b/>
                <w:bCs/>
                <w:color w:val="auto"/>
                <w:sz w:val="24"/>
                <w:highlight w:val="none"/>
              </w:rPr>
              <w:t>（3）影响分析结论</w:t>
            </w:r>
          </w:p>
          <w:p w14:paraId="19C9B9EA">
            <w:pPr>
              <w:keepNext w:val="0"/>
              <w:keepLines w:val="0"/>
              <w:widowControl w:val="0"/>
              <w:suppressLineNumbers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olor w:val="auto"/>
                <w:sz w:val="24"/>
                <w:highlight w:val="none"/>
              </w:rPr>
              <w:t>项目采取的防渗漏或者其它防止污染环境的措施可行有效，</w:t>
            </w:r>
            <w:r>
              <w:rPr>
                <w:rFonts w:hint="default" w:ascii="Times New Roman" w:hAnsi="Times New Roman" w:eastAsia="宋体"/>
                <w:color w:val="auto"/>
                <w:sz w:val="24"/>
                <w:highlight w:val="none"/>
              </w:rPr>
              <w:t>项目对可能产生</w:t>
            </w:r>
            <w:r>
              <w:rPr>
                <w:rFonts w:hint="eastAsia" w:ascii="Times New Roman" w:hAnsi="Times New Roman" w:eastAsia="宋体"/>
                <w:color w:val="auto"/>
                <w:sz w:val="24"/>
                <w:highlight w:val="none"/>
              </w:rPr>
              <w:t>土壤、</w:t>
            </w:r>
            <w:r>
              <w:rPr>
                <w:rFonts w:hint="default" w:ascii="Times New Roman" w:hAnsi="Times New Roman" w:eastAsia="宋体"/>
                <w:color w:val="auto"/>
                <w:sz w:val="24"/>
                <w:highlight w:val="none"/>
              </w:rPr>
              <w:t>地下水影响的各项途径均进行有效预防，各项防渗措施</w:t>
            </w:r>
            <w:r>
              <w:rPr>
                <w:rFonts w:hint="eastAsia" w:ascii="Times New Roman" w:hAnsi="Times New Roman" w:eastAsia="宋体"/>
                <w:color w:val="auto"/>
                <w:sz w:val="24"/>
                <w:highlight w:val="none"/>
              </w:rPr>
              <w:t>均已</w:t>
            </w:r>
            <w:r>
              <w:rPr>
                <w:rFonts w:hint="default" w:ascii="Times New Roman" w:hAnsi="Times New Roman" w:eastAsia="宋体"/>
                <w:color w:val="auto"/>
                <w:sz w:val="24"/>
                <w:highlight w:val="none"/>
              </w:rPr>
              <w:t>落实，</w:t>
            </w:r>
            <w:r>
              <w:rPr>
                <w:rFonts w:hint="eastAsia" w:ascii="Times New Roman" w:hAnsi="Times New Roman" w:eastAsia="宋体"/>
                <w:color w:val="auto"/>
                <w:sz w:val="24"/>
                <w:highlight w:val="none"/>
              </w:rPr>
              <w:t>同时</w:t>
            </w:r>
            <w:r>
              <w:rPr>
                <w:rFonts w:hint="default" w:ascii="Times New Roman" w:hAnsi="Times New Roman" w:eastAsia="宋体"/>
                <w:color w:val="auto"/>
                <w:sz w:val="24"/>
                <w:highlight w:val="none"/>
              </w:rPr>
              <w:t>加强维护和厂区环境管理的前提下，可有效控制厂区内</w:t>
            </w:r>
            <w:r>
              <w:rPr>
                <w:rFonts w:hint="eastAsia" w:ascii="Times New Roman" w:hAnsi="Times New Roman" w:eastAsia="宋体"/>
                <w:color w:val="auto"/>
                <w:sz w:val="24"/>
                <w:highlight w:val="none"/>
              </w:rPr>
              <w:t>因泄漏引起的下渗</w:t>
            </w:r>
            <w:r>
              <w:rPr>
                <w:rFonts w:hint="default" w:ascii="Times New Roman" w:hAnsi="Times New Roman" w:eastAsia="宋体"/>
                <w:color w:val="auto"/>
                <w:sz w:val="24"/>
                <w:highlight w:val="none"/>
              </w:rPr>
              <w:t>现象，避免污染地下水</w:t>
            </w:r>
            <w:r>
              <w:rPr>
                <w:rFonts w:hint="eastAsia" w:ascii="Times New Roman" w:hAnsi="Times New Roman" w:eastAsia="宋体"/>
                <w:color w:val="auto"/>
                <w:sz w:val="24"/>
                <w:highlight w:val="none"/>
                <w:lang w:eastAsia="zh-CN"/>
              </w:rPr>
              <w:t>，</w:t>
            </w:r>
            <w:r>
              <w:rPr>
                <w:rFonts w:hint="default" w:ascii="Times New Roman" w:hAnsi="Times New Roman" w:eastAsia="宋体"/>
                <w:color w:val="auto"/>
                <w:sz w:val="24"/>
                <w:highlight w:val="none"/>
              </w:rPr>
              <w:t>因此项目</w:t>
            </w:r>
            <w:r>
              <w:rPr>
                <w:rFonts w:hint="eastAsia" w:ascii="Times New Roman" w:hAnsi="Times New Roman" w:eastAsia="宋体"/>
                <w:color w:val="auto"/>
                <w:sz w:val="24"/>
                <w:highlight w:val="none"/>
              </w:rPr>
              <w:t>已具备完善的</w:t>
            </w:r>
            <w:r>
              <w:rPr>
                <w:rFonts w:hint="default" w:ascii="Times New Roman" w:hAnsi="Times New Roman" w:eastAsia="宋体"/>
                <w:color w:val="auto"/>
                <w:sz w:val="24"/>
                <w:highlight w:val="none"/>
              </w:rPr>
              <w:t>污染防治措施，可有效防止土壤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环境污染，对土壤</w:t>
            </w:r>
            <w:r>
              <w:rPr>
                <w:rFonts w:hint="eastAsia" w:ascii="Times New Roman" w:hAnsi="Times New Roman" w:eastAsia="宋体"/>
                <w:color w:val="auto"/>
                <w:sz w:val="24"/>
                <w:highlight w:val="none"/>
              </w:rPr>
              <w:t>、地下水</w:t>
            </w:r>
            <w:r>
              <w:rPr>
                <w:rFonts w:hint="default" w:ascii="Times New Roman" w:hAnsi="Times New Roman" w:eastAsia="宋体"/>
                <w:color w:val="auto"/>
                <w:sz w:val="24"/>
                <w:highlight w:val="none"/>
              </w:rPr>
              <w:t>环境影响较小。</w:t>
            </w:r>
          </w:p>
          <w:p w14:paraId="42B1661D">
            <w:pPr>
              <w:keepNext w:val="0"/>
              <w:keepLines w:val="0"/>
              <w:suppressLineNumbers w:val="0"/>
              <w:bidi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）跟踪监测计划</w:t>
            </w:r>
          </w:p>
          <w:p w14:paraId="714CACF1">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地下水和土壤污染的可能性和程度均较小，正常情况可不开展地下水和土壤跟踪监测，当发生液态物料及危险废液等物质泄漏可能进入到外环境时，在泄漏物质流经的区域附近开展地下水和土壤的监测，检查泄漏事故污染影响情况。</w:t>
            </w:r>
          </w:p>
          <w:p w14:paraId="41FF6F4A">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6、</w:t>
            </w:r>
            <w:r>
              <w:rPr>
                <w:rFonts w:hint="default" w:ascii="Times New Roman" w:hAnsi="Times New Roman" w:eastAsia="宋体" w:cs="Times New Roman"/>
                <w:b/>
                <w:bCs/>
                <w:color w:val="auto"/>
                <w:sz w:val="24"/>
                <w:highlight w:val="none"/>
              </w:rPr>
              <w:t>生态</w:t>
            </w:r>
          </w:p>
          <w:p w14:paraId="0E72438D">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本项目位于无锡市新吴区观山路36号，</w:t>
            </w:r>
            <w:r>
              <w:rPr>
                <w:rFonts w:hint="default" w:ascii="Times New Roman" w:hAnsi="Times New Roman" w:eastAsia="宋体" w:cs="Times New Roman"/>
                <w:color w:val="auto"/>
                <w:sz w:val="24"/>
                <w:highlight w:val="none"/>
              </w:rPr>
              <w:t>不新增用地，范围内不涉及生态环境保护目标，项目产生的废气、废水、噪声经过合理处置后达标排放，固体废物合理处置零排放，对生态影响较小。</w:t>
            </w:r>
          </w:p>
          <w:p w14:paraId="4938F83B">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7、</w:t>
            </w:r>
            <w:r>
              <w:rPr>
                <w:rFonts w:hint="default" w:ascii="Times New Roman" w:hAnsi="Times New Roman" w:eastAsia="宋体" w:cs="Times New Roman"/>
                <w:b/>
                <w:bCs/>
                <w:color w:val="auto"/>
                <w:sz w:val="24"/>
                <w:highlight w:val="none"/>
              </w:rPr>
              <w:t>环境风险</w:t>
            </w:r>
          </w:p>
          <w:p w14:paraId="715C4F6F">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（1）风险调查</w:t>
            </w:r>
          </w:p>
          <w:p w14:paraId="43DC349A">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建设项目主要环境风险物质分布存储情况见下表。</w:t>
            </w:r>
          </w:p>
          <w:p w14:paraId="04C13EFE">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28  本项目</w:t>
            </w:r>
            <w:r>
              <w:rPr>
                <w:rFonts w:hint="default" w:ascii="Times New Roman" w:hAnsi="Times New Roman" w:eastAsia="宋体" w:cs="Times New Roman"/>
                <w:b/>
                <w:bCs/>
                <w:color w:val="auto"/>
                <w:kern w:val="2"/>
                <w:sz w:val="24"/>
                <w:szCs w:val="20"/>
                <w:highlight w:val="none"/>
                <w:lang w:val="en-US" w:eastAsia="zh-CN" w:bidi="ar-SA"/>
              </w:rPr>
              <w:t>涉及的主要危险物质及其数量</w:t>
            </w:r>
          </w:p>
          <w:tbl>
            <w:tblPr>
              <w:tblStyle w:val="24"/>
              <w:tblW w:w="48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992"/>
              <w:gridCol w:w="1199"/>
              <w:gridCol w:w="2116"/>
              <w:gridCol w:w="1092"/>
              <w:gridCol w:w="1074"/>
            </w:tblGrid>
            <w:tr w14:paraId="62428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tcBorders>
                    <w:tl2br w:val="nil"/>
                    <w:tr2bl w:val="nil"/>
                  </w:tcBorders>
                  <w:vAlign w:val="center"/>
                </w:tcPr>
                <w:p w14:paraId="3D3F7FB0">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编号</w:t>
                  </w:r>
                </w:p>
              </w:tc>
              <w:tc>
                <w:tcPr>
                  <w:tcW w:w="1221" w:type="pct"/>
                  <w:tcBorders>
                    <w:tl2br w:val="nil"/>
                    <w:tr2bl w:val="nil"/>
                  </w:tcBorders>
                  <w:vAlign w:val="center"/>
                </w:tcPr>
                <w:p w14:paraId="344CCB2A">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735" w:type="pct"/>
                  <w:tcBorders>
                    <w:tl2br w:val="nil"/>
                    <w:tr2bl w:val="nil"/>
                  </w:tcBorders>
                  <w:vAlign w:val="center"/>
                </w:tcPr>
                <w:p w14:paraId="3884DBC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分布情况</w:t>
                  </w:r>
                </w:p>
              </w:tc>
              <w:tc>
                <w:tcPr>
                  <w:tcW w:w="1297" w:type="pct"/>
                  <w:tcBorders>
                    <w:tl2br w:val="nil"/>
                    <w:tr2bl w:val="nil"/>
                  </w:tcBorders>
                  <w:vAlign w:val="center"/>
                </w:tcPr>
                <w:p w14:paraId="3EEBF728">
                  <w:pPr>
                    <w:keepNext w:val="0"/>
                    <w:keepLines w:val="0"/>
                    <w:pageBreakBefore w:val="0"/>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单元最大储存量+在线量（t）qn</w:t>
                  </w:r>
                </w:p>
              </w:tc>
              <w:tc>
                <w:tcPr>
                  <w:tcW w:w="668" w:type="pct"/>
                  <w:tcBorders>
                    <w:tl2br w:val="nil"/>
                    <w:tr2bl w:val="nil"/>
                  </w:tcBorders>
                  <w:vAlign w:val="center"/>
                </w:tcPr>
                <w:p w14:paraId="3235F406">
                  <w:pPr>
                    <w:keepNext w:val="0"/>
                    <w:keepLines w:val="0"/>
                    <w:pageBreakBefore w:val="0"/>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临界量（t）Qn</w:t>
                  </w:r>
                </w:p>
              </w:tc>
              <w:tc>
                <w:tcPr>
                  <w:tcW w:w="658" w:type="pct"/>
                  <w:tcBorders>
                    <w:tl2br w:val="nil"/>
                    <w:tr2bl w:val="nil"/>
                  </w:tcBorders>
                  <w:vAlign w:val="center"/>
                </w:tcPr>
                <w:p w14:paraId="41CB5139">
                  <w:pPr>
                    <w:keepNext w:val="0"/>
                    <w:keepLines w:val="0"/>
                    <w:pageBreakBefore w:val="0"/>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qn/Qn</w:t>
                  </w:r>
                </w:p>
              </w:tc>
            </w:tr>
            <w:tr w14:paraId="3E3AB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19" w:type="pct"/>
                  <w:tcBorders>
                    <w:tl2br w:val="nil"/>
                    <w:tr2bl w:val="nil"/>
                  </w:tcBorders>
                  <w:vAlign w:val="bottom"/>
                </w:tcPr>
                <w:p w14:paraId="7A4D744E">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1221" w:type="pct"/>
                  <w:tcBorders>
                    <w:tl2br w:val="nil"/>
                    <w:tr2bl w:val="nil"/>
                  </w:tcBorders>
                  <w:vAlign w:val="center"/>
                </w:tcPr>
                <w:p w14:paraId="3D30B54E">
                  <w:pPr>
                    <w:keepNext w:val="0"/>
                    <w:keepLines w:val="0"/>
                    <w:pageBreakBefore w:val="0"/>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硅油-脱模剂</w:t>
                  </w:r>
                </w:p>
              </w:tc>
              <w:tc>
                <w:tcPr>
                  <w:tcW w:w="735" w:type="pct"/>
                  <w:tcBorders>
                    <w:tl2br w:val="nil"/>
                    <w:tr2bl w:val="nil"/>
                  </w:tcBorders>
                  <w:vAlign w:val="center"/>
                </w:tcPr>
                <w:p w14:paraId="329903DC">
                  <w:pPr>
                    <w:keepNext w:val="0"/>
                    <w:keepLines w:val="0"/>
                    <w:pageBreakBefore w:val="0"/>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原料仓库</w:t>
                  </w:r>
                </w:p>
              </w:tc>
              <w:tc>
                <w:tcPr>
                  <w:tcW w:w="1297" w:type="pct"/>
                  <w:tcBorders>
                    <w:tl2br w:val="nil"/>
                    <w:tr2bl w:val="nil"/>
                  </w:tcBorders>
                  <w:vAlign w:val="center"/>
                </w:tcPr>
                <w:p w14:paraId="6508418B">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w:t>
                  </w:r>
                </w:p>
              </w:tc>
              <w:tc>
                <w:tcPr>
                  <w:tcW w:w="668" w:type="pct"/>
                  <w:tcBorders>
                    <w:tl2br w:val="nil"/>
                    <w:tr2bl w:val="nil"/>
                  </w:tcBorders>
                  <w:vAlign w:val="center"/>
                </w:tcPr>
                <w:p w14:paraId="7AA9BB08">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w:t>
                  </w:r>
                </w:p>
              </w:tc>
              <w:tc>
                <w:tcPr>
                  <w:tcW w:w="658" w:type="pct"/>
                  <w:tcBorders>
                    <w:tl2br w:val="nil"/>
                    <w:tr2bl w:val="nil"/>
                  </w:tcBorders>
                  <w:vAlign w:val="bottom"/>
                </w:tcPr>
                <w:p w14:paraId="45E95203">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0.03</w:t>
                  </w:r>
                </w:p>
              </w:tc>
            </w:tr>
            <w:tr w14:paraId="085D6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vAlign w:val="center"/>
                </w:tcPr>
                <w:p w14:paraId="7EE5427E">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2</w:t>
                  </w:r>
                </w:p>
              </w:tc>
              <w:tc>
                <w:tcPr>
                  <w:tcW w:w="1221" w:type="pct"/>
                  <w:tcBorders>
                    <w:tl2br w:val="nil"/>
                    <w:tr2bl w:val="nil"/>
                  </w:tcBorders>
                  <w:vAlign w:val="center"/>
                </w:tcPr>
                <w:p w14:paraId="701DF948">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废润滑油</w:t>
                  </w:r>
                </w:p>
              </w:tc>
              <w:tc>
                <w:tcPr>
                  <w:tcW w:w="735" w:type="pct"/>
                  <w:vMerge w:val="restart"/>
                  <w:tcBorders>
                    <w:tl2br w:val="nil"/>
                    <w:tr2bl w:val="nil"/>
                  </w:tcBorders>
                  <w:vAlign w:val="center"/>
                </w:tcPr>
                <w:p w14:paraId="3D5953C4">
                  <w:pPr>
                    <w:keepNext w:val="0"/>
                    <w:keepLines w:val="0"/>
                    <w:pageBreakBefore w:val="0"/>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危险废物仓库</w:t>
                  </w:r>
                </w:p>
              </w:tc>
              <w:tc>
                <w:tcPr>
                  <w:tcW w:w="1297" w:type="pct"/>
                  <w:tcBorders>
                    <w:tl2br w:val="nil"/>
                    <w:tr2bl w:val="nil"/>
                  </w:tcBorders>
                  <w:vAlign w:val="center"/>
                </w:tcPr>
                <w:p w14:paraId="5920F4D1">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c>
                <w:tcPr>
                  <w:tcW w:w="668" w:type="pct"/>
                  <w:tcBorders>
                    <w:tl2br w:val="nil"/>
                    <w:tr2bl w:val="nil"/>
                  </w:tcBorders>
                  <w:vAlign w:val="center"/>
                </w:tcPr>
                <w:p w14:paraId="640DD232">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2500</w:t>
                  </w:r>
                </w:p>
              </w:tc>
              <w:tc>
                <w:tcPr>
                  <w:tcW w:w="658" w:type="pct"/>
                  <w:tcBorders>
                    <w:tl2br w:val="nil"/>
                    <w:tr2bl w:val="nil"/>
                  </w:tcBorders>
                  <w:vAlign w:val="center"/>
                </w:tcPr>
                <w:p w14:paraId="5B92C8E5">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0.0008</w:t>
                  </w:r>
                </w:p>
              </w:tc>
            </w:tr>
            <w:tr w14:paraId="74A8F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19" w:type="pct"/>
                  <w:tcBorders>
                    <w:tl2br w:val="nil"/>
                    <w:tr2bl w:val="nil"/>
                  </w:tcBorders>
                  <w:vAlign w:val="center"/>
                </w:tcPr>
                <w:p w14:paraId="507070C7">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3</w:t>
                  </w:r>
                </w:p>
              </w:tc>
              <w:tc>
                <w:tcPr>
                  <w:tcW w:w="1221" w:type="pct"/>
                  <w:tcBorders>
                    <w:tl2br w:val="nil"/>
                    <w:tr2bl w:val="nil"/>
                  </w:tcBorders>
                  <w:vAlign w:val="center"/>
                </w:tcPr>
                <w:p w14:paraId="5EDF91DA">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设备清洗废液</w:t>
                  </w:r>
                </w:p>
              </w:tc>
              <w:tc>
                <w:tcPr>
                  <w:tcW w:w="735" w:type="pct"/>
                  <w:vMerge w:val="continue"/>
                  <w:tcBorders>
                    <w:tl2br w:val="nil"/>
                    <w:tr2bl w:val="nil"/>
                  </w:tcBorders>
                  <w:vAlign w:val="center"/>
                </w:tcPr>
                <w:p w14:paraId="6DF4F561">
                  <w:pPr>
                    <w:keepNext w:val="0"/>
                    <w:keepLines w:val="0"/>
                    <w:pageBreakBefore w:val="0"/>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p>
              </w:tc>
              <w:tc>
                <w:tcPr>
                  <w:tcW w:w="1297" w:type="pct"/>
                  <w:tcBorders>
                    <w:tl2br w:val="nil"/>
                    <w:tr2bl w:val="nil"/>
                  </w:tcBorders>
                  <w:vAlign w:val="center"/>
                </w:tcPr>
                <w:p w14:paraId="344CA5FB">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1.667</w:t>
                  </w:r>
                </w:p>
              </w:tc>
              <w:tc>
                <w:tcPr>
                  <w:tcW w:w="668" w:type="pct"/>
                  <w:tcBorders>
                    <w:tl2br w:val="nil"/>
                    <w:tr2bl w:val="nil"/>
                  </w:tcBorders>
                  <w:vAlign w:val="center"/>
                </w:tcPr>
                <w:p w14:paraId="0738F4E9">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w:t>
                  </w:r>
                </w:p>
              </w:tc>
              <w:tc>
                <w:tcPr>
                  <w:tcW w:w="658" w:type="pct"/>
                  <w:tcBorders>
                    <w:tl2br w:val="nil"/>
                    <w:tr2bl w:val="nil"/>
                  </w:tcBorders>
                  <w:vAlign w:val="center"/>
                </w:tcPr>
                <w:p w14:paraId="484AFCA3">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0.01667</w:t>
                  </w:r>
                </w:p>
              </w:tc>
            </w:tr>
            <w:tr w14:paraId="7B2B2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1" w:type="pct"/>
                  <w:gridSpan w:val="5"/>
                  <w:tcBorders>
                    <w:tl2br w:val="nil"/>
                    <w:tr2bl w:val="nil"/>
                  </w:tcBorders>
                  <w:vAlign w:val="center"/>
                </w:tcPr>
                <w:p w14:paraId="4CBECD53">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∑qn/Qn</w:t>
                  </w:r>
                </w:p>
              </w:tc>
              <w:tc>
                <w:tcPr>
                  <w:tcW w:w="658" w:type="pct"/>
                  <w:tcBorders>
                    <w:tl2br w:val="nil"/>
                    <w:tr2bl w:val="nil"/>
                  </w:tcBorders>
                  <w:vAlign w:val="bottom"/>
                </w:tcPr>
                <w:p w14:paraId="678D29DE">
                  <w:pPr>
                    <w:keepNext w:val="0"/>
                    <w:keepLines w:val="0"/>
                    <w:pageBreakBefore w:val="0"/>
                    <w:widowControl/>
                    <w:suppressLineNumbers w:val="0"/>
                    <w:kinsoku/>
                    <w:wordWrap/>
                    <w:overflowPunct/>
                    <w:topLinePunct w:val="0"/>
                    <w:autoSpaceDN/>
                    <w:bidi w:val="0"/>
                    <w:spacing w:before="0" w:beforeAutospacing="0" w:after="0" w:afterAutospacing="0" w:line="240" w:lineRule="exact"/>
                    <w:ind w:left="0" w:right="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0.01759</w:t>
                  </w:r>
                </w:p>
              </w:tc>
            </w:tr>
          </w:tbl>
          <w:p w14:paraId="2BADE36C">
            <w:pPr>
              <w:keepNext w:val="0"/>
              <w:keepLines w:val="0"/>
              <w:suppressLineNumbers w:val="0"/>
              <w:spacing w:before="0" w:beforeAutospacing="0" w:after="0" w:afterAutospacing="0" w:line="360" w:lineRule="auto"/>
              <w:ind w:left="0" w:right="0" w:firstLine="420" w:firstLineChars="200"/>
              <w:rPr>
                <w:rFonts w:hint="default"/>
                <w:color w:val="auto"/>
                <w:highlight w:val="none"/>
              </w:rPr>
            </w:pPr>
            <w:r>
              <w:rPr>
                <w:rFonts w:hint="default"/>
                <w:color w:val="auto"/>
                <w:highlight w:val="none"/>
              </w:rPr>
              <w:t>注：</w:t>
            </w:r>
            <w:r>
              <w:rPr>
                <w:rFonts w:hint="eastAsia" w:ascii="Times New Roman" w:hAnsi="Times New Roman" w:eastAsia="宋体" w:cs="Times New Roman"/>
                <w:snapToGrid w:val="0"/>
                <w:color w:val="auto"/>
                <w:kern w:val="0"/>
                <w:szCs w:val="21"/>
                <w:highlight w:val="none"/>
                <w:lang w:val="en-US" w:eastAsia="zh-CN"/>
              </w:rPr>
              <w:t>硅油-脱模剂</w:t>
            </w:r>
            <w:r>
              <w:rPr>
                <w:rFonts w:hint="eastAsia" w:cs="Times New Roman"/>
                <w:snapToGrid w:val="0"/>
                <w:color w:val="auto"/>
                <w:kern w:val="0"/>
                <w:szCs w:val="21"/>
                <w:highlight w:val="none"/>
                <w:lang w:val="en-US" w:eastAsia="zh-CN"/>
              </w:rPr>
              <w:t>、</w:t>
            </w:r>
            <w:r>
              <w:rPr>
                <w:rFonts w:hint="eastAsia"/>
                <w:color w:val="auto"/>
                <w:highlight w:val="none"/>
                <w:lang w:val="en-US" w:eastAsia="zh-CN"/>
              </w:rPr>
              <w:t>设备清洗废液</w:t>
            </w:r>
            <w:r>
              <w:rPr>
                <w:rFonts w:hint="default"/>
                <w:color w:val="auto"/>
                <w:highlight w:val="none"/>
                <w:lang w:eastAsia="zh-CN"/>
              </w:rPr>
              <w:t>参照危害水环境物质（急性毒性类别：急性</w:t>
            </w:r>
            <w:r>
              <w:rPr>
                <w:rFonts w:hint="default"/>
                <w:color w:val="auto"/>
                <w:highlight w:val="none"/>
                <w:lang w:val="en-US" w:eastAsia="zh-CN"/>
              </w:rPr>
              <w:t>1，慢性毒性类别：慢性1</w:t>
            </w:r>
            <w:r>
              <w:rPr>
                <w:rFonts w:hint="default"/>
                <w:color w:val="auto"/>
                <w:highlight w:val="none"/>
                <w:lang w:eastAsia="zh-CN"/>
              </w:rPr>
              <w:t>）</w:t>
            </w:r>
            <w:r>
              <w:rPr>
                <w:rFonts w:hint="default"/>
                <w:color w:val="auto"/>
                <w:highlight w:val="none"/>
              </w:rPr>
              <w:t>。</w:t>
            </w:r>
          </w:p>
          <w:p w14:paraId="1528E8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由上表可知，本项目Q&lt;1，环境风险潜势为Ⅰ，仅开展简单分析。</w:t>
            </w:r>
          </w:p>
          <w:p w14:paraId="34565E96">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（2）环境风险识别</w:t>
            </w:r>
          </w:p>
          <w:p w14:paraId="16BE2BF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本项目主要危险物质环境风险识别见下表：</w:t>
            </w:r>
          </w:p>
          <w:p w14:paraId="4D94C0E8">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-29  </w:t>
            </w:r>
            <w:r>
              <w:rPr>
                <w:rFonts w:hint="default" w:ascii="Times New Roman" w:hAnsi="Times New Roman" w:eastAsia="宋体" w:cs="Times New Roman"/>
                <w:b/>
                <w:bCs/>
                <w:color w:val="auto"/>
                <w:kern w:val="2"/>
                <w:sz w:val="24"/>
                <w:szCs w:val="20"/>
                <w:highlight w:val="none"/>
                <w:lang w:val="en-US" w:eastAsia="zh-CN" w:bidi="ar-SA"/>
              </w:rPr>
              <w:t>本项目涉及的主要危险物质环境风险识别</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2157"/>
              <w:gridCol w:w="2901"/>
              <w:gridCol w:w="2026"/>
            </w:tblGrid>
            <w:tr w14:paraId="12E9C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749" w:type="pct"/>
                  <w:vAlign w:val="center"/>
                </w:tcPr>
                <w:p w14:paraId="39A29F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风险单元</w:t>
                  </w:r>
                </w:p>
              </w:tc>
              <w:tc>
                <w:tcPr>
                  <w:tcW w:w="1294" w:type="pct"/>
                  <w:vAlign w:val="center"/>
                </w:tcPr>
                <w:p w14:paraId="245E9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涉及风险物质</w:t>
                  </w:r>
                </w:p>
              </w:tc>
              <w:tc>
                <w:tcPr>
                  <w:tcW w:w="1740" w:type="pct"/>
                  <w:vAlign w:val="center"/>
                </w:tcPr>
                <w:p w14:paraId="67338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环境风险类型</w:t>
                  </w:r>
                </w:p>
              </w:tc>
              <w:tc>
                <w:tcPr>
                  <w:tcW w:w="1215" w:type="pct"/>
                  <w:vAlign w:val="center"/>
                </w:tcPr>
                <w:p w14:paraId="684548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环境影响途径</w:t>
                  </w:r>
                </w:p>
              </w:tc>
            </w:tr>
            <w:tr w14:paraId="5C504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749" w:type="pct"/>
                  <w:vAlign w:val="center"/>
                </w:tcPr>
                <w:p w14:paraId="6C4548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原料仓库</w:t>
                  </w:r>
                </w:p>
              </w:tc>
              <w:tc>
                <w:tcPr>
                  <w:tcW w:w="1294" w:type="pct"/>
                  <w:vAlign w:val="center"/>
                </w:tcPr>
                <w:p w14:paraId="0BE83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szCs w:val="21"/>
                      <w:highlight w:val="none"/>
                      <w:lang w:val="en-US" w:eastAsia="zh-CN"/>
                    </w:rPr>
                  </w:pPr>
                  <w:r>
                    <w:rPr>
                      <w:rFonts w:hint="eastAsia"/>
                      <w:snapToGrid w:val="0"/>
                      <w:color w:val="auto"/>
                      <w:kern w:val="0"/>
                      <w:highlight w:val="none"/>
                      <w:lang w:val="en-US" w:eastAsia="zh-CN"/>
                    </w:rPr>
                    <w:t>硅油-脱模剂</w:t>
                  </w:r>
                </w:p>
              </w:tc>
              <w:tc>
                <w:tcPr>
                  <w:tcW w:w="1740" w:type="pct"/>
                  <w:vAlign w:val="center"/>
                </w:tcPr>
                <w:p w14:paraId="4A822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olor w:val="auto"/>
                      <w:highlight w:val="none"/>
                      <w:lang w:val="en-US" w:eastAsia="zh-CN"/>
                    </w:rPr>
                    <w:t>泄漏、火灾/爆炸等引发的伴生/次生污染物排放</w:t>
                  </w:r>
                </w:p>
              </w:tc>
              <w:tc>
                <w:tcPr>
                  <w:tcW w:w="1215" w:type="pct"/>
                  <w:vAlign w:val="center"/>
                </w:tcPr>
                <w:p w14:paraId="1DF39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rPr>
                  </w:pPr>
                  <w:r>
                    <w:rPr>
                      <w:rFonts w:hint="default"/>
                      <w:color w:val="auto"/>
                      <w:szCs w:val="21"/>
                      <w:highlight w:val="none"/>
                    </w:rPr>
                    <w:t>大气</w:t>
                  </w:r>
                  <w:r>
                    <w:rPr>
                      <w:rFonts w:hint="eastAsia"/>
                      <w:color w:val="auto"/>
                      <w:szCs w:val="21"/>
                      <w:highlight w:val="none"/>
                    </w:rPr>
                    <w:t>、</w:t>
                  </w:r>
                  <w:r>
                    <w:rPr>
                      <w:rFonts w:hint="default"/>
                      <w:color w:val="auto"/>
                      <w:szCs w:val="21"/>
                      <w:highlight w:val="none"/>
                    </w:rPr>
                    <w:t>地表水</w:t>
                  </w:r>
                  <w:r>
                    <w:rPr>
                      <w:rFonts w:hint="eastAsia"/>
                      <w:color w:val="auto"/>
                      <w:szCs w:val="21"/>
                      <w:highlight w:val="none"/>
                    </w:rPr>
                    <w:t>、土壤、</w:t>
                  </w:r>
                  <w:r>
                    <w:rPr>
                      <w:rFonts w:hint="default"/>
                      <w:color w:val="auto"/>
                      <w:szCs w:val="21"/>
                      <w:highlight w:val="none"/>
                    </w:rPr>
                    <w:t>地下水环境</w:t>
                  </w:r>
                </w:p>
              </w:tc>
            </w:tr>
            <w:tr w14:paraId="7AE04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749" w:type="pct"/>
                  <w:vAlign w:val="center"/>
                </w:tcPr>
                <w:p w14:paraId="7BEA1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危险废物</w:t>
                  </w:r>
                  <w:r>
                    <w:rPr>
                      <w:rFonts w:hint="default" w:ascii="Times New Roman" w:hAnsi="Times New Roman" w:eastAsia="宋体" w:cs="Times New Roman"/>
                      <w:color w:val="auto"/>
                      <w:szCs w:val="21"/>
                      <w:highlight w:val="none"/>
                    </w:rPr>
                    <w:t>仓库</w:t>
                  </w:r>
                </w:p>
              </w:tc>
              <w:tc>
                <w:tcPr>
                  <w:tcW w:w="1294" w:type="pct"/>
                  <w:vAlign w:val="center"/>
                </w:tcPr>
                <w:p w14:paraId="55E167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设备清洗废液、</w:t>
                  </w:r>
                  <w:r>
                    <w:rPr>
                      <w:rFonts w:hint="default" w:ascii="Times New Roman" w:hAnsi="Times New Roman" w:eastAsia="宋体" w:cs="Times New Roman"/>
                      <w:color w:val="auto"/>
                      <w:szCs w:val="21"/>
                      <w:highlight w:val="none"/>
                      <w:lang w:val="en-US" w:eastAsia="zh-CN"/>
                    </w:rPr>
                    <w:t>废活性炭</w:t>
                  </w:r>
                  <w:r>
                    <w:rPr>
                      <w:rFonts w:hint="eastAsia" w:cs="Times New Roman"/>
                      <w:color w:val="auto"/>
                      <w:szCs w:val="21"/>
                      <w:highlight w:val="none"/>
                      <w:lang w:val="en-US" w:eastAsia="zh-CN"/>
                    </w:rPr>
                    <w:t>、废润滑油等</w:t>
                  </w:r>
                </w:p>
              </w:tc>
              <w:tc>
                <w:tcPr>
                  <w:tcW w:w="1740" w:type="pct"/>
                  <w:vAlign w:val="center"/>
                </w:tcPr>
                <w:p w14:paraId="05CAC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泄漏、火灾/爆炸等引发的伴生/次生污染物排放</w:t>
                  </w:r>
                </w:p>
              </w:tc>
              <w:tc>
                <w:tcPr>
                  <w:tcW w:w="1215" w:type="pct"/>
                  <w:vAlign w:val="center"/>
                </w:tcPr>
                <w:p w14:paraId="53FF79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大气、地表水、土壤、地下水环境</w:t>
                  </w:r>
                </w:p>
              </w:tc>
            </w:tr>
          </w:tbl>
          <w:p w14:paraId="4D3A080E">
            <w:pPr>
              <w:keepNext w:val="0"/>
              <w:keepLines w:val="0"/>
              <w:widowControl w:val="0"/>
              <w:numPr>
                <w:ilvl w:val="0"/>
                <w:numId w:val="0"/>
              </w:numPr>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8"/>
                <w:sz w:val="24"/>
                <w:szCs w:val="24"/>
                <w:highlight w:val="none"/>
                <w:lang w:val="en-US" w:eastAsia="zh-CN" w:bidi="ar-SA"/>
              </w:rPr>
            </w:pPr>
            <w:r>
              <w:rPr>
                <w:rFonts w:hint="default" w:ascii="Times New Roman" w:hAnsi="Times New Roman" w:eastAsia="宋体" w:cs="Times New Roman"/>
                <w:b/>
                <w:bCs w:val="0"/>
                <w:color w:val="auto"/>
                <w:kern w:val="28"/>
                <w:sz w:val="24"/>
                <w:szCs w:val="24"/>
                <w:highlight w:val="none"/>
                <w:lang w:val="en-US" w:eastAsia="zh-CN" w:bidi="ar-SA"/>
              </w:rPr>
              <w:t>（3）环境风险分析</w:t>
            </w:r>
          </w:p>
          <w:p w14:paraId="6ADCB38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8"/>
                <w:sz w:val="24"/>
                <w:szCs w:val="24"/>
                <w:highlight w:val="none"/>
                <w:lang w:val="en-US" w:eastAsia="zh-CN" w:bidi="ar-SA"/>
              </w:rPr>
            </w:pPr>
            <w:r>
              <w:rPr>
                <w:rFonts w:hint="default" w:ascii="Times New Roman" w:hAnsi="Times New Roman" w:eastAsia="宋体" w:cs="Times New Roman"/>
                <w:bCs/>
                <w:color w:val="auto"/>
                <w:kern w:val="28"/>
                <w:sz w:val="24"/>
                <w:szCs w:val="24"/>
                <w:highlight w:val="none"/>
                <w:lang w:val="en-US" w:eastAsia="zh-CN" w:bidi="ar-SA"/>
              </w:rPr>
              <w:t>经识别，本项目涉及的主要风险物质为</w:t>
            </w:r>
            <w:r>
              <w:rPr>
                <w:rFonts w:hint="eastAsia" w:ascii="Times New Roman" w:hAnsi="Times New Roman" w:eastAsia="宋体" w:cs="Times New Roman"/>
                <w:bCs/>
                <w:color w:val="auto"/>
                <w:kern w:val="28"/>
                <w:sz w:val="24"/>
                <w:szCs w:val="24"/>
                <w:highlight w:val="none"/>
                <w:lang w:val="en-US" w:eastAsia="zh-CN" w:bidi="ar-SA"/>
              </w:rPr>
              <w:t>硅油-脱模剂、润滑油以及废润滑油、废活性炭等</w:t>
            </w:r>
            <w:r>
              <w:rPr>
                <w:rFonts w:hint="default" w:ascii="Times New Roman" w:hAnsi="Times New Roman" w:eastAsia="宋体" w:cs="Times New Roman"/>
                <w:bCs/>
                <w:color w:val="auto"/>
                <w:kern w:val="28"/>
                <w:sz w:val="24"/>
                <w:szCs w:val="24"/>
                <w:highlight w:val="none"/>
                <w:lang w:val="en-US" w:eastAsia="zh-CN" w:bidi="ar-SA"/>
              </w:rPr>
              <w:t>。</w:t>
            </w:r>
          </w:p>
          <w:p w14:paraId="480FCC71">
            <w:pPr>
              <w:pStyle w:val="46"/>
              <w:keepNext w:val="0"/>
              <w:keepLines w:val="0"/>
              <w:pageBreakBefore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Times New Roman"/>
                <w:bCs/>
                <w:color w:val="auto"/>
                <w:kern w:val="28"/>
                <w:sz w:val="24"/>
                <w:szCs w:val="24"/>
                <w:highlight w:val="none"/>
                <w:lang w:val="en-US" w:eastAsia="zh-CN" w:bidi="ar-SA"/>
              </w:rPr>
            </w:pPr>
            <w:r>
              <w:rPr>
                <w:rFonts w:hint="default" w:ascii="Times New Roman" w:hAnsi="Times New Roman" w:eastAsia="宋体" w:cs="Times New Roman"/>
                <w:bCs/>
                <w:color w:val="auto"/>
                <w:kern w:val="28"/>
                <w:sz w:val="24"/>
                <w:szCs w:val="24"/>
                <w:highlight w:val="none"/>
                <w:lang w:val="en-US" w:eastAsia="zh-CN" w:bidi="ar-SA"/>
              </w:rPr>
              <w:t>润滑油和硅油-脱模剂等如发生泄漏，会产生废气进入大气环境中，造成环境空气质量污染；硅油-脱模剂、润滑油、废活性炭等如遇明火会有燃烧、爆炸的危险，同时燃烧产生</w:t>
            </w:r>
            <w:r>
              <w:rPr>
                <w:rFonts w:hint="eastAsia" w:ascii="Times New Roman" w:hAnsi="Times New Roman" w:eastAsia="宋体" w:cs="Times New Roman"/>
                <w:bCs/>
                <w:color w:val="auto"/>
                <w:kern w:val="28"/>
                <w:sz w:val="24"/>
                <w:szCs w:val="24"/>
                <w:highlight w:val="none"/>
                <w:lang w:val="en-US" w:eastAsia="zh-CN" w:bidi="ar-SA"/>
              </w:rPr>
              <w:t>颗粒物、</w:t>
            </w:r>
            <w:r>
              <w:rPr>
                <w:rFonts w:hint="default" w:ascii="Times New Roman" w:hAnsi="Times New Roman" w:eastAsia="宋体" w:cs="Times New Roman"/>
                <w:bCs/>
                <w:color w:val="auto"/>
                <w:kern w:val="28"/>
                <w:sz w:val="24"/>
                <w:szCs w:val="24"/>
                <w:highlight w:val="none"/>
                <w:lang w:val="en-US" w:eastAsia="zh-CN" w:bidi="ar-SA"/>
              </w:rPr>
              <w:t>一氧化碳、二氧化碳、</w:t>
            </w:r>
            <w:r>
              <w:rPr>
                <w:rFonts w:hint="eastAsia" w:ascii="Times New Roman" w:hAnsi="Times New Roman" w:eastAsia="宋体" w:cs="Times New Roman"/>
                <w:bCs/>
                <w:color w:val="auto"/>
                <w:kern w:val="28"/>
                <w:sz w:val="24"/>
                <w:szCs w:val="24"/>
                <w:highlight w:val="none"/>
                <w:lang w:val="en-US" w:eastAsia="zh-CN" w:bidi="ar-SA"/>
              </w:rPr>
              <w:t>二氧化硫、氮氧化物、</w:t>
            </w:r>
            <w:r>
              <w:rPr>
                <w:rFonts w:hint="default" w:ascii="Times New Roman" w:hAnsi="Times New Roman" w:eastAsia="宋体" w:cs="Times New Roman"/>
                <w:bCs/>
                <w:color w:val="auto"/>
                <w:kern w:val="28"/>
                <w:sz w:val="24"/>
                <w:szCs w:val="24"/>
                <w:highlight w:val="none"/>
                <w:lang w:val="en-US" w:eastAsia="zh-CN" w:bidi="ar-SA"/>
              </w:rPr>
              <w:t>非甲烷总烃等废气进入大气环境中，会导致周围环境中相应污染物浓度增高，造成环境空气质量污染</w:t>
            </w:r>
            <w:r>
              <w:rPr>
                <w:rFonts w:hint="eastAsia" w:ascii="Times New Roman" w:hAnsi="Times New Roman" w:eastAsia="宋体" w:cs="Times New Roman"/>
                <w:bCs/>
                <w:color w:val="auto"/>
                <w:kern w:val="28"/>
                <w:sz w:val="24"/>
                <w:szCs w:val="24"/>
                <w:highlight w:val="none"/>
                <w:lang w:val="en-US" w:eastAsia="zh-CN" w:bidi="ar-SA"/>
              </w:rPr>
              <w:t>；还有事故废水产生，事故废水等如拦截不当则可能会进入周围水环境中。</w:t>
            </w:r>
            <w:r>
              <w:rPr>
                <w:rFonts w:hint="default" w:ascii="Times New Roman" w:hAnsi="Times New Roman" w:eastAsia="宋体" w:cs="Times New Roman"/>
                <w:bCs/>
                <w:color w:val="auto"/>
                <w:kern w:val="28"/>
                <w:sz w:val="24"/>
                <w:szCs w:val="24"/>
                <w:highlight w:val="none"/>
                <w:lang w:val="en-US" w:eastAsia="zh-CN" w:bidi="ar-SA"/>
              </w:rPr>
              <w:t>同时，润滑油、硅油-脱模剂等液态风险物质若发生存储桶破损且防渗措施老化等情况导致事故排放，可能会污染地表水、地下水及土壤。</w:t>
            </w:r>
          </w:p>
          <w:p w14:paraId="7167F4AD">
            <w:pPr>
              <w:pStyle w:val="46"/>
              <w:keepNext w:val="0"/>
              <w:keepLines w:val="0"/>
              <w:pageBreakBefore w:val="0"/>
              <w:suppressLineNumbers w:val="0"/>
              <w:kinsoku/>
              <w:wordWrap/>
              <w:overflowPunct/>
              <w:topLinePunct w:val="0"/>
              <w:bidi w:val="0"/>
              <w:adjustRightInd w:val="0"/>
              <w:snapToGrid w:val="0"/>
              <w:spacing w:before="0" w:beforeAutospacing="0" w:after="0" w:afterAutospacing="0"/>
              <w:ind w:left="0" w:right="0"/>
              <w:textAlignment w:val="auto"/>
              <w:rPr>
                <w:rFonts w:hint="default" w:ascii="Times New Roman" w:hAnsi="Times New Roman" w:eastAsia="宋体" w:cs="Times New Roman"/>
                <w:bCs/>
                <w:color w:val="auto"/>
                <w:kern w:val="28"/>
                <w:sz w:val="24"/>
                <w:szCs w:val="24"/>
                <w:highlight w:val="none"/>
                <w:lang w:val="en-US" w:eastAsia="zh-CN" w:bidi="ar-SA"/>
              </w:rPr>
            </w:pPr>
            <w:r>
              <w:rPr>
                <w:rFonts w:hint="default" w:ascii="Times New Roman" w:hAnsi="Times New Roman" w:eastAsia="宋体" w:cs="Times New Roman"/>
                <w:bCs/>
                <w:color w:val="auto"/>
                <w:kern w:val="28"/>
                <w:sz w:val="24"/>
                <w:szCs w:val="24"/>
                <w:highlight w:val="none"/>
                <w:lang w:val="en-US" w:eastAsia="zh-CN" w:bidi="ar-SA"/>
              </w:rPr>
              <w:t>项目重点防渗区</w:t>
            </w:r>
            <w:r>
              <w:rPr>
                <w:rFonts w:hint="eastAsia" w:ascii="Times New Roman" w:hAnsi="Times New Roman" w:eastAsia="宋体" w:cs="Times New Roman"/>
                <w:bCs/>
                <w:color w:val="auto"/>
                <w:kern w:val="28"/>
                <w:sz w:val="24"/>
                <w:szCs w:val="24"/>
                <w:highlight w:val="none"/>
                <w:lang w:val="en-US" w:eastAsia="zh-CN" w:bidi="ar-SA"/>
              </w:rPr>
              <w:t>危险废物</w:t>
            </w:r>
            <w:r>
              <w:rPr>
                <w:rFonts w:hint="default" w:ascii="Times New Roman" w:hAnsi="Times New Roman" w:eastAsia="宋体" w:cs="Times New Roman"/>
                <w:bCs/>
                <w:color w:val="auto"/>
                <w:kern w:val="28"/>
                <w:sz w:val="24"/>
                <w:szCs w:val="24"/>
                <w:highlight w:val="none"/>
                <w:lang w:val="en-US" w:eastAsia="zh-CN" w:bidi="ar-SA"/>
              </w:rPr>
              <w:t>堆场拟采取防渗措施，对项目地下水、土壤环境风险影响较小。​</w:t>
            </w:r>
          </w:p>
          <w:p w14:paraId="147E6B7E">
            <w:pPr>
              <w:keepNext w:val="0"/>
              <w:keepLines w:val="0"/>
              <w:widowControl w:val="0"/>
              <w:numPr>
                <w:ilvl w:val="0"/>
                <w:numId w:val="0"/>
              </w:numPr>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8"/>
                <w:sz w:val="24"/>
                <w:szCs w:val="24"/>
                <w:highlight w:val="none"/>
                <w:lang w:val="en-US" w:eastAsia="zh-CN" w:bidi="ar-SA"/>
              </w:rPr>
            </w:pPr>
            <w:r>
              <w:rPr>
                <w:rFonts w:hint="default" w:ascii="Times New Roman" w:hAnsi="Times New Roman" w:eastAsia="宋体" w:cs="Times New Roman"/>
                <w:b/>
                <w:bCs w:val="0"/>
                <w:color w:val="auto"/>
                <w:kern w:val="28"/>
                <w:sz w:val="24"/>
                <w:szCs w:val="24"/>
                <w:highlight w:val="none"/>
                <w:lang w:val="en-US" w:eastAsia="zh-CN" w:bidi="ar-SA"/>
              </w:rPr>
              <w:t>（4）环境风险防范及应急措施</w:t>
            </w:r>
          </w:p>
          <w:p w14:paraId="5DF7967A">
            <w:pPr>
              <w:pStyle w:val="16"/>
              <w:keepNext w:val="0"/>
              <w:keepLines w:val="0"/>
              <w:suppressLineNumbers w:val="0"/>
              <w:spacing w:before="0" w:beforeAutospacing="0" w:after="0" w:afterAutospacing="0" w:line="360" w:lineRule="auto"/>
              <w:ind w:lef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为减少危险化学品可能造成的环境风险，宜采取以下风险防范及应急措施：</w:t>
            </w:r>
          </w:p>
          <w:p w14:paraId="50ED0BA1">
            <w:pPr>
              <w:pStyle w:val="16"/>
              <w:keepNext w:val="0"/>
              <w:keepLines w:val="0"/>
              <w:suppressLineNumbers w:val="0"/>
              <w:spacing w:before="0" w:beforeAutospacing="0" w:after="0" w:afterAutospacing="0" w:line="360" w:lineRule="auto"/>
              <w:ind w:left="0"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①企业应按照要求建立</w:t>
            </w:r>
            <w:r>
              <w:rPr>
                <w:rFonts w:hint="eastAsia" w:ascii="Times New Roman" w:hAnsi="Times New Roman" w:eastAsia="宋体" w:cs="Times New Roman"/>
                <w:color w:val="auto"/>
                <w:sz w:val="24"/>
                <w:szCs w:val="24"/>
                <w:highlight w:val="none"/>
                <w:lang w:val="en-US" w:eastAsia="zh-CN"/>
              </w:rPr>
              <w:t>/完善</w:t>
            </w:r>
            <w:r>
              <w:rPr>
                <w:rFonts w:hint="eastAsia" w:ascii="Times New Roman" w:hAnsi="Times New Roman" w:eastAsia="宋体" w:cs="Times New Roman"/>
                <w:color w:val="auto"/>
                <w:sz w:val="24"/>
                <w:szCs w:val="24"/>
                <w:highlight w:val="none"/>
              </w:rPr>
              <w:t>环境风险防控和应急管理制度、应急物资和装备管理制度、隐患排查治理制度、应急培训和演练制度、突发环境事件信息报告制度等。建立企业环境安全责任“三落实三必须”机制。（“三落实三必须”：落实主要负责人环境安全第一责任人责任，必须对企业环境风险物质和点位全部知晓、风险防控体系全部明晰；落实环保负责人主管责任，必须对企业风险源防控应对措施、应急物资和救援力量情况全部知晓；落实岗位人员直接责任，必须对应急处置措施、应急设施设备操作规程熟练掌握）</w:t>
            </w:r>
            <w:r>
              <w:rPr>
                <w:rFonts w:hint="eastAsia" w:cs="Times New Roman"/>
                <w:color w:val="auto"/>
                <w:sz w:val="24"/>
                <w:szCs w:val="24"/>
                <w:highlight w:val="none"/>
                <w:lang w:eastAsia="zh-CN"/>
              </w:rPr>
              <w:t>。</w:t>
            </w:r>
          </w:p>
          <w:p w14:paraId="4783B184">
            <w:pPr>
              <w:pStyle w:val="16"/>
              <w:keepNext w:val="0"/>
              <w:keepLines w:val="0"/>
              <w:suppressLineNumbers w:val="0"/>
              <w:spacing w:before="0" w:beforeAutospacing="0" w:after="0" w:afterAutospacing="0" w:line="360" w:lineRule="auto"/>
              <w:ind w:lef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从生产管理、工艺技术设计、自动控制设计、电气及电讯、消防及火灾报警系统等方面制定相应的环境风险防范措施。提高设备自动控制水平，设置集中控制室、工人操作值班室等，对关键设备的操作条件进行自动控制及安全报警，及时预报和切断泄漏源，在紧急情况下可自动停车，以减少和降低危险出现概率。</w:t>
            </w:r>
          </w:p>
          <w:p w14:paraId="4513E8F4">
            <w:pPr>
              <w:pStyle w:val="16"/>
              <w:keepNext w:val="0"/>
              <w:keepLines w:val="0"/>
              <w:suppressLineNumbers w:val="0"/>
              <w:spacing w:before="0" w:beforeAutospacing="0" w:after="0" w:afterAutospacing="0" w:line="360" w:lineRule="auto"/>
              <w:ind w:lef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③各环境风险单元应加强风险源监控，配备相应应急设施和应急物资，并定期维护确保其可正常使用。废气处理设施发生故障时，应立即启动应急程序，停产排查，避免废气未经处理对外排放。</w:t>
            </w:r>
          </w:p>
          <w:p w14:paraId="18B3A09C">
            <w:pPr>
              <w:pStyle w:val="16"/>
              <w:keepNext w:val="0"/>
              <w:keepLines w:val="0"/>
              <w:suppressLineNumbers w:val="0"/>
              <w:spacing w:before="0" w:beforeAutospacing="0" w:after="0" w:afterAutospacing="0" w:line="360" w:lineRule="auto"/>
              <w:ind w:lef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④事故状态下应根据气象条件，选择向远离事故发生点上风向进行疏散，临时安置场所应选在交通便利、安全的区域；临时安置场所设有醒目的标志牌。</w:t>
            </w:r>
          </w:p>
          <w:p w14:paraId="004057A9">
            <w:pPr>
              <w:pStyle w:val="16"/>
              <w:keepNext w:val="0"/>
              <w:keepLines w:val="0"/>
              <w:suppressLineNumbers w:val="0"/>
              <w:spacing w:before="0" w:beforeAutospacing="0" w:after="0" w:afterAutospacing="0" w:line="360" w:lineRule="auto"/>
              <w:ind w:lef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⑤企业应按照三级防控的要求建立突发水污染事件环境风险防控体系：各环境风险单元应按照要求设置防渗漏、防腐蚀、防淋溶、防流失措施；并按照相关要求设置有效防止事故废水扩散至外环境的收集、导流、拦截、降污等环境风险防范设施，确保事故废水有效收集和妥善处理，避免进入外环境。当事故废水可能出厂界时，还应及时启动园区/区域环境风险防范措施，实现企业与园区/区域环境风险防控设施及管理的有效联动。</w:t>
            </w:r>
          </w:p>
          <w:p w14:paraId="1BBCEEA9">
            <w:pPr>
              <w:pStyle w:val="16"/>
              <w:keepNext w:val="0"/>
              <w:keepLines w:val="0"/>
              <w:suppressLineNumbers w:val="0"/>
              <w:spacing w:before="0" w:beforeAutospacing="0" w:after="0" w:afterAutospacing="0" w:line="360" w:lineRule="auto"/>
              <w:ind w:lef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⑥危险废物暂存区域应严格按照《危险废物贮存污染控制标准》（GB18597-2023）中的相关要求设置，定期开展必要的培训和环境应急演练，并做好培训、演练记录；并配备满足其突发环境事件应急要求的应急人员、装备和物资，并设置应急照明系统。</w:t>
            </w:r>
          </w:p>
          <w:p w14:paraId="3601FF65">
            <w:pPr>
              <w:pStyle w:val="16"/>
              <w:keepNext w:val="0"/>
              <w:keepLines w:val="0"/>
              <w:suppressLineNumbers w:val="0"/>
              <w:spacing w:before="0" w:beforeAutospacing="0" w:after="0" w:afterAutospacing="0" w:line="360" w:lineRule="auto"/>
              <w:ind w:lef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⑦企业应按《关于做好生态环境和应急管理部门联动工作的意见》（苏环办〔2020〕101号）、《关于印发〈省生态环境厅关于做好安全生产专项整治工作实施方案〉的通知》（苏环办〔2020〕16号）中要求对相关环保设施开展安全风险辨识管控，健全内部污染设施稳定运行和管理责任制度，严格依据标准规范建设环境治理设施，确保环境治理设施安全、稳定、有效运行。</w:t>
            </w:r>
          </w:p>
          <w:p w14:paraId="2F32A99B">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⑧企业已于2025年2月26日取得突发环境事件应急预案备案表，备案编号为320214-2025-054-L，后期</w:t>
            </w:r>
            <w:r>
              <w:rPr>
                <w:rFonts w:hint="eastAsia" w:cs="Times New Roman"/>
                <w:color w:val="auto"/>
                <w:kern w:val="2"/>
                <w:sz w:val="24"/>
                <w:szCs w:val="24"/>
                <w:highlight w:val="none"/>
                <w:lang w:val="en-US" w:eastAsia="zh-CN"/>
              </w:rPr>
              <w:t>应</w:t>
            </w:r>
            <w:r>
              <w:rPr>
                <w:rFonts w:hint="eastAsia" w:ascii="Times New Roman" w:hAnsi="Times New Roman" w:eastAsia="宋体" w:cs="Times New Roman"/>
                <w:color w:val="auto"/>
                <w:kern w:val="2"/>
                <w:sz w:val="24"/>
                <w:szCs w:val="24"/>
                <w:highlight w:val="none"/>
                <w:lang w:val="en-US" w:eastAsia="zh-CN"/>
              </w:rPr>
              <w:t>根据《江苏省突发环境事件应急预案管理办法》要求对环境应急预案进行修编。</w:t>
            </w:r>
          </w:p>
          <w:p w14:paraId="2434BF8D">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（5）风险结论</w:t>
            </w:r>
          </w:p>
          <w:p w14:paraId="62994B0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在各环境风险防范措施落实到位的情况下，可降低本项目的环境风险，最大程度减少对环境可能造成的危害，项目对环境的风险影响可接受。</w:t>
            </w:r>
          </w:p>
          <w:p w14:paraId="49D0C18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本项目环境风险简单分析内容见下表。</w:t>
            </w:r>
          </w:p>
          <w:p w14:paraId="19C40720">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75A78B30">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0843D007">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5B89F518">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44554FE9">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2C58B631">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7AA5BBFB">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4"/>
                <w:highlight w:val="none"/>
                <w:lang w:val="en-US" w:eastAsia="zh-CN" w:bidi="ar-SA"/>
              </w:rPr>
            </w:pPr>
          </w:p>
          <w:p w14:paraId="2F87B051">
            <w:pPr>
              <w:keepNext w:val="0"/>
              <w:keepLines w:val="0"/>
              <w:widowControl w:val="0"/>
              <w:numPr>
                <w:ilvl w:val="0"/>
                <w:numId w:val="0"/>
              </w:numPr>
              <w:suppressLineNumbers w:val="0"/>
              <w:adjustRightInd w:val="0"/>
              <w:snapToGrid w:val="0"/>
              <w:spacing w:before="0" w:beforeAutospacing="0" w:after="0" w:afterAutospacing="0"/>
              <w:ind w:left="425" w:leftChars="0" w:right="0" w:hanging="425" w:firstLineChars="0"/>
              <w:jc w:val="center"/>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w:t>
            </w:r>
            <w:r>
              <w:rPr>
                <w:rFonts w:hint="eastAsia" w:cs="Times New Roman"/>
                <w:b/>
                <w:bCs/>
                <w:color w:val="auto"/>
                <w:kern w:val="2"/>
                <w:sz w:val="24"/>
                <w:szCs w:val="24"/>
                <w:highlight w:val="none"/>
                <w:lang w:val="en-US" w:eastAsia="zh-CN" w:bidi="ar-SA"/>
              </w:rPr>
              <w:t xml:space="preserve">30  </w:t>
            </w:r>
            <w:r>
              <w:rPr>
                <w:rFonts w:hint="default" w:ascii="Times New Roman" w:hAnsi="Times New Roman" w:eastAsia="宋体" w:cs="Times New Roman"/>
                <w:b/>
                <w:bCs/>
                <w:color w:val="auto"/>
                <w:kern w:val="2"/>
                <w:sz w:val="24"/>
                <w:szCs w:val="20"/>
                <w:highlight w:val="none"/>
                <w:lang w:val="en-US" w:eastAsia="zh-CN" w:bidi="ar-SA"/>
              </w:rPr>
              <w:t>建设项目环境风险简单分析内容表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85" w:type="dxa"/>
                <w:bottom w:w="0" w:type="dxa"/>
                <w:right w:w="85" w:type="dxa"/>
              </w:tblCellMar>
            </w:tblPr>
            <w:tblGrid>
              <w:gridCol w:w="1517"/>
              <w:gridCol w:w="6816"/>
            </w:tblGrid>
            <w:tr w14:paraId="3D6541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10" w:type="pct"/>
                  <w:tcBorders>
                    <w:top w:val="single" w:color="auto" w:sz="12" w:space="0"/>
                    <w:left w:val="nil"/>
                    <w:bottom w:val="single" w:color="auto" w:sz="2" w:space="0"/>
                    <w:right w:val="single" w:color="auto" w:sz="2" w:space="0"/>
                  </w:tcBorders>
                  <w:vAlign w:val="center"/>
                </w:tcPr>
                <w:p w14:paraId="1CA413C2">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建设项目名称</w:t>
                  </w:r>
                </w:p>
              </w:tc>
              <w:tc>
                <w:tcPr>
                  <w:tcW w:w="4089" w:type="pct"/>
                  <w:tcBorders>
                    <w:top w:val="single" w:color="auto" w:sz="12" w:space="0"/>
                    <w:left w:val="single" w:color="auto" w:sz="2" w:space="0"/>
                    <w:bottom w:val="single" w:color="auto" w:sz="2" w:space="0"/>
                    <w:right w:val="nil"/>
                  </w:tcBorders>
                  <w:vAlign w:val="center"/>
                </w:tcPr>
                <w:p w14:paraId="0A759EDC">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年产一亿个口腔隐形正畸产品的3D打印后处理工艺技术升级改造项目</w:t>
                  </w:r>
                </w:p>
              </w:tc>
            </w:tr>
            <w:tr w14:paraId="542A36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10" w:type="pct"/>
                  <w:tcBorders>
                    <w:top w:val="single" w:color="auto" w:sz="2" w:space="0"/>
                    <w:left w:val="nil"/>
                    <w:bottom w:val="single" w:color="auto" w:sz="2" w:space="0"/>
                    <w:right w:val="single" w:color="auto" w:sz="2" w:space="0"/>
                  </w:tcBorders>
                  <w:vAlign w:val="center"/>
                </w:tcPr>
                <w:p w14:paraId="7E264149">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建设地点</w:t>
                  </w:r>
                </w:p>
              </w:tc>
              <w:tc>
                <w:tcPr>
                  <w:tcW w:w="4089" w:type="pct"/>
                  <w:tcBorders>
                    <w:top w:val="single" w:color="auto" w:sz="2" w:space="0"/>
                    <w:left w:val="single" w:color="auto" w:sz="2" w:space="0"/>
                    <w:bottom w:val="single" w:color="auto" w:sz="2" w:space="0"/>
                    <w:right w:val="nil"/>
                  </w:tcBorders>
                  <w:vAlign w:val="center"/>
                </w:tcPr>
                <w:p w14:paraId="21D0AAC8">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无锡市新吴区观山路36号</w:t>
                  </w:r>
                </w:p>
              </w:tc>
            </w:tr>
            <w:tr w14:paraId="186269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10" w:type="pct"/>
                  <w:tcBorders>
                    <w:top w:val="single" w:color="auto" w:sz="2" w:space="0"/>
                    <w:left w:val="nil"/>
                    <w:bottom w:val="single" w:color="auto" w:sz="2" w:space="0"/>
                    <w:right w:val="single" w:color="auto" w:sz="2" w:space="0"/>
                  </w:tcBorders>
                  <w:vAlign w:val="center"/>
                </w:tcPr>
                <w:p w14:paraId="77754C4F">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地理坐标</w:t>
                  </w:r>
                </w:p>
              </w:tc>
              <w:tc>
                <w:tcPr>
                  <w:tcW w:w="4089" w:type="pct"/>
                  <w:tcBorders>
                    <w:top w:val="single" w:color="auto" w:sz="2" w:space="0"/>
                    <w:left w:val="single" w:color="auto" w:sz="2" w:space="0"/>
                    <w:bottom w:val="single" w:color="auto" w:sz="2" w:space="0"/>
                    <w:right w:val="nil"/>
                  </w:tcBorders>
                  <w:vAlign w:val="center"/>
                </w:tcPr>
                <w:p w14:paraId="22A85E0F">
                  <w:pPr>
                    <w:keepNext w:val="0"/>
                    <w:keepLines w:val="0"/>
                    <w:widowControl w:val="0"/>
                    <w:suppressLineNumbers w:val="0"/>
                    <w:adjustRightInd/>
                    <w:snapToGrid/>
                    <w:spacing w:before="0" w:beforeAutospacing="0" w:after="0" w:afterAutospacing="0"/>
                    <w:ind w:left="0" w:right="0" w:firstLine="436" w:firstLineChars="20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120度21分17.317秒，31度30分21.737秒</w:t>
                  </w:r>
                </w:p>
              </w:tc>
            </w:tr>
            <w:tr w14:paraId="3E5697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622" w:hRule="atLeast"/>
                <w:jc w:val="center"/>
              </w:trPr>
              <w:tc>
                <w:tcPr>
                  <w:tcW w:w="910" w:type="pct"/>
                  <w:tcBorders>
                    <w:top w:val="single" w:color="auto" w:sz="2" w:space="0"/>
                    <w:left w:val="nil"/>
                    <w:bottom w:val="single" w:color="auto" w:sz="2" w:space="0"/>
                    <w:right w:val="single" w:color="auto" w:sz="2" w:space="0"/>
                  </w:tcBorders>
                  <w:vAlign w:val="center"/>
                </w:tcPr>
                <w:p w14:paraId="100F5E0C">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主要危险物质及分布</w:t>
                  </w:r>
                </w:p>
              </w:tc>
              <w:tc>
                <w:tcPr>
                  <w:tcW w:w="4089" w:type="pct"/>
                  <w:tcBorders>
                    <w:top w:val="single" w:color="auto" w:sz="2" w:space="0"/>
                    <w:left w:val="single" w:color="auto" w:sz="2" w:space="0"/>
                    <w:bottom w:val="single" w:color="auto" w:sz="2" w:space="0"/>
                    <w:right w:val="nil"/>
                  </w:tcBorders>
                  <w:vAlign w:val="center"/>
                </w:tcPr>
                <w:p w14:paraId="534981C2">
                  <w:pPr>
                    <w:pStyle w:val="52"/>
                    <w:keepNext w:val="0"/>
                    <w:keepLines w:val="0"/>
                    <w:suppressLineNumbers w:val="0"/>
                    <w:adjustRightInd/>
                    <w:snapToGrid/>
                    <w:spacing w:before="0" w:beforeAutospacing="0" w:after="0" w:afterAutospacing="0"/>
                    <w:ind w:left="0" w:right="0" w:firstLine="436" w:firstLineChars="200"/>
                    <w:jc w:val="left"/>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cs="Times New Roman"/>
                      <w:color w:val="auto"/>
                      <w:sz w:val="21"/>
                      <w:szCs w:val="21"/>
                      <w:highlight w:val="none"/>
                    </w:rPr>
                    <w:t>本项目使用的</w:t>
                  </w:r>
                  <w:r>
                    <w:rPr>
                      <w:rFonts w:hint="eastAsia" w:ascii="Times New Roman" w:hAnsi="Times New Roman" w:cs="Times New Roman"/>
                      <w:color w:val="auto"/>
                      <w:sz w:val="21"/>
                      <w:szCs w:val="21"/>
                      <w:highlight w:val="none"/>
                      <w:lang w:val="en-US" w:eastAsia="zh-CN"/>
                    </w:rPr>
                    <w:t>硅油-脱模剂</w:t>
                  </w:r>
                  <w:r>
                    <w:rPr>
                      <w:rFonts w:hint="eastAsia" w:cs="Times New Roman"/>
                      <w:color w:val="auto"/>
                      <w:sz w:val="21"/>
                      <w:szCs w:val="21"/>
                      <w:highlight w:val="none"/>
                      <w:lang w:val="en-US" w:eastAsia="zh-CN"/>
                    </w:rPr>
                    <w:t>作为</w:t>
                  </w:r>
                  <w:r>
                    <w:rPr>
                      <w:rFonts w:hint="default" w:ascii="Times New Roman" w:hAnsi="Times New Roman" w:cs="Times New Roman"/>
                      <w:color w:val="auto"/>
                      <w:sz w:val="21"/>
                      <w:szCs w:val="21"/>
                      <w:highlight w:val="none"/>
                      <w:lang w:val="en-US" w:eastAsia="zh-CN"/>
                    </w:rPr>
                    <w:t>原辅材料</w:t>
                  </w:r>
                  <w:r>
                    <w:rPr>
                      <w:rFonts w:hint="default" w:ascii="Times New Roman" w:hAnsi="Times New Roman" w:cs="Times New Roman"/>
                      <w:color w:val="auto"/>
                      <w:sz w:val="21"/>
                      <w:szCs w:val="21"/>
                      <w:highlight w:val="none"/>
                    </w:rPr>
                    <w:t>主要储存在</w:t>
                  </w:r>
                  <w:r>
                    <w:rPr>
                      <w:rFonts w:hint="default" w:ascii="Times New Roman" w:hAnsi="Times New Roman" w:cs="Times New Roman"/>
                      <w:color w:val="auto"/>
                      <w:sz w:val="21"/>
                      <w:szCs w:val="21"/>
                      <w:highlight w:val="none"/>
                      <w:lang w:val="en-US" w:eastAsia="zh-CN"/>
                    </w:rPr>
                    <w:t>原料</w:t>
                  </w:r>
                  <w:r>
                    <w:rPr>
                      <w:rFonts w:hint="eastAsia" w:ascii="Times New Roman" w:hAnsi="Times New Roman" w:cs="Times New Roman"/>
                      <w:color w:val="auto"/>
                      <w:sz w:val="21"/>
                      <w:szCs w:val="21"/>
                      <w:highlight w:val="none"/>
                      <w:lang w:val="en-US" w:eastAsia="zh-CN"/>
                    </w:rPr>
                    <w:t>贮存区</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废润滑油、润滑油废包装桶</w:t>
                  </w:r>
                  <w:r>
                    <w:rPr>
                      <w:rFonts w:hint="default" w:ascii="Times New Roman" w:hAnsi="Times New Roman" w:cs="Times New Roman"/>
                      <w:color w:val="auto"/>
                      <w:sz w:val="21"/>
                      <w:szCs w:val="21"/>
                      <w:highlight w:val="none"/>
                      <w:lang w:val="en-US" w:eastAsia="zh-CN"/>
                    </w:rPr>
                    <w:t>、废活性炭</w:t>
                  </w:r>
                  <w:r>
                    <w:rPr>
                      <w:rFonts w:hint="default" w:ascii="Times New Roman" w:hAnsi="Times New Roman" w:cs="Times New Roman"/>
                      <w:color w:val="auto"/>
                      <w:sz w:val="21"/>
                      <w:szCs w:val="21"/>
                      <w:highlight w:val="none"/>
                      <w:lang w:eastAsia="zh-CN"/>
                    </w:rPr>
                    <w:t>等</w:t>
                  </w:r>
                  <w:r>
                    <w:rPr>
                      <w:rFonts w:hint="eastAsia" w:cs="Times New Roman"/>
                      <w:color w:val="auto"/>
                      <w:sz w:val="21"/>
                      <w:szCs w:val="21"/>
                      <w:highlight w:val="none"/>
                      <w:lang w:val="en-US" w:eastAsia="zh-CN"/>
                    </w:rPr>
                    <w:t>危险废物</w:t>
                  </w:r>
                  <w:r>
                    <w:rPr>
                      <w:rFonts w:hint="default" w:ascii="Times New Roman" w:hAnsi="Times New Roman" w:cs="Times New Roman"/>
                      <w:color w:val="auto"/>
                      <w:sz w:val="21"/>
                      <w:szCs w:val="21"/>
                      <w:highlight w:val="none"/>
                    </w:rPr>
                    <w:t>存放在</w:t>
                  </w:r>
                  <w:r>
                    <w:rPr>
                      <w:rFonts w:hint="eastAsia" w:cs="Times New Roman"/>
                      <w:color w:val="auto"/>
                      <w:sz w:val="21"/>
                      <w:szCs w:val="21"/>
                      <w:highlight w:val="none"/>
                      <w:lang w:val="en-US" w:eastAsia="zh-CN"/>
                    </w:rPr>
                    <w:t>危险废物</w:t>
                  </w:r>
                  <w:r>
                    <w:rPr>
                      <w:rFonts w:hint="default" w:ascii="Times New Roman" w:hAnsi="Times New Roman" w:cs="Times New Roman"/>
                      <w:color w:val="auto"/>
                      <w:sz w:val="21"/>
                      <w:szCs w:val="21"/>
                      <w:highlight w:val="none"/>
                      <w:lang w:val="en-US" w:eastAsia="zh-CN"/>
                    </w:rPr>
                    <w:t>仓库</w:t>
                  </w:r>
                  <w:r>
                    <w:rPr>
                      <w:rFonts w:hint="default" w:ascii="Times New Roman" w:hAnsi="Times New Roman" w:cs="Times New Roman"/>
                      <w:color w:val="auto"/>
                      <w:sz w:val="21"/>
                      <w:szCs w:val="21"/>
                      <w:highlight w:val="none"/>
                    </w:rPr>
                    <w:t>。</w:t>
                  </w:r>
                </w:p>
              </w:tc>
            </w:tr>
            <w:tr w14:paraId="0712DA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10" w:type="pct"/>
                  <w:tcBorders>
                    <w:top w:val="single" w:color="auto" w:sz="2" w:space="0"/>
                    <w:left w:val="nil"/>
                    <w:bottom w:val="single" w:color="auto" w:sz="2" w:space="0"/>
                    <w:right w:val="single" w:color="auto" w:sz="2" w:space="0"/>
                  </w:tcBorders>
                  <w:vAlign w:val="center"/>
                </w:tcPr>
                <w:p w14:paraId="44CABEDD">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环境影响途径及危害后果（大气、地表水、地下水等）</w:t>
                  </w:r>
                </w:p>
              </w:tc>
              <w:tc>
                <w:tcPr>
                  <w:tcW w:w="4089" w:type="pct"/>
                  <w:tcBorders>
                    <w:top w:val="single" w:color="auto" w:sz="2" w:space="0"/>
                    <w:left w:val="single" w:color="auto" w:sz="2" w:space="0"/>
                    <w:bottom w:val="single" w:color="auto" w:sz="2" w:space="0"/>
                    <w:right w:val="nil"/>
                  </w:tcBorders>
                  <w:vAlign w:val="center"/>
                </w:tcPr>
                <w:p w14:paraId="02FE2A39">
                  <w:pPr>
                    <w:pStyle w:val="52"/>
                    <w:keepNext w:val="0"/>
                    <w:keepLines w:val="0"/>
                    <w:suppressLineNumbers w:val="0"/>
                    <w:adjustRightInd/>
                    <w:snapToGrid/>
                    <w:spacing w:before="0" w:beforeAutospacing="0" w:after="0" w:afterAutospacing="0"/>
                    <w:ind w:left="0" w:right="0" w:firstLine="436"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经识别，本项目涉及的主要风险物质为</w:t>
                  </w:r>
                  <w:r>
                    <w:rPr>
                      <w:rFonts w:hint="eastAsia" w:ascii="Times New Roman" w:hAnsi="Times New Roman" w:cs="Times New Roman"/>
                      <w:color w:val="auto"/>
                      <w:sz w:val="21"/>
                      <w:szCs w:val="21"/>
                      <w:highlight w:val="none"/>
                      <w:lang w:val="en-US" w:eastAsia="zh-CN"/>
                    </w:rPr>
                    <w:t>硅油-脱模剂、润滑油、废润滑油、废活性炭</w:t>
                  </w:r>
                  <w:r>
                    <w:rPr>
                      <w:rFonts w:hint="default" w:ascii="Times New Roman" w:hAnsi="Times New Roman" w:cs="Times New Roman"/>
                      <w:color w:val="auto"/>
                      <w:sz w:val="21"/>
                      <w:szCs w:val="21"/>
                      <w:highlight w:val="none"/>
                      <w:lang w:val="en-US" w:eastAsia="zh-CN"/>
                    </w:rPr>
                    <w:t>等</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润滑油和硅油-脱模剂等如发生泄漏，</w:t>
                  </w:r>
                  <w:r>
                    <w:rPr>
                      <w:rFonts w:hint="eastAsia" w:cs="Times New Roman"/>
                      <w:color w:val="auto"/>
                      <w:sz w:val="21"/>
                      <w:szCs w:val="21"/>
                      <w:highlight w:val="none"/>
                      <w:lang w:val="en-US" w:eastAsia="zh-CN"/>
                    </w:rPr>
                    <w:t>会挥发产生废气，同时会产生泄漏废液对周围环境产生一定影响；</w:t>
                  </w:r>
                  <w:r>
                    <w:rPr>
                      <w:rFonts w:hint="default" w:ascii="Times New Roman" w:hAnsi="Times New Roman" w:cs="Times New Roman"/>
                      <w:color w:val="auto"/>
                      <w:sz w:val="21"/>
                      <w:szCs w:val="21"/>
                      <w:highlight w:val="none"/>
                      <w:lang w:val="en-US" w:eastAsia="zh-CN"/>
                    </w:rPr>
                    <w:t>硅油-脱模剂、润滑油、废活性炭等如遇明火</w:t>
                  </w:r>
                  <w:r>
                    <w:rPr>
                      <w:rFonts w:hint="eastAsia" w:cs="Times New Roman"/>
                      <w:color w:val="auto"/>
                      <w:sz w:val="21"/>
                      <w:szCs w:val="21"/>
                      <w:highlight w:val="none"/>
                      <w:lang w:val="en-US" w:eastAsia="zh-CN"/>
                    </w:rPr>
                    <w:t>发生火灾事故，会燃烧产生</w:t>
                  </w:r>
                  <w:r>
                    <w:rPr>
                      <w:rFonts w:hint="default" w:ascii="Times New Roman" w:hAnsi="Times New Roman" w:cs="Times New Roman"/>
                      <w:color w:val="auto"/>
                      <w:sz w:val="21"/>
                      <w:szCs w:val="21"/>
                      <w:highlight w:val="none"/>
                      <w:lang w:val="en-US" w:eastAsia="zh-CN"/>
                    </w:rPr>
                    <w:t>颗粒物、一氧化碳、二氧化碳、二氧化硫、氮氧化物</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非甲烷总烃等</w:t>
                  </w:r>
                  <w:r>
                    <w:rPr>
                      <w:rFonts w:hint="eastAsia" w:cs="Times New Roman"/>
                      <w:color w:val="auto"/>
                      <w:sz w:val="21"/>
                      <w:szCs w:val="21"/>
                      <w:highlight w:val="none"/>
                      <w:lang w:val="en-US" w:eastAsia="zh-CN"/>
                    </w:rPr>
                    <w:t>次生污染物，同时还会有事故废水产生，可能会对周围环境产生一定影响</w:t>
                  </w:r>
                  <w:r>
                    <w:rPr>
                      <w:rFonts w:hint="default" w:ascii="Times New Roman" w:hAnsi="Times New Roman" w:cs="Times New Roman"/>
                      <w:color w:val="auto"/>
                      <w:sz w:val="21"/>
                      <w:szCs w:val="21"/>
                      <w:highlight w:val="none"/>
                      <w:lang w:val="en-US" w:eastAsia="zh-CN"/>
                    </w:rPr>
                    <w:t>。同时，润滑油、硅油-脱模剂等液态风险物质若发生存储桶破损且防渗措施老化等情况导致事故排放，可能会污染地表水、地下水及土壤。</w:t>
                  </w:r>
                </w:p>
                <w:p w14:paraId="52035194">
                  <w:pPr>
                    <w:keepNext w:val="0"/>
                    <w:keepLines w:val="0"/>
                    <w:suppressLineNumbers w:val="0"/>
                    <w:snapToGrid w:val="0"/>
                    <w:spacing w:before="0" w:beforeAutospacing="0" w:after="0" w:afterAutospacing="0"/>
                    <w:ind w:left="0" w:right="0" w:firstLine="420" w:firstLineChars="200"/>
                    <w:rPr>
                      <w:rFonts w:hint="default" w:ascii="Times New Roman" w:hAnsi="Times New Roman" w:eastAsia="宋体" w:cs="Times New Roman"/>
                      <w:bCs/>
                      <w:color w:val="auto"/>
                      <w:kern w:val="28"/>
                      <w:sz w:val="21"/>
                      <w:szCs w:val="21"/>
                      <w:highlight w:val="none"/>
                      <w:lang w:val="en-US" w:eastAsia="zh-CN" w:bidi="ar-SA"/>
                    </w:rPr>
                  </w:pPr>
                  <w:r>
                    <w:rPr>
                      <w:rFonts w:hint="default" w:ascii="Times New Roman" w:hAnsi="Times New Roman" w:cs="Times New Roman"/>
                      <w:color w:val="auto"/>
                      <w:szCs w:val="21"/>
                      <w:highlight w:val="none"/>
                    </w:rPr>
                    <w:t>项目重点防渗区</w:t>
                  </w:r>
                  <w:r>
                    <w:rPr>
                      <w:rFonts w:hint="eastAsia" w:cs="Times New Roman"/>
                      <w:color w:val="auto"/>
                      <w:szCs w:val="21"/>
                      <w:highlight w:val="none"/>
                      <w:lang w:eastAsia="zh-CN"/>
                    </w:rPr>
                    <w:t>危险废物</w:t>
                  </w:r>
                  <w:r>
                    <w:rPr>
                      <w:rFonts w:hint="eastAsia" w:ascii="Times New Roman" w:hAnsi="Times New Roman" w:cs="Times New Roman"/>
                      <w:color w:val="auto"/>
                      <w:szCs w:val="21"/>
                      <w:highlight w:val="none"/>
                      <w:lang w:eastAsia="zh-CN"/>
                    </w:rPr>
                    <w:t>堆场</w:t>
                  </w:r>
                  <w:r>
                    <w:rPr>
                      <w:rFonts w:hint="default" w:ascii="Times New Roman" w:hAnsi="Times New Roman" w:cs="Times New Roman"/>
                      <w:color w:val="auto"/>
                      <w:szCs w:val="21"/>
                      <w:highlight w:val="none"/>
                    </w:rPr>
                    <w:t>拟采取防渗措施，对项目地下水、土壤环境风险影响较小。</w:t>
                  </w:r>
                </w:p>
              </w:tc>
            </w:tr>
            <w:tr w14:paraId="3D6803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32" w:hRule="atLeast"/>
                <w:jc w:val="center"/>
              </w:trPr>
              <w:tc>
                <w:tcPr>
                  <w:tcW w:w="910" w:type="pct"/>
                  <w:tcBorders>
                    <w:top w:val="single" w:color="auto" w:sz="2" w:space="0"/>
                    <w:left w:val="nil"/>
                    <w:bottom w:val="single" w:color="auto" w:sz="2" w:space="0"/>
                    <w:right w:val="single" w:color="auto" w:sz="2" w:space="0"/>
                  </w:tcBorders>
                  <w:vAlign w:val="center"/>
                </w:tcPr>
                <w:p w14:paraId="66B542D8">
                  <w:pPr>
                    <w:keepNext w:val="0"/>
                    <w:keepLines w:val="0"/>
                    <w:widowControl w:val="0"/>
                    <w:suppressLineNumbers w:val="0"/>
                    <w:adjustRightInd/>
                    <w:snapToGrid/>
                    <w:spacing w:before="0" w:beforeAutospacing="0" w:after="0" w:afterAutospacing="0"/>
                    <w:ind w:left="0" w:right="0"/>
                    <w:jc w:val="center"/>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风险防范措施要求</w:t>
                  </w:r>
                </w:p>
              </w:tc>
              <w:tc>
                <w:tcPr>
                  <w:tcW w:w="4089" w:type="pct"/>
                  <w:tcBorders>
                    <w:top w:val="single" w:color="auto" w:sz="2" w:space="0"/>
                    <w:left w:val="single" w:color="auto" w:sz="2" w:space="0"/>
                    <w:bottom w:val="single" w:color="auto" w:sz="2" w:space="0"/>
                    <w:right w:val="nil"/>
                  </w:tcBorders>
                  <w:vAlign w:val="center"/>
                </w:tcPr>
                <w:p w14:paraId="674884B1">
                  <w:pPr>
                    <w:pStyle w:val="5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436" w:firstLineChars="200"/>
                    <w:jc w:val="left"/>
                    <w:textAlignment w:val="auto"/>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①企业应按照要求建立/完善环境风险防控和应急管理制度、应急物资和装备管理制度、隐患排查治理制度、应急培训和演练制度、突发环境事件信息报告制度</w:t>
                  </w:r>
                  <w:r>
                    <w:rPr>
                      <w:rFonts w:hint="eastAsia" w:cs="Times New Roman"/>
                      <w:color w:val="auto"/>
                      <w:spacing w:val="4"/>
                      <w:kern w:val="0"/>
                      <w:sz w:val="21"/>
                      <w:szCs w:val="21"/>
                      <w:highlight w:val="none"/>
                      <w:lang w:val="en-US" w:eastAsia="zh-CN" w:bidi="ar-SA"/>
                    </w:rPr>
                    <w:t>、“三落实三必须”机制</w:t>
                  </w:r>
                  <w:r>
                    <w:rPr>
                      <w:rFonts w:hint="default" w:ascii="Times New Roman" w:hAnsi="Times New Roman" w:eastAsia="宋体" w:cs="Times New Roman"/>
                      <w:color w:val="auto"/>
                      <w:spacing w:val="4"/>
                      <w:kern w:val="0"/>
                      <w:sz w:val="21"/>
                      <w:szCs w:val="21"/>
                      <w:highlight w:val="none"/>
                      <w:lang w:val="en-US" w:eastAsia="zh-CN" w:bidi="ar-SA"/>
                    </w:rPr>
                    <w:t>等。</w:t>
                  </w:r>
                </w:p>
                <w:p w14:paraId="482F5328">
                  <w:pPr>
                    <w:pStyle w:val="5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436" w:firstLineChars="200"/>
                    <w:jc w:val="left"/>
                    <w:textAlignment w:val="auto"/>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②各环境风险单元应加强风险源监控，配备相应应急设施和应急物资，并定期维护确保其可正常使用。对相关环保设施开展安全风险辨识管控，健全内部污染设施稳定运行和管理责任制度</w:t>
                  </w:r>
                  <w:r>
                    <w:rPr>
                      <w:rFonts w:hint="eastAsia" w:cs="Times New Roman"/>
                      <w:color w:val="auto"/>
                      <w:spacing w:val="4"/>
                      <w:kern w:val="0"/>
                      <w:sz w:val="21"/>
                      <w:szCs w:val="21"/>
                      <w:highlight w:val="none"/>
                      <w:lang w:val="en-US" w:eastAsia="zh-CN" w:bidi="ar-SA"/>
                    </w:rPr>
                    <w:t>。</w:t>
                  </w:r>
                </w:p>
                <w:p w14:paraId="60D29FB2">
                  <w:pPr>
                    <w:pStyle w:val="5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436" w:firstLineChars="200"/>
                    <w:jc w:val="left"/>
                    <w:textAlignment w:val="auto"/>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③企业应按照三级防控的要求建立突发水污染事件环境风险防控体系。当事故废水可能出厂界时，还应及时启动园区/区域环境风险防范措施，实现企业与园区/区域环境风险防控设施及管理的有效联动。</w:t>
                  </w:r>
                </w:p>
                <w:p w14:paraId="19EE67A9">
                  <w:pPr>
                    <w:pStyle w:val="5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436" w:firstLineChars="200"/>
                    <w:jc w:val="left"/>
                    <w:textAlignment w:val="auto"/>
                    <w:rPr>
                      <w:rFonts w:hint="default" w:ascii="Times New Roman" w:hAnsi="Times New Roman" w:eastAsia="宋体" w:cs="Times New Roman"/>
                      <w:color w:val="auto"/>
                      <w:spacing w:val="4"/>
                      <w:kern w:val="0"/>
                      <w:sz w:val="21"/>
                      <w:szCs w:val="21"/>
                      <w:highlight w:val="none"/>
                      <w:lang w:val="en-US" w:eastAsia="zh-CN" w:bidi="ar-SA"/>
                    </w:rPr>
                  </w:pPr>
                  <w:r>
                    <w:rPr>
                      <w:rFonts w:hint="eastAsia" w:ascii="宋体" w:hAnsi="宋体" w:eastAsia="宋体" w:cs="宋体"/>
                      <w:color w:val="auto"/>
                      <w:spacing w:val="4"/>
                      <w:kern w:val="0"/>
                      <w:sz w:val="21"/>
                      <w:szCs w:val="21"/>
                      <w:highlight w:val="none"/>
                      <w:lang w:val="en-US" w:eastAsia="zh-CN" w:bidi="ar-SA"/>
                    </w:rPr>
                    <w:t>④</w:t>
                  </w:r>
                  <w:r>
                    <w:rPr>
                      <w:rFonts w:hint="default" w:ascii="Times New Roman" w:hAnsi="Times New Roman" w:eastAsia="宋体" w:cs="Times New Roman"/>
                      <w:color w:val="auto"/>
                      <w:spacing w:val="4"/>
                      <w:kern w:val="0"/>
                      <w:sz w:val="21"/>
                      <w:szCs w:val="21"/>
                      <w:highlight w:val="none"/>
                      <w:lang w:val="en-US" w:eastAsia="zh-CN" w:bidi="ar-SA"/>
                    </w:rPr>
                    <w:t>危险废物暂存区域应严格按照《危险废物贮存污染控制标准》（GB18597-2023）中的相关要求设置，定期开展必要的培训和环境应急演练。</w:t>
                  </w:r>
                </w:p>
              </w:tc>
            </w:tr>
            <w:tr w14:paraId="0D69BC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777" w:hRule="atLeast"/>
                <w:jc w:val="center"/>
              </w:trPr>
              <w:tc>
                <w:tcPr>
                  <w:tcW w:w="5000" w:type="pct"/>
                  <w:gridSpan w:val="2"/>
                  <w:tcBorders>
                    <w:top w:val="single" w:color="auto" w:sz="2" w:space="0"/>
                    <w:left w:val="nil"/>
                    <w:bottom w:val="single" w:color="auto" w:sz="12" w:space="0"/>
                    <w:right w:val="nil"/>
                  </w:tcBorders>
                  <w:vAlign w:val="center"/>
                </w:tcPr>
                <w:p w14:paraId="0EC83725">
                  <w:pPr>
                    <w:keepNext w:val="0"/>
                    <w:keepLines w:val="0"/>
                    <w:suppressLineNumbers w:val="0"/>
                    <w:bidi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分析结论：在各环境风险防范措施落实到位的情况下，将可大大降低建设项目的环境风险，最大程度减少对环境可能造成的危害。在企业落实本评价提出的各项风险防范措施后，项目对环境的风险影响可接受。</w:t>
                  </w:r>
                </w:p>
              </w:tc>
            </w:tr>
          </w:tbl>
          <w:p w14:paraId="75E03C25">
            <w:pPr>
              <w:keepNext w:val="0"/>
              <w:keepLines w:val="0"/>
              <w:numPr>
                <w:ilvl w:val="0"/>
                <w:numId w:val="0"/>
              </w:numPr>
              <w:suppressLineNumbers w:val="0"/>
              <w:autoSpaceDE w:val="0"/>
              <w:spacing w:before="0" w:beforeAutospacing="0" w:after="0" w:afterAutospacing="0" w:line="360" w:lineRule="auto"/>
              <w:ind w:left="0" w:right="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2"/>
                <w:sz w:val="24"/>
                <w:szCs w:val="24"/>
                <w:highlight w:val="none"/>
                <w:lang w:val="en-US" w:eastAsia="zh-CN" w:bidi="ar-SA"/>
              </w:rPr>
              <w:t>8、</w:t>
            </w:r>
            <w:r>
              <w:rPr>
                <w:rFonts w:hint="default" w:ascii="Times New Roman" w:hAnsi="Times New Roman" w:eastAsia="宋体" w:cs="Times New Roman"/>
                <w:b/>
                <w:bCs/>
                <w:color w:val="auto"/>
                <w:sz w:val="24"/>
                <w:highlight w:val="none"/>
              </w:rPr>
              <w:t>电磁辐射</w:t>
            </w:r>
          </w:p>
          <w:p w14:paraId="3B47E524">
            <w:pPr>
              <w:pStyle w:val="12"/>
              <w:keepNext w:val="0"/>
              <w:keepLines w:val="0"/>
              <w:numPr>
                <w:ilvl w:val="0"/>
                <w:numId w:val="0"/>
              </w:numPr>
              <w:suppressLineNumbers w:val="0"/>
              <w:tabs>
                <w:tab w:val="clear" w:pos="2040"/>
              </w:tabs>
              <w:spacing w:before="0" w:beforeAutospacing="0" w:after="0" w:afterAutospacing="0"/>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本项目不涉及电磁辐射。</w:t>
            </w:r>
          </w:p>
          <w:p w14:paraId="5F616D83">
            <w:pPr>
              <w:pStyle w:val="12"/>
              <w:keepNext w:val="0"/>
              <w:keepLines w:val="0"/>
              <w:numPr>
                <w:ilvl w:val="0"/>
                <w:numId w:val="0"/>
              </w:numPr>
              <w:suppressLineNumbers w:val="0"/>
              <w:tabs>
                <w:tab w:val="clear" w:pos="2040"/>
              </w:tabs>
              <w:spacing w:before="0" w:beforeAutospacing="0" w:after="0" w:afterAutospacing="0"/>
              <w:ind w:left="0" w:right="0" w:firstLine="480" w:firstLineChars="200"/>
              <w:rPr>
                <w:rFonts w:hint="default" w:ascii="Times New Roman" w:hAnsi="Times New Roman" w:eastAsia="宋体" w:cs="Times New Roman"/>
                <w:color w:val="auto"/>
                <w:sz w:val="24"/>
                <w:highlight w:val="none"/>
              </w:rPr>
            </w:pPr>
          </w:p>
        </w:tc>
      </w:tr>
    </w:tbl>
    <w:p w14:paraId="304BDA49">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auto"/>
          <w:sz w:val="30"/>
          <w:szCs w:val="30"/>
          <w:highlight w:val="none"/>
        </w:rPr>
      </w:pPr>
      <w:bookmarkStart w:id="9" w:name="_Toc24968"/>
      <w:r>
        <w:rPr>
          <w:rFonts w:ascii="Times New Roman" w:hAnsi="Times New Roman" w:eastAsia="宋体"/>
          <w:snapToGrid w:val="0"/>
          <w:color w:val="auto"/>
          <w:sz w:val="30"/>
          <w:szCs w:val="30"/>
          <w:highlight w:val="none"/>
        </w:rPr>
        <w:t>五、</w:t>
      </w:r>
      <w:bookmarkStart w:id="10" w:name="_Hlk54167917"/>
      <w:r>
        <w:rPr>
          <w:rFonts w:ascii="Times New Roman" w:hAnsi="Times New Roman" w:eastAsia="宋体"/>
          <w:snapToGrid w:val="0"/>
          <w:color w:val="auto"/>
          <w:sz w:val="30"/>
          <w:szCs w:val="30"/>
          <w:highlight w:val="none"/>
        </w:rPr>
        <w:t>环境保护措施监督检查清单</w:t>
      </w:r>
      <w:bookmarkEnd w:id="9"/>
      <w:bookmarkEnd w:id="10"/>
    </w:p>
    <w:tbl>
      <w:tblPr>
        <w:tblStyle w:val="24"/>
        <w:tblW w:w="51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4"/>
        <w:gridCol w:w="897"/>
        <w:gridCol w:w="1374"/>
        <w:gridCol w:w="931"/>
        <w:gridCol w:w="1137"/>
        <w:gridCol w:w="1262"/>
        <w:gridCol w:w="2316"/>
      </w:tblGrid>
      <w:tr w14:paraId="1D62C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22" w:type="pct"/>
            <w:vMerge w:val="restart"/>
            <w:tcBorders>
              <w:tl2br w:val="single" w:color="auto" w:sz="4" w:space="0"/>
            </w:tcBorders>
          </w:tcPr>
          <w:p w14:paraId="5D106BB8">
            <w:pPr>
              <w:keepNext w:val="0"/>
              <w:keepLines w:val="0"/>
              <w:suppressLineNumbers w:val="0"/>
              <w:adjustRightInd w:val="0"/>
              <w:snapToGrid w:val="0"/>
              <w:spacing w:before="0" w:beforeAutospacing="0" w:after="0" w:afterAutospacing="0"/>
              <w:ind w:left="420" w:leftChars="200" w:right="0" w:firstLine="211" w:firstLineChars="100"/>
              <w:rPr>
                <w:rFonts w:hint="default" w:ascii="Times New Roman" w:hAnsi="Times New Roman" w:eastAsia="宋体" w:cs="Times New Roman"/>
                <w:b/>
                <w:bCs/>
                <w:color w:val="auto"/>
                <w:szCs w:val="21"/>
                <w:highlight w:val="none"/>
              </w:rPr>
            </w:pPr>
            <w:r>
              <w:rPr>
                <w:rFonts w:hint="eastAsia"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内容</w:t>
            </w:r>
          </w:p>
          <w:p w14:paraId="2D43ABE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Cs w:val="21"/>
                <w:highlight w:val="none"/>
              </w:rPr>
            </w:pPr>
          </w:p>
          <w:p w14:paraId="242F3E7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要素</w:t>
            </w:r>
          </w:p>
        </w:tc>
        <w:tc>
          <w:tcPr>
            <w:tcW w:w="1284" w:type="pct"/>
            <w:gridSpan w:val="2"/>
            <w:vMerge w:val="restart"/>
            <w:vAlign w:val="center"/>
          </w:tcPr>
          <w:p w14:paraId="2A4370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排放口（编号、</w:t>
            </w:r>
          </w:p>
          <w:p w14:paraId="18BE67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名称）/污染源</w:t>
            </w:r>
          </w:p>
        </w:tc>
        <w:tc>
          <w:tcPr>
            <w:tcW w:w="526" w:type="pct"/>
            <w:vMerge w:val="restart"/>
            <w:vAlign w:val="center"/>
          </w:tcPr>
          <w:p w14:paraId="647CCE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污染物项目</w:t>
            </w:r>
          </w:p>
        </w:tc>
        <w:tc>
          <w:tcPr>
            <w:tcW w:w="1356" w:type="pct"/>
            <w:gridSpan w:val="2"/>
            <w:tcBorders>
              <w:bottom w:val="single" w:color="000000" w:sz="4" w:space="0"/>
            </w:tcBorders>
            <w:vAlign w:val="center"/>
          </w:tcPr>
          <w:p w14:paraId="7E2F68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环境保护措施</w:t>
            </w:r>
          </w:p>
        </w:tc>
        <w:tc>
          <w:tcPr>
            <w:tcW w:w="1309" w:type="pct"/>
            <w:vMerge w:val="restart"/>
            <w:vAlign w:val="center"/>
          </w:tcPr>
          <w:p w14:paraId="0BFC19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执行标准</w:t>
            </w:r>
          </w:p>
        </w:tc>
      </w:tr>
      <w:tr w14:paraId="44758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22" w:type="pct"/>
            <w:vMerge w:val="continue"/>
            <w:tcBorders>
              <w:tl2br w:val="single" w:color="auto" w:sz="4" w:space="0"/>
            </w:tcBorders>
          </w:tcPr>
          <w:p w14:paraId="36840817">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color w:val="auto"/>
                <w:szCs w:val="21"/>
                <w:highlight w:val="none"/>
              </w:rPr>
            </w:pPr>
          </w:p>
        </w:tc>
        <w:tc>
          <w:tcPr>
            <w:tcW w:w="1284" w:type="pct"/>
            <w:gridSpan w:val="2"/>
            <w:vMerge w:val="continue"/>
            <w:vAlign w:val="center"/>
          </w:tcPr>
          <w:p w14:paraId="783C7E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526" w:type="pct"/>
            <w:vMerge w:val="continue"/>
            <w:vAlign w:val="center"/>
          </w:tcPr>
          <w:p w14:paraId="45C04A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c>
          <w:tcPr>
            <w:tcW w:w="643" w:type="pct"/>
            <w:tcBorders>
              <w:top w:val="single" w:color="000000" w:sz="4" w:space="0"/>
              <w:bottom w:val="single" w:color="000000" w:sz="4" w:space="0"/>
              <w:right w:val="single" w:color="000000" w:sz="4" w:space="0"/>
            </w:tcBorders>
            <w:vAlign w:val="center"/>
          </w:tcPr>
          <w:p w14:paraId="1D5724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收集措施</w:t>
            </w:r>
          </w:p>
        </w:tc>
        <w:tc>
          <w:tcPr>
            <w:tcW w:w="713" w:type="pct"/>
            <w:tcBorders>
              <w:top w:val="single" w:color="000000" w:sz="4" w:space="0"/>
              <w:left w:val="single" w:color="000000" w:sz="4" w:space="0"/>
              <w:bottom w:val="single" w:color="000000" w:sz="4" w:space="0"/>
            </w:tcBorders>
            <w:vAlign w:val="center"/>
          </w:tcPr>
          <w:p w14:paraId="61EB322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处理措施</w:t>
            </w:r>
          </w:p>
        </w:tc>
        <w:tc>
          <w:tcPr>
            <w:tcW w:w="1309" w:type="pct"/>
            <w:vMerge w:val="continue"/>
            <w:vAlign w:val="center"/>
          </w:tcPr>
          <w:p w14:paraId="7EA8CE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rPr>
            </w:pPr>
          </w:p>
        </w:tc>
      </w:tr>
      <w:tr w14:paraId="603DC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522" w:type="pct"/>
            <w:vMerge w:val="restart"/>
            <w:vAlign w:val="center"/>
          </w:tcPr>
          <w:p w14:paraId="347AD4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w:t>
            </w:r>
          </w:p>
        </w:tc>
        <w:tc>
          <w:tcPr>
            <w:tcW w:w="507" w:type="pct"/>
            <w:vMerge w:val="restart"/>
            <w:vAlign w:val="center"/>
          </w:tcPr>
          <w:p w14:paraId="4EDD88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28m高排气筒</w:t>
            </w:r>
            <w:r>
              <w:rPr>
                <w:rFonts w:hint="default" w:ascii="Times New Roman" w:hAnsi="Times New Roman" w:eastAsia="宋体" w:cs="Times New Roman"/>
                <w:color w:val="auto"/>
                <w:kern w:val="0"/>
                <w:szCs w:val="21"/>
                <w:highlight w:val="none"/>
                <w:lang w:val="en-US" w:eastAsia="zh-CN" w:bidi="ar"/>
              </w:rPr>
              <w:t>FQ</w:t>
            </w:r>
            <w:r>
              <w:rPr>
                <w:rFonts w:hint="eastAsia" w:cs="Times New Roman"/>
                <w:color w:val="auto"/>
                <w:kern w:val="0"/>
                <w:szCs w:val="21"/>
                <w:highlight w:val="none"/>
                <w:lang w:val="en-US" w:eastAsia="zh-CN" w:bidi="ar"/>
              </w:rPr>
              <w:t>0</w:t>
            </w:r>
            <w:r>
              <w:rPr>
                <w:rFonts w:hint="default" w:ascii="Times New Roman" w:hAnsi="Times New Roman" w:eastAsia="宋体" w:cs="Times New Roman"/>
                <w:color w:val="auto"/>
                <w:kern w:val="0"/>
                <w:szCs w:val="21"/>
                <w:highlight w:val="none"/>
                <w:lang w:val="en-US" w:eastAsia="zh-CN" w:bidi="ar"/>
              </w:rPr>
              <w:t>7</w:t>
            </w:r>
          </w:p>
        </w:tc>
        <w:tc>
          <w:tcPr>
            <w:tcW w:w="777" w:type="pct"/>
            <w:vMerge w:val="restart"/>
            <w:vAlign w:val="center"/>
          </w:tcPr>
          <w:p w14:paraId="0E9782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3号楼</w:t>
            </w:r>
            <w:r>
              <w:rPr>
                <w:rFonts w:hint="eastAsia" w:cs="Times New Roman"/>
                <w:color w:val="auto"/>
                <w:kern w:val="0"/>
                <w:szCs w:val="21"/>
                <w:highlight w:val="none"/>
                <w:lang w:val="en-US" w:eastAsia="zh-CN" w:bidi="ar"/>
              </w:rPr>
              <w:t>喷涂硅油-脱模剂、</w:t>
            </w:r>
            <w:r>
              <w:rPr>
                <w:rFonts w:hint="default" w:ascii="Times New Roman" w:hAnsi="Times New Roman" w:eastAsia="宋体" w:cs="Times New Roman"/>
                <w:color w:val="auto"/>
                <w:kern w:val="0"/>
                <w:szCs w:val="21"/>
                <w:highlight w:val="none"/>
                <w:lang w:val="en-US" w:eastAsia="zh-CN" w:bidi="ar"/>
              </w:rPr>
              <w:t>压膜与喷涂烘干废气</w:t>
            </w:r>
          </w:p>
        </w:tc>
        <w:tc>
          <w:tcPr>
            <w:tcW w:w="526" w:type="pct"/>
            <w:vAlign w:val="center"/>
          </w:tcPr>
          <w:p w14:paraId="2E60C20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非甲烷总烃</w:t>
            </w:r>
          </w:p>
        </w:tc>
        <w:tc>
          <w:tcPr>
            <w:tcW w:w="643" w:type="pct"/>
            <w:vMerge w:val="restart"/>
            <w:tcBorders>
              <w:top w:val="single" w:color="000000" w:sz="4" w:space="0"/>
              <w:right w:val="single" w:color="000000" w:sz="4" w:space="0"/>
            </w:tcBorders>
            <w:vAlign w:val="center"/>
          </w:tcPr>
          <w:p w14:paraId="0F9CDA9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设备密闭抽风收集/通风橱收集，收集效率95%，风机风量17500m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tc>
        <w:tc>
          <w:tcPr>
            <w:tcW w:w="713" w:type="pct"/>
            <w:vMerge w:val="restart"/>
            <w:tcBorders>
              <w:top w:val="single" w:color="000000" w:sz="4" w:space="0"/>
              <w:left w:val="single" w:color="000000" w:sz="4" w:space="0"/>
            </w:tcBorders>
            <w:vAlign w:val="center"/>
          </w:tcPr>
          <w:p w14:paraId="67EA3A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一级碱喷淋+一级水喷淋+除雾器</w:t>
            </w:r>
          </w:p>
          <w:p w14:paraId="00F5E6E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+二级活性炭</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处理效率90%</w:t>
            </w:r>
          </w:p>
        </w:tc>
        <w:tc>
          <w:tcPr>
            <w:tcW w:w="1309" w:type="pct"/>
            <w:vAlign w:val="center"/>
          </w:tcPr>
          <w:p w14:paraId="3FF51A7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《工业涂装工序大气污染物排放标准》（DB32/4439-2022）表1中标准</w:t>
            </w:r>
          </w:p>
        </w:tc>
      </w:tr>
      <w:tr w14:paraId="64216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522" w:type="pct"/>
            <w:vMerge w:val="continue"/>
            <w:vAlign w:val="center"/>
          </w:tcPr>
          <w:p w14:paraId="28EA5E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07" w:type="pct"/>
            <w:vMerge w:val="continue"/>
            <w:vAlign w:val="center"/>
          </w:tcPr>
          <w:p w14:paraId="13A5D924">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0"/>
                <w:szCs w:val="21"/>
                <w:highlight w:val="none"/>
                <w:lang w:val="en-US" w:eastAsia="zh-CN" w:bidi="ar"/>
              </w:rPr>
            </w:pPr>
          </w:p>
        </w:tc>
        <w:tc>
          <w:tcPr>
            <w:tcW w:w="777" w:type="pct"/>
            <w:vMerge w:val="continue"/>
            <w:vAlign w:val="center"/>
          </w:tcPr>
          <w:p w14:paraId="68A291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highlight w:val="none"/>
                <w:lang w:val="en-US" w:eastAsia="zh-CN" w:bidi="ar"/>
              </w:rPr>
            </w:pPr>
          </w:p>
        </w:tc>
        <w:tc>
          <w:tcPr>
            <w:tcW w:w="526" w:type="pct"/>
            <w:vAlign w:val="center"/>
          </w:tcPr>
          <w:p w14:paraId="00A42B3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eastAsia="zh-CN"/>
              </w:rPr>
              <w:t>氟化物</w:t>
            </w:r>
          </w:p>
        </w:tc>
        <w:tc>
          <w:tcPr>
            <w:tcW w:w="643" w:type="pct"/>
            <w:vMerge w:val="continue"/>
            <w:tcBorders>
              <w:right w:val="single" w:color="000000" w:sz="4" w:space="0"/>
            </w:tcBorders>
            <w:vAlign w:val="center"/>
          </w:tcPr>
          <w:p w14:paraId="4E9EED4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p>
        </w:tc>
        <w:tc>
          <w:tcPr>
            <w:tcW w:w="713" w:type="pct"/>
            <w:vMerge w:val="continue"/>
            <w:tcBorders>
              <w:left w:val="single" w:color="000000" w:sz="4" w:space="0"/>
            </w:tcBorders>
            <w:vAlign w:val="center"/>
          </w:tcPr>
          <w:p w14:paraId="1C897C4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p>
        </w:tc>
        <w:tc>
          <w:tcPr>
            <w:tcW w:w="1309" w:type="pct"/>
            <w:vAlign w:val="center"/>
          </w:tcPr>
          <w:p w14:paraId="3BD870B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江苏省地方标准《大气污染物综合排放标准》（</w:t>
            </w:r>
            <w:r>
              <w:rPr>
                <w:rFonts w:hint="eastAsia" w:ascii="Times New Roman" w:hAnsi="Times New Roman" w:eastAsia="宋体" w:cs="Times New Roman"/>
                <w:color w:val="auto"/>
                <w:highlight w:val="none"/>
                <w:lang w:val="en-US" w:eastAsia="zh-CN"/>
              </w:rPr>
              <w:t>DB32/4041-2021</w:t>
            </w:r>
            <w:r>
              <w:rPr>
                <w:rFonts w:hint="default" w:ascii="Times New Roman" w:hAnsi="Times New Roman" w:eastAsia="宋体" w:cs="Times New Roman"/>
                <w:color w:val="auto"/>
                <w:highlight w:val="none"/>
                <w:lang w:val="en-US" w:eastAsia="zh-CN"/>
              </w:rPr>
              <w:t>）表1中标准</w:t>
            </w:r>
          </w:p>
        </w:tc>
      </w:tr>
      <w:tr w14:paraId="3DC68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22" w:type="pct"/>
            <w:vMerge w:val="continue"/>
            <w:vAlign w:val="center"/>
          </w:tcPr>
          <w:p w14:paraId="718543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07" w:type="pct"/>
            <w:vAlign w:val="center"/>
          </w:tcPr>
          <w:p w14:paraId="6430B6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28m高排气筒</w:t>
            </w:r>
            <w:r>
              <w:rPr>
                <w:rFonts w:hint="default" w:ascii="Times New Roman" w:hAnsi="Times New Roman" w:eastAsia="宋体" w:cs="Times New Roman"/>
                <w:color w:val="auto"/>
                <w:kern w:val="0"/>
                <w:szCs w:val="21"/>
                <w:highlight w:val="none"/>
                <w:lang w:val="en-US" w:eastAsia="zh-CN" w:bidi="ar"/>
              </w:rPr>
              <w:t>FQ</w:t>
            </w:r>
            <w:r>
              <w:rPr>
                <w:rFonts w:hint="eastAsia" w:cs="Times New Roman"/>
                <w:color w:val="auto"/>
                <w:kern w:val="0"/>
                <w:szCs w:val="21"/>
                <w:highlight w:val="none"/>
                <w:lang w:val="en-US" w:eastAsia="zh-CN" w:bidi="ar"/>
              </w:rPr>
              <w:t>0</w:t>
            </w:r>
            <w:r>
              <w:rPr>
                <w:rFonts w:hint="default" w:ascii="Times New Roman" w:hAnsi="Times New Roman" w:eastAsia="宋体" w:cs="Times New Roman"/>
                <w:color w:val="auto"/>
                <w:kern w:val="0"/>
                <w:szCs w:val="21"/>
                <w:highlight w:val="none"/>
                <w:lang w:val="en-US" w:eastAsia="zh-CN" w:bidi="ar"/>
              </w:rPr>
              <w:t>8</w:t>
            </w:r>
          </w:p>
        </w:tc>
        <w:tc>
          <w:tcPr>
            <w:tcW w:w="777" w:type="pct"/>
            <w:vAlign w:val="center"/>
          </w:tcPr>
          <w:p w14:paraId="5D29ED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3号楼抛光</w:t>
            </w:r>
            <w:r>
              <w:rPr>
                <w:rFonts w:hint="eastAsia" w:cs="Times New Roman"/>
                <w:color w:val="auto"/>
                <w:kern w:val="0"/>
                <w:szCs w:val="21"/>
                <w:highlight w:val="none"/>
                <w:lang w:val="en-US" w:eastAsia="zh-CN" w:bidi="ar"/>
              </w:rPr>
              <w:t>、精细抛光废气</w:t>
            </w:r>
          </w:p>
        </w:tc>
        <w:tc>
          <w:tcPr>
            <w:tcW w:w="526" w:type="pct"/>
            <w:vAlign w:val="center"/>
          </w:tcPr>
          <w:p w14:paraId="3D33D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643" w:type="pct"/>
            <w:tcBorders>
              <w:right w:val="single" w:color="000000" w:sz="4" w:space="0"/>
            </w:tcBorders>
            <w:vAlign w:val="center"/>
          </w:tcPr>
          <w:p w14:paraId="4332E21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设备半密闭抽风收集，收集效率95%，风机风量16000m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tc>
        <w:tc>
          <w:tcPr>
            <w:tcW w:w="713" w:type="pct"/>
            <w:tcBorders>
              <w:left w:val="single" w:color="000000" w:sz="4" w:space="0"/>
            </w:tcBorders>
            <w:vAlign w:val="center"/>
          </w:tcPr>
          <w:p w14:paraId="0C83BC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布袋除尘装置，处理效率98%</w:t>
            </w:r>
          </w:p>
        </w:tc>
        <w:tc>
          <w:tcPr>
            <w:tcW w:w="1309" w:type="pct"/>
            <w:vAlign w:val="center"/>
          </w:tcPr>
          <w:p w14:paraId="58CCB6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江苏省地方标准《大气污染物综合排放标准》（</w:t>
            </w:r>
            <w:r>
              <w:rPr>
                <w:rFonts w:hint="eastAsia" w:ascii="Times New Roman" w:hAnsi="Times New Roman" w:eastAsia="宋体" w:cs="Times New Roman"/>
                <w:color w:val="auto"/>
                <w:highlight w:val="none"/>
                <w:lang w:val="en-US" w:eastAsia="zh-CN"/>
              </w:rPr>
              <w:t>DB32/4041-2021</w:t>
            </w:r>
            <w:r>
              <w:rPr>
                <w:rFonts w:hint="default" w:ascii="Times New Roman" w:hAnsi="Times New Roman" w:eastAsia="宋体" w:cs="Times New Roman"/>
                <w:color w:val="auto"/>
                <w:highlight w:val="none"/>
                <w:lang w:val="en-US" w:eastAsia="zh-CN"/>
              </w:rPr>
              <w:t>）表1中标准</w:t>
            </w:r>
          </w:p>
        </w:tc>
      </w:tr>
      <w:tr w14:paraId="11038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22" w:type="pct"/>
            <w:vMerge w:val="continue"/>
            <w:vAlign w:val="center"/>
          </w:tcPr>
          <w:p w14:paraId="6F29D6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07" w:type="pct"/>
            <w:vAlign w:val="center"/>
          </w:tcPr>
          <w:p w14:paraId="2087DC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28m高排气筒</w:t>
            </w:r>
            <w:r>
              <w:rPr>
                <w:rFonts w:hint="default" w:ascii="Times New Roman" w:hAnsi="Times New Roman" w:eastAsia="宋体" w:cs="Times New Roman"/>
                <w:color w:val="auto"/>
                <w:kern w:val="0"/>
                <w:szCs w:val="21"/>
                <w:highlight w:val="none"/>
                <w:lang w:val="en-US" w:eastAsia="zh-CN" w:bidi="ar"/>
              </w:rPr>
              <w:t>FQ</w:t>
            </w:r>
            <w:r>
              <w:rPr>
                <w:rFonts w:hint="eastAsia" w:cs="Times New Roman"/>
                <w:color w:val="auto"/>
                <w:kern w:val="0"/>
                <w:szCs w:val="21"/>
                <w:highlight w:val="none"/>
                <w:lang w:val="en-US" w:eastAsia="zh-CN" w:bidi="ar"/>
              </w:rPr>
              <w:t>0</w:t>
            </w:r>
            <w:r>
              <w:rPr>
                <w:rFonts w:hint="eastAsia" w:ascii="Times New Roman" w:hAnsi="Times New Roman" w:eastAsia="宋体" w:cs="Times New Roman"/>
                <w:color w:val="auto"/>
                <w:kern w:val="0"/>
                <w:szCs w:val="21"/>
                <w:highlight w:val="none"/>
                <w:lang w:val="en-US" w:eastAsia="zh-CN" w:bidi="ar"/>
              </w:rPr>
              <w:t>9</w:t>
            </w:r>
          </w:p>
        </w:tc>
        <w:tc>
          <w:tcPr>
            <w:tcW w:w="777" w:type="pct"/>
            <w:vAlign w:val="center"/>
          </w:tcPr>
          <w:p w14:paraId="677DF6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w:t>
            </w:r>
            <w:r>
              <w:rPr>
                <w:rFonts w:hint="default" w:ascii="Times New Roman" w:hAnsi="Times New Roman" w:eastAsia="宋体" w:cs="Times New Roman"/>
                <w:color w:val="auto"/>
                <w:kern w:val="0"/>
                <w:szCs w:val="21"/>
                <w:highlight w:val="none"/>
                <w:lang w:val="en-US" w:eastAsia="zh-CN" w:bidi="ar"/>
              </w:rPr>
              <w:t>号楼压膜</w:t>
            </w:r>
            <w:r>
              <w:rPr>
                <w:rFonts w:hint="eastAsia" w:cs="Times New Roman"/>
                <w:color w:val="auto"/>
                <w:kern w:val="0"/>
                <w:szCs w:val="21"/>
                <w:highlight w:val="none"/>
                <w:lang w:val="en-US" w:eastAsia="zh-CN" w:bidi="ar"/>
              </w:rPr>
              <w:t>、喷涂硅油-脱模剂</w:t>
            </w:r>
            <w:r>
              <w:rPr>
                <w:rFonts w:hint="default" w:ascii="Times New Roman" w:hAnsi="Times New Roman" w:eastAsia="宋体" w:cs="Times New Roman"/>
                <w:color w:val="auto"/>
                <w:kern w:val="0"/>
                <w:szCs w:val="21"/>
                <w:highlight w:val="none"/>
                <w:lang w:val="en-US" w:eastAsia="zh-CN" w:bidi="ar"/>
              </w:rPr>
              <w:t>废气</w:t>
            </w:r>
          </w:p>
        </w:tc>
        <w:tc>
          <w:tcPr>
            <w:tcW w:w="526" w:type="pct"/>
            <w:vAlign w:val="center"/>
          </w:tcPr>
          <w:p w14:paraId="381823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非甲烷总烃</w:t>
            </w:r>
          </w:p>
        </w:tc>
        <w:tc>
          <w:tcPr>
            <w:tcW w:w="643" w:type="pct"/>
            <w:tcBorders>
              <w:right w:val="single" w:color="000000" w:sz="4" w:space="0"/>
            </w:tcBorders>
            <w:vAlign w:val="center"/>
          </w:tcPr>
          <w:p w14:paraId="3762E29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设备密闭抽风收集/通风橱收集，收集效率95%，风机风量7500m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tc>
        <w:tc>
          <w:tcPr>
            <w:tcW w:w="713" w:type="pct"/>
            <w:tcBorders>
              <w:left w:val="single" w:color="000000" w:sz="4" w:space="0"/>
            </w:tcBorders>
            <w:vAlign w:val="center"/>
          </w:tcPr>
          <w:p w14:paraId="567D05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一级碱喷淋+一级水喷淋+除雾器</w:t>
            </w:r>
          </w:p>
          <w:p w14:paraId="5C4DF7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+二级活性炭</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处理效率90%</w:t>
            </w:r>
          </w:p>
        </w:tc>
        <w:tc>
          <w:tcPr>
            <w:tcW w:w="1309" w:type="pct"/>
            <w:vAlign w:val="center"/>
          </w:tcPr>
          <w:p w14:paraId="02B79E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江苏省地方标准《大气污染物综合排放标准》（</w:t>
            </w:r>
            <w:r>
              <w:rPr>
                <w:rFonts w:hint="eastAsia" w:ascii="Times New Roman" w:hAnsi="Times New Roman" w:eastAsia="宋体" w:cs="Times New Roman"/>
                <w:color w:val="auto"/>
                <w:highlight w:val="none"/>
                <w:lang w:val="en-US" w:eastAsia="zh-CN"/>
              </w:rPr>
              <w:t>DB32/4041-2021</w:t>
            </w:r>
            <w:r>
              <w:rPr>
                <w:rFonts w:hint="default" w:ascii="Times New Roman" w:hAnsi="Times New Roman" w:eastAsia="宋体" w:cs="Times New Roman"/>
                <w:color w:val="auto"/>
                <w:highlight w:val="none"/>
                <w:lang w:val="en-US" w:eastAsia="zh-CN"/>
              </w:rPr>
              <w:t>）表1中标准</w:t>
            </w:r>
          </w:p>
        </w:tc>
      </w:tr>
      <w:tr w14:paraId="5F67E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22" w:type="pct"/>
            <w:vMerge w:val="continue"/>
            <w:vAlign w:val="center"/>
          </w:tcPr>
          <w:p w14:paraId="4763A2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07" w:type="pct"/>
            <w:vAlign w:val="center"/>
          </w:tcPr>
          <w:p w14:paraId="576D4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28m高排气筒</w:t>
            </w:r>
            <w:r>
              <w:rPr>
                <w:rFonts w:hint="default" w:ascii="Times New Roman" w:hAnsi="Times New Roman" w:eastAsia="宋体" w:cs="Times New Roman"/>
                <w:color w:val="auto"/>
                <w:kern w:val="0"/>
                <w:szCs w:val="21"/>
                <w:highlight w:val="none"/>
                <w:lang w:val="en-US" w:eastAsia="zh-CN" w:bidi="ar"/>
              </w:rPr>
              <w:t>FQ</w:t>
            </w:r>
            <w:r>
              <w:rPr>
                <w:rFonts w:hint="eastAsia" w:ascii="Times New Roman" w:hAnsi="Times New Roman" w:eastAsia="宋体" w:cs="Times New Roman"/>
                <w:color w:val="auto"/>
                <w:kern w:val="0"/>
                <w:szCs w:val="21"/>
                <w:highlight w:val="none"/>
                <w:lang w:val="en-US" w:eastAsia="zh-CN" w:bidi="ar"/>
              </w:rPr>
              <w:t>10</w:t>
            </w:r>
          </w:p>
        </w:tc>
        <w:tc>
          <w:tcPr>
            <w:tcW w:w="777" w:type="pct"/>
            <w:vAlign w:val="center"/>
          </w:tcPr>
          <w:p w14:paraId="0D08F2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2</w:t>
            </w:r>
            <w:r>
              <w:rPr>
                <w:rFonts w:hint="default" w:ascii="Times New Roman" w:hAnsi="Times New Roman" w:eastAsia="宋体" w:cs="Times New Roman"/>
                <w:color w:val="auto"/>
                <w:kern w:val="0"/>
                <w:szCs w:val="21"/>
                <w:highlight w:val="none"/>
                <w:lang w:val="en-US" w:eastAsia="zh-CN" w:bidi="ar"/>
              </w:rPr>
              <w:t>号楼压膜</w:t>
            </w:r>
            <w:r>
              <w:rPr>
                <w:rFonts w:hint="eastAsia" w:cs="Times New Roman"/>
                <w:color w:val="auto"/>
                <w:kern w:val="0"/>
                <w:szCs w:val="21"/>
                <w:highlight w:val="none"/>
                <w:lang w:val="en-US" w:eastAsia="zh-CN" w:bidi="ar"/>
              </w:rPr>
              <w:t>、喷涂硅油-脱模剂</w:t>
            </w:r>
            <w:r>
              <w:rPr>
                <w:rFonts w:hint="default" w:ascii="Times New Roman" w:hAnsi="Times New Roman" w:eastAsia="宋体" w:cs="Times New Roman"/>
                <w:color w:val="auto"/>
                <w:kern w:val="0"/>
                <w:szCs w:val="21"/>
                <w:highlight w:val="none"/>
                <w:lang w:val="en-US" w:eastAsia="zh-CN" w:bidi="ar"/>
              </w:rPr>
              <w:t>废气</w:t>
            </w:r>
          </w:p>
        </w:tc>
        <w:tc>
          <w:tcPr>
            <w:tcW w:w="526" w:type="pct"/>
            <w:vAlign w:val="center"/>
          </w:tcPr>
          <w:p w14:paraId="62DD67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非甲烷总烃</w:t>
            </w:r>
          </w:p>
        </w:tc>
        <w:tc>
          <w:tcPr>
            <w:tcW w:w="643" w:type="pct"/>
            <w:tcBorders>
              <w:right w:val="single" w:color="000000" w:sz="4" w:space="0"/>
            </w:tcBorders>
            <w:vAlign w:val="center"/>
          </w:tcPr>
          <w:p w14:paraId="27681D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设备密闭抽风收集/通风橱收集，收集效率95%，风机风量7500m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tc>
        <w:tc>
          <w:tcPr>
            <w:tcW w:w="713" w:type="pct"/>
            <w:tcBorders>
              <w:left w:val="single" w:color="000000" w:sz="4" w:space="0"/>
            </w:tcBorders>
            <w:vAlign w:val="center"/>
          </w:tcPr>
          <w:p w14:paraId="28BA2C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一级碱喷淋+一级水喷淋+除雾器</w:t>
            </w:r>
          </w:p>
          <w:p w14:paraId="34E398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+二级活性炭</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处理效率90%</w:t>
            </w:r>
          </w:p>
        </w:tc>
        <w:tc>
          <w:tcPr>
            <w:tcW w:w="1309" w:type="pct"/>
            <w:vAlign w:val="center"/>
          </w:tcPr>
          <w:p w14:paraId="05DB28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江苏省地方标准《大气污染物综合排放标准》（</w:t>
            </w:r>
            <w:r>
              <w:rPr>
                <w:rFonts w:hint="eastAsia" w:ascii="Times New Roman" w:hAnsi="Times New Roman" w:eastAsia="宋体" w:cs="Times New Roman"/>
                <w:color w:val="auto"/>
                <w:highlight w:val="none"/>
                <w:lang w:val="en-US" w:eastAsia="zh-CN"/>
              </w:rPr>
              <w:t>DB32/4041-2021</w:t>
            </w:r>
            <w:r>
              <w:rPr>
                <w:rFonts w:hint="default" w:ascii="Times New Roman" w:hAnsi="Times New Roman" w:eastAsia="宋体" w:cs="Times New Roman"/>
                <w:color w:val="auto"/>
                <w:highlight w:val="none"/>
                <w:lang w:val="en-US" w:eastAsia="zh-CN"/>
              </w:rPr>
              <w:t>）表1中标准</w:t>
            </w:r>
          </w:p>
        </w:tc>
      </w:tr>
      <w:tr w14:paraId="2F404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22" w:type="pct"/>
            <w:vMerge w:val="continue"/>
            <w:vAlign w:val="center"/>
          </w:tcPr>
          <w:p w14:paraId="4FB158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07" w:type="pct"/>
            <w:vAlign w:val="center"/>
          </w:tcPr>
          <w:p w14:paraId="40E1E1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28m高排气筒</w:t>
            </w:r>
            <w:r>
              <w:rPr>
                <w:rFonts w:hint="default" w:ascii="Times New Roman" w:hAnsi="Times New Roman" w:eastAsia="宋体" w:cs="Times New Roman"/>
                <w:color w:val="auto"/>
                <w:kern w:val="0"/>
                <w:szCs w:val="21"/>
                <w:highlight w:val="none"/>
                <w:lang w:val="en-US" w:eastAsia="zh-CN" w:bidi="ar"/>
              </w:rPr>
              <w:t>FQ</w:t>
            </w:r>
            <w:r>
              <w:rPr>
                <w:rFonts w:hint="eastAsia" w:ascii="Times New Roman" w:hAnsi="Times New Roman" w:eastAsia="宋体" w:cs="Times New Roman"/>
                <w:color w:val="auto"/>
                <w:kern w:val="0"/>
                <w:szCs w:val="21"/>
                <w:highlight w:val="none"/>
                <w:lang w:val="en-US" w:eastAsia="zh-CN" w:bidi="ar"/>
              </w:rPr>
              <w:t>11</w:t>
            </w:r>
          </w:p>
        </w:tc>
        <w:tc>
          <w:tcPr>
            <w:tcW w:w="777" w:type="pct"/>
            <w:vAlign w:val="center"/>
          </w:tcPr>
          <w:p w14:paraId="16C4D2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4</w:t>
            </w:r>
            <w:r>
              <w:rPr>
                <w:rFonts w:hint="default" w:ascii="Times New Roman" w:hAnsi="Times New Roman" w:eastAsia="宋体" w:cs="Times New Roman"/>
                <w:color w:val="auto"/>
                <w:kern w:val="0"/>
                <w:szCs w:val="21"/>
                <w:highlight w:val="none"/>
                <w:lang w:val="en-US" w:eastAsia="zh-CN" w:bidi="ar"/>
              </w:rPr>
              <w:t>号楼压膜</w:t>
            </w:r>
            <w:r>
              <w:rPr>
                <w:rFonts w:hint="eastAsia" w:cs="Times New Roman"/>
                <w:color w:val="auto"/>
                <w:kern w:val="0"/>
                <w:szCs w:val="21"/>
                <w:highlight w:val="none"/>
                <w:lang w:val="en-US" w:eastAsia="zh-CN" w:bidi="ar"/>
              </w:rPr>
              <w:t>、喷涂硅油-脱模剂</w:t>
            </w:r>
            <w:r>
              <w:rPr>
                <w:rFonts w:hint="default" w:ascii="Times New Roman" w:hAnsi="Times New Roman" w:eastAsia="宋体" w:cs="Times New Roman"/>
                <w:color w:val="auto"/>
                <w:kern w:val="0"/>
                <w:szCs w:val="21"/>
                <w:highlight w:val="none"/>
                <w:lang w:val="en-US" w:eastAsia="zh-CN" w:bidi="ar"/>
              </w:rPr>
              <w:t>废气</w:t>
            </w:r>
          </w:p>
        </w:tc>
        <w:tc>
          <w:tcPr>
            <w:tcW w:w="526" w:type="pct"/>
            <w:vAlign w:val="center"/>
          </w:tcPr>
          <w:p w14:paraId="46CD68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非甲烷总烃</w:t>
            </w:r>
          </w:p>
        </w:tc>
        <w:tc>
          <w:tcPr>
            <w:tcW w:w="643" w:type="pct"/>
            <w:tcBorders>
              <w:right w:val="single" w:color="000000" w:sz="4" w:space="0"/>
            </w:tcBorders>
            <w:vAlign w:val="center"/>
          </w:tcPr>
          <w:p w14:paraId="65A9F9B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设备密闭抽风收集/通风橱收集，收集效率95%，风机风量7500m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tc>
        <w:tc>
          <w:tcPr>
            <w:tcW w:w="713" w:type="pct"/>
            <w:tcBorders>
              <w:left w:val="single" w:color="000000" w:sz="4" w:space="0"/>
            </w:tcBorders>
            <w:vAlign w:val="center"/>
          </w:tcPr>
          <w:p w14:paraId="0603BB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一级碱喷淋+一级水喷淋+除雾器</w:t>
            </w:r>
          </w:p>
          <w:p w14:paraId="02E99B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+二级活性炭</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处理效率90%</w:t>
            </w:r>
          </w:p>
        </w:tc>
        <w:tc>
          <w:tcPr>
            <w:tcW w:w="1309" w:type="pct"/>
            <w:vAlign w:val="center"/>
          </w:tcPr>
          <w:p w14:paraId="55B657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江苏省地方标准《大气污染物综合排放标准》（</w:t>
            </w:r>
            <w:r>
              <w:rPr>
                <w:rFonts w:hint="eastAsia" w:ascii="Times New Roman" w:hAnsi="Times New Roman" w:eastAsia="宋体" w:cs="Times New Roman"/>
                <w:color w:val="auto"/>
                <w:highlight w:val="none"/>
                <w:lang w:val="en-US" w:eastAsia="zh-CN"/>
              </w:rPr>
              <w:t>DB32/4041-2021</w:t>
            </w:r>
            <w:r>
              <w:rPr>
                <w:rFonts w:hint="default" w:ascii="Times New Roman" w:hAnsi="Times New Roman" w:eastAsia="宋体" w:cs="Times New Roman"/>
                <w:color w:val="auto"/>
                <w:highlight w:val="none"/>
                <w:lang w:val="en-US" w:eastAsia="zh-CN"/>
              </w:rPr>
              <w:t>）表1中标准</w:t>
            </w:r>
          </w:p>
        </w:tc>
      </w:tr>
      <w:tr w14:paraId="4ED45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22" w:type="pct"/>
            <w:vMerge w:val="continue"/>
            <w:vAlign w:val="center"/>
          </w:tcPr>
          <w:p w14:paraId="402B81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07" w:type="pct"/>
            <w:vAlign w:val="center"/>
          </w:tcPr>
          <w:p w14:paraId="32A005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28m高排气筒</w:t>
            </w:r>
            <w:r>
              <w:rPr>
                <w:rFonts w:hint="default" w:ascii="Times New Roman" w:hAnsi="Times New Roman" w:eastAsia="宋体" w:cs="Times New Roman"/>
                <w:color w:val="auto"/>
                <w:kern w:val="0"/>
                <w:szCs w:val="21"/>
                <w:highlight w:val="none"/>
                <w:lang w:val="en-US" w:eastAsia="zh-CN" w:bidi="ar"/>
              </w:rPr>
              <w:t>FQ</w:t>
            </w:r>
            <w:r>
              <w:rPr>
                <w:rFonts w:hint="eastAsia" w:ascii="Times New Roman" w:hAnsi="Times New Roman" w:eastAsia="宋体" w:cs="Times New Roman"/>
                <w:color w:val="auto"/>
                <w:kern w:val="0"/>
                <w:szCs w:val="21"/>
                <w:highlight w:val="none"/>
                <w:lang w:val="en-US" w:eastAsia="zh-CN" w:bidi="ar"/>
              </w:rPr>
              <w:t>12</w:t>
            </w:r>
          </w:p>
        </w:tc>
        <w:tc>
          <w:tcPr>
            <w:tcW w:w="777" w:type="pct"/>
            <w:vAlign w:val="center"/>
          </w:tcPr>
          <w:p w14:paraId="40FDE5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1</w:t>
            </w:r>
            <w:r>
              <w:rPr>
                <w:rFonts w:hint="default" w:ascii="Times New Roman" w:hAnsi="Times New Roman" w:eastAsia="宋体" w:cs="Times New Roman"/>
                <w:color w:val="auto"/>
                <w:kern w:val="0"/>
                <w:szCs w:val="21"/>
                <w:highlight w:val="none"/>
                <w:lang w:val="en-US" w:eastAsia="zh-CN" w:bidi="ar"/>
              </w:rPr>
              <w:t>号楼抛光</w:t>
            </w:r>
            <w:r>
              <w:rPr>
                <w:rFonts w:hint="eastAsia" w:ascii="Times New Roman" w:hAnsi="Times New Roman" w:eastAsia="宋体" w:cs="Times New Roman"/>
                <w:color w:val="auto"/>
                <w:kern w:val="0"/>
                <w:szCs w:val="21"/>
                <w:highlight w:val="none"/>
                <w:lang w:val="en-US" w:eastAsia="zh-CN" w:bidi="ar"/>
              </w:rPr>
              <w:t>、精细抛光</w:t>
            </w:r>
            <w:r>
              <w:rPr>
                <w:rFonts w:hint="default" w:ascii="Times New Roman" w:hAnsi="Times New Roman" w:eastAsia="宋体" w:cs="Times New Roman"/>
                <w:color w:val="auto"/>
                <w:kern w:val="0"/>
                <w:szCs w:val="21"/>
                <w:highlight w:val="none"/>
                <w:lang w:val="en-US" w:eastAsia="zh-CN" w:bidi="ar"/>
              </w:rPr>
              <w:t>废气</w:t>
            </w:r>
          </w:p>
        </w:tc>
        <w:tc>
          <w:tcPr>
            <w:tcW w:w="526" w:type="pct"/>
            <w:vAlign w:val="center"/>
          </w:tcPr>
          <w:p w14:paraId="301C85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颗粒物</w:t>
            </w:r>
          </w:p>
        </w:tc>
        <w:tc>
          <w:tcPr>
            <w:tcW w:w="643" w:type="pct"/>
            <w:tcBorders>
              <w:right w:val="single" w:color="000000" w:sz="4" w:space="0"/>
            </w:tcBorders>
            <w:vAlign w:val="center"/>
          </w:tcPr>
          <w:p w14:paraId="5FB4D6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设备半密闭抽风收集，收集效率95%，风机风量16000m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tc>
        <w:tc>
          <w:tcPr>
            <w:tcW w:w="713" w:type="pct"/>
            <w:tcBorders>
              <w:left w:val="single" w:color="000000" w:sz="4" w:space="0"/>
            </w:tcBorders>
            <w:vAlign w:val="center"/>
          </w:tcPr>
          <w:p w14:paraId="111B09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布袋除尘装置，处理效率98%</w:t>
            </w:r>
          </w:p>
        </w:tc>
        <w:tc>
          <w:tcPr>
            <w:tcW w:w="1309" w:type="pct"/>
            <w:vAlign w:val="center"/>
          </w:tcPr>
          <w:p w14:paraId="08F01D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江苏省地方标准《大气污染物综合排放标准》（DB32/4041—2021）表1标准</w:t>
            </w:r>
          </w:p>
        </w:tc>
      </w:tr>
      <w:tr w14:paraId="6C27C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22" w:type="pct"/>
            <w:vMerge w:val="continue"/>
            <w:vAlign w:val="center"/>
          </w:tcPr>
          <w:p w14:paraId="7D29A3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07" w:type="pct"/>
            <w:vAlign w:val="center"/>
          </w:tcPr>
          <w:p w14:paraId="2B76B2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28m高排气筒</w:t>
            </w:r>
            <w:r>
              <w:rPr>
                <w:rFonts w:hint="default" w:ascii="Times New Roman" w:hAnsi="Times New Roman" w:eastAsia="宋体" w:cs="Times New Roman"/>
                <w:color w:val="auto"/>
                <w:kern w:val="0"/>
                <w:szCs w:val="21"/>
                <w:highlight w:val="none"/>
                <w:lang w:val="en-US" w:eastAsia="zh-CN" w:bidi="ar"/>
              </w:rPr>
              <w:t>FQ</w:t>
            </w:r>
            <w:r>
              <w:rPr>
                <w:rFonts w:hint="eastAsia" w:ascii="Times New Roman" w:hAnsi="Times New Roman" w:eastAsia="宋体" w:cs="Times New Roman"/>
                <w:color w:val="auto"/>
                <w:kern w:val="0"/>
                <w:szCs w:val="21"/>
                <w:highlight w:val="none"/>
                <w:lang w:val="en-US" w:eastAsia="zh-CN" w:bidi="ar"/>
              </w:rPr>
              <w:t>13</w:t>
            </w:r>
          </w:p>
        </w:tc>
        <w:tc>
          <w:tcPr>
            <w:tcW w:w="777" w:type="pct"/>
            <w:vAlign w:val="center"/>
          </w:tcPr>
          <w:p w14:paraId="37EE29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2</w:t>
            </w:r>
            <w:r>
              <w:rPr>
                <w:rFonts w:hint="default" w:ascii="Times New Roman" w:hAnsi="Times New Roman" w:eastAsia="宋体" w:cs="Times New Roman"/>
                <w:color w:val="auto"/>
                <w:kern w:val="0"/>
                <w:szCs w:val="21"/>
                <w:highlight w:val="none"/>
                <w:lang w:val="en-US" w:eastAsia="zh-CN" w:bidi="ar"/>
              </w:rPr>
              <w:t>号楼抛光</w:t>
            </w:r>
            <w:r>
              <w:rPr>
                <w:rFonts w:hint="eastAsia" w:ascii="Times New Roman" w:hAnsi="Times New Roman" w:eastAsia="宋体" w:cs="Times New Roman"/>
                <w:color w:val="auto"/>
                <w:kern w:val="0"/>
                <w:szCs w:val="21"/>
                <w:highlight w:val="none"/>
                <w:lang w:val="en-US" w:eastAsia="zh-CN" w:bidi="ar"/>
              </w:rPr>
              <w:t>、精细抛光</w:t>
            </w:r>
            <w:r>
              <w:rPr>
                <w:rFonts w:hint="default" w:ascii="Times New Roman" w:hAnsi="Times New Roman" w:eastAsia="宋体" w:cs="Times New Roman"/>
                <w:color w:val="auto"/>
                <w:kern w:val="0"/>
                <w:szCs w:val="21"/>
                <w:highlight w:val="none"/>
                <w:lang w:val="en-US" w:eastAsia="zh-CN" w:bidi="ar"/>
              </w:rPr>
              <w:t>废气</w:t>
            </w:r>
          </w:p>
        </w:tc>
        <w:tc>
          <w:tcPr>
            <w:tcW w:w="526" w:type="pct"/>
            <w:vAlign w:val="center"/>
          </w:tcPr>
          <w:p w14:paraId="3D8D40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颗粒物</w:t>
            </w:r>
          </w:p>
        </w:tc>
        <w:tc>
          <w:tcPr>
            <w:tcW w:w="643" w:type="pct"/>
            <w:tcBorders>
              <w:right w:val="single" w:color="000000" w:sz="4" w:space="0"/>
            </w:tcBorders>
            <w:vAlign w:val="center"/>
          </w:tcPr>
          <w:p w14:paraId="47E3626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设备半密闭抽风收集，收集效率95%，风机风量16000m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/h</w:t>
            </w:r>
          </w:p>
        </w:tc>
        <w:tc>
          <w:tcPr>
            <w:tcW w:w="713" w:type="pct"/>
            <w:tcBorders>
              <w:left w:val="single" w:color="000000" w:sz="4" w:space="0"/>
            </w:tcBorders>
            <w:vAlign w:val="center"/>
          </w:tcPr>
          <w:p w14:paraId="233768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布袋除尘装置，98%</w:t>
            </w:r>
          </w:p>
        </w:tc>
        <w:tc>
          <w:tcPr>
            <w:tcW w:w="1309" w:type="pct"/>
            <w:vAlign w:val="center"/>
          </w:tcPr>
          <w:p w14:paraId="3723DC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江苏省地方标准《大气污染物综合排放标准》（DB32/4041—2021）表1标准</w:t>
            </w:r>
          </w:p>
        </w:tc>
      </w:tr>
      <w:tr w14:paraId="135A0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22" w:type="pct"/>
            <w:vMerge w:val="continue"/>
            <w:vAlign w:val="center"/>
          </w:tcPr>
          <w:p w14:paraId="13E22B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507" w:type="pct"/>
            <w:vAlign w:val="center"/>
          </w:tcPr>
          <w:p w14:paraId="018FA5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28m高排气筒</w:t>
            </w:r>
            <w:r>
              <w:rPr>
                <w:rFonts w:hint="default" w:ascii="Times New Roman" w:hAnsi="Times New Roman" w:eastAsia="宋体" w:cs="Times New Roman"/>
                <w:color w:val="auto"/>
                <w:kern w:val="0"/>
                <w:szCs w:val="21"/>
                <w:highlight w:val="none"/>
                <w:lang w:val="en-US" w:eastAsia="zh-CN" w:bidi="ar"/>
              </w:rPr>
              <w:t>FQ</w:t>
            </w:r>
            <w:r>
              <w:rPr>
                <w:rFonts w:hint="eastAsia" w:ascii="Times New Roman" w:hAnsi="Times New Roman" w:eastAsia="宋体" w:cs="Times New Roman"/>
                <w:color w:val="auto"/>
                <w:kern w:val="0"/>
                <w:szCs w:val="21"/>
                <w:highlight w:val="none"/>
                <w:lang w:val="en-US" w:eastAsia="zh-CN" w:bidi="ar"/>
              </w:rPr>
              <w:t>14</w:t>
            </w:r>
          </w:p>
        </w:tc>
        <w:tc>
          <w:tcPr>
            <w:tcW w:w="777" w:type="pct"/>
            <w:vAlign w:val="center"/>
          </w:tcPr>
          <w:p w14:paraId="24EE0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4</w:t>
            </w:r>
            <w:r>
              <w:rPr>
                <w:rFonts w:hint="default" w:ascii="Times New Roman" w:hAnsi="Times New Roman" w:eastAsia="宋体" w:cs="Times New Roman"/>
                <w:color w:val="auto"/>
                <w:kern w:val="0"/>
                <w:szCs w:val="21"/>
                <w:highlight w:val="none"/>
                <w:lang w:val="en-US" w:eastAsia="zh-CN" w:bidi="ar"/>
              </w:rPr>
              <w:t>号楼抛光</w:t>
            </w:r>
            <w:r>
              <w:rPr>
                <w:rFonts w:hint="eastAsia" w:ascii="Times New Roman" w:hAnsi="Times New Roman" w:eastAsia="宋体" w:cs="Times New Roman"/>
                <w:color w:val="auto"/>
                <w:kern w:val="0"/>
                <w:szCs w:val="21"/>
                <w:highlight w:val="none"/>
                <w:lang w:val="en-US" w:eastAsia="zh-CN" w:bidi="ar"/>
              </w:rPr>
              <w:t>、精细抛光</w:t>
            </w:r>
            <w:r>
              <w:rPr>
                <w:rFonts w:hint="default" w:ascii="Times New Roman" w:hAnsi="Times New Roman" w:eastAsia="宋体" w:cs="Times New Roman"/>
                <w:color w:val="auto"/>
                <w:kern w:val="0"/>
                <w:szCs w:val="21"/>
                <w:highlight w:val="none"/>
                <w:lang w:val="en-US" w:eastAsia="zh-CN" w:bidi="ar"/>
              </w:rPr>
              <w:t>废气</w:t>
            </w:r>
          </w:p>
        </w:tc>
        <w:tc>
          <w:tcPr>
            <w:tcW w:w="526" w:type="pct"/>
            <w:vAlign w:val="center"/>
          </w:tcPr>
          <w:p w14:paraId="6F8527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颗粒物</w:t>
            </w:r>
          </w:p>
        </w:tc>
        <w:tc>
          <w:tcPr>
            <w:tcW w:w="643" w:type="pct"/>
            <w:tcBorders>
              <w:right w:val="single" w:color="000000" w:sz="4" w:space="0"/>
            </w:tcBorders>
            <w:vAlign w:val="center"/>
          </w:tcPr>
          <w:p w14:paraId="1F1EFCE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设备半密闭抽风收集，收集效率95%，风机风量16000m</w:t>
            </w:r>
            <w:r>
              <w:rPr>
                <w:rFonts w:hint="eastAsia" w:cs="Times New Roman"/>
                <w:b w:val="0"/>
                <w:bCs w:val="0"/>
                <w:color w:val="auto"/>
                <w:szCs w:val="21"/>
                <w:highlight w:val="none"/>
                <w:vertAlign w:val="superscript"/>
                <w:lang w:val="en-US" w:eastAsia="zh-CN"/>
              </w:rPr>
              <w:t>3</w:t>
            </w:r>
            <w:r>
              <w:rPr>
                <w:rFonts w:hint="eastAsia" w:cs="Times New Roman"/>
                <w:b w:val="0"/>
                <w:bCs w:val="0"/>
                <w:color w:val="auto"/>
                <w:szCs w:val="21"/>
                <w:highlight w:val="none"/>
                <w:lang w:val="en-US" w:eastAsia="zh-CN"/>
              </w:rPr>
              <w:t>/h</w:t>
            </w:r>
          </w:p>
        </w:tc>
        <w:tc>
          <w:tcPr>
            <w:tcW w:w="713" w:type="pct"/>
            <w:tcBorders>
              <w:left w:val="single" w:color="000000" w:sz="4" w:space="0"/>
            </w:tcBorders>
            <w:vAlign w:val="center"/>
          </w:tcPr>
          <w:p w14:paraId="584828F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布袋除尘装置，98%</w:t>
            </w:r>
          </w:p>
        </w:tc>
        <w:tc>
          <w:tcPr>
            <w:tcW w:w="1309" w:type="pct"/>
            <w:vAlign w:val="center"/>
          </w:tcPr>
          <w:p w14:paraId="200A6D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江苏省地方标准《大气污染物综合排放标准》（DB32/4041—2021）表1标准</w:t>
            </w:r>
          </w:p>
        </w:tc>
      </w:tr>
      <w:tr w14:paraId="7AAC2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522" w:type="pct"/>
            <w:vMerge w:val="continue"/>
            <w:vAlign w:val="center"/>
          </w:tcPr>
          <w:p w14:paraId="2D8652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rPr>
            </w:pPr>
          </w:p>
        </w:tc>
        <w:tc>
          <w:tcPr>
            <w:tcW w:w="507" w:type="pct"/>
            <w:vMerge w:val="restart"/>
            <w:vAlign w:val="center"/>
          </w:tcPr>
          <w:p w14:paraId="340262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无组织</w:t>
            </w:r>
          </w:p>
        </w:tc>
        <w:tc>
          <w:tcPr>
            <w:tcW w:w="777" w:type="pct"/>
            <w:tcBorders>
              <w:bottom w:val="single" w:color="000000" w:sz="6" w:space="0"/>
            </w:tcBorders>
            <w:vAlign w:val="center"/>
          </w:tcPr>
          <w:p w14:paraId="305F82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w:t>
            </w:r>
          </w:p>
        </w:tc>
        <w:tc>
          <w:tcPr>
            <w:tcW w:w="1169" w:type="pct"/>
            <w:gridSpan w:val="2"/>
            <w:tcBorders>
              <w:bottom w:val="single" w:color="000000" w:sz="6" w:space="0"/>
            </w:tcBorders>
            <w:vAlign w:val="center"/>
          </w:tcPr>
          <w:p w14:paraId="34FAE9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非甲烷总烃、氮氧化物、颗粒物、氟化物、酚类</w:t>
            </w:r>
          </w:p>
        </w:tc>
        <w:tc>
          <w:tcPr>
            <w:tcW w:w="713" w:type="pct"/>
            <w:tcBorders>
              <w:bottom w:val="single" w:color="000000" w:sz="6" w:space="0"/>
            </w:tcBorders>
            <w:vAlign w:val="center"/>
          </w:tcPr>
          <w:p w14:paraId="332990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加强车间通风</w:t>
            </w:r>
          </w:p>
        </w:tc>
        <w:tc>
          <w:tcPr>
            <w:tcW w:w="1309" w:type="pct"/>
            <w:tcBorders>
              <w:bottom w:val="single" w:color="000000" w:sz="6" w:space="0"/>
            </w:tcBorders>
            <w:vAlign w:val="center"/>
          </w:tcPr>
          <w:p w14:paraId="609AFCB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Cs w:val="21"/>
                <w:highlight w:val="none"/>
                <w:lang w:eastAsia="zh-CN"/>
              </w:rPr>
            </w:pPr>
            <w:r>
              <w:rPr>
                <w:rFonts w:hint="default" w:ascii="Times New Roman" w:hAnsi="Times New Roman" w:eastAsia="宋体" w:cs="Times New Roman"/>
                <w:color w:val="auto"/>
                <w:kern w:val="0"/>
                <w:szCs w:val="21"/>
                <w:highlight w:val="none"/>
              </w:rPr>
              <w:t>江苏省地方标准《大气污染物综合排放标准》（DB32/4041—2021）表3标准</w:t>
            </w:r>
          </w:p>
        </w:tc>
      </w:tr>
      <w:tr w14:paraId="4F23C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22" w:type="pct"/>
            <w:vMerge w:val="continue"/>
            <w:vAlign w:val="center"/>
          </w:tcPr>
          <w:p w14:paraId="5055B0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Cs w:val="21"/>
                <w:highlight w:val="none"/>
              </w:rPr>
            </w:pPr>
          </w:p>
        </w:tc>
        <w:tc>
          <w:tcPr>
            <w:tcW w:w="507" w:type="pct"/>
            <w:vMerge w:val="continue"/>
            <w:vAlign w:val="center"/>
          </w:tcPr>
          <w:p w14:paraId="2573F6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highlight w:val="none"/>
                <w:lang w:bidi="ar"/>
              </w:rPr>
            </w:pPr>
          </w:p>
        </w:tc>
        <w:tc>
          <w:tcPr>
            <w:tcW w:w="777" w:type="pct"/>
            <w:tcBorders>
              <w:top w:val="single" w:color="000000" w:sz="6" w:space="0"/>
            </w:tcBorders>
            <w:vAlign w:val="center"/>
          </w:tcPr>
          <w:p w14:paraId="75D817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厂房门窗或通风口、其他开口（孔）等排放口处</w:t>
            </w:r>
          </w:p>
        </w:tc>
        <w:tc>
          <w:tcPr>
            <w:tcW w:w="1169" w:type="pct"/>
            <w:gridSpan w:val="2"/>
            <w:tcBorders>
              <w:top w:val="single" w:color="000000" w:sz="6" w:space="0"/>
            </w:tcBorders>
            <w:vAlign w:val="center"/>
          </w:tcPr>
          <w:p w14:paraId="4BBDB1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非甲烷总烃</w:t>
            </w:r>
          </w:p>
        </w:tc>
        <w:tc>
          <w:tcPr>
            <w:tcW w:w="713" w:type="pct"/>
            <w:tcBorders>
              <w:top w:val="single" w:color="000000" w:sz="6" w:space="0"/>
            </w:tcBorders>
            <w:vAlign w:val="center"/>
          </w:tcPr>
          <w:p w14:paraId="6725F7D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加强车间通风</w:t>
            </w:r>
          </w:p>
        </w:tc>
        <w:tc>
          <w:tcPr>
            <w:tcW w:w="1309" w:type="pct"/>
            <w:tcBorders>
              <w:top w:val="single" w:color="000000" w:sz="6" w:space="0"/>
            </w:tcBorders>
            <w:vAlign w:val="center"/>
          </w:tcPr>
          <w:p w14:paraId="6C5E5E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lang w:val="en-US" w:eastAsia="zh-CN"/>
              </w:rPr>
              <w:t>江苏省地方标准《大气污染物综合排放标准》（DB32/4041—2021）表2标准</w:t>
            </w:r>
          </w:p>
        </w:tc>
      </w:tr>
      <w:tr w14:paraId="73A7E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522" w:type="pct"/>
            <w:vAlign w:val="center"/>
          </w:tcPr>
          <w:p w14:paraId="73BA7B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声环境</w:t>
            </w:r>
          </w:p>
        </w:tc>
        <w:tc>
          <w:tcPr>
            <w:tcW w:w="1284" w:type="pct"/>
            <w:gridSpan w:val="2"/>
            <w:vAlign w:val="center"/>
          </w:tcPr>
          <w:p w14:paraId="49916E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风机</w:t>
            </w:r>
          </w:p>
        </w:tc>
        <w:tc>
          <w:tcPr>
            <w:tcW w:w="1169" w:type="pct"/>
            <w:gridSpan w:val="2"/>
            <w:vAlign w:val="center"/>
          </w:tcPr>
          <w:p w14:paraId="4BCB7E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713" w:type="pct"/>
            <w:vAlign w:val="center"/>
          </w:tcPr>
          <w:p w14:paraId="16372D7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加装隔声罩、消声器</w:t>
            </w:r>
            <w:r>
              <w:rPr>
                <w:rFonts w:hint="eastAsia" w:ascii="Times New Roman" w:hAnsi="Times New Roman" w:eastAsia="宋体" w:cs="Times New Roman"/>
                <w:color w:val="auto"/>
                <w:szCs w:val="21"/>
                <w:highlight w:val="none"/>
                <w:lang w:eastAsia="zh-CN"/>
              </w:rPr>
              <w:t>、</w:t>
            </w:r>
          </w:p>
          <w:p w14:paraId="7AB450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距离衰减</w:t>
            </w:r>
          </w:p>
        </w:tc>
        <w:tc>
          <w:tcPr>
            <w:tcW w:w="1309" w:type="pct"/>
            <w:vAlign w:val="center"/>
          </w:tcPr>
          <w:p w14:paraId="3AD24A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《工业企业厂界环境噪声排放标准》（GB12348-2008）中</w:t>
            </w:r>
            <w:r>
              <w:rPr>
                <w:rFonts w:hint="eastAsia" w:ascii="Times New Roman" w:hAnsi="Times New Roman" w:eastAsia="宋体" w:cs="Times New Roman"/>
                <w:color w:val="auto"/>
                <w:szCs w:val="21"/>
                <w:highlight w:val="none"/>
                <w:lang w:val="en-US" w:eastAsia="zh-CN"/>
              </w:rPr>
              <w:t>2</w:t>
            </w:r>
            <w:r>
              <w:rPr>
                <w:rFonts w:hint="default" w:ascii="Times New Roman" w:hAnsi="Times New Roman" w:eastAsia="宋体" w:cs="Times New Roman"/>
                <w:color w:val="auto"/>
                <w:szCs w:val="21"/>
                <w:highlight w:val="none"/>
              </w:rPr>
              <w:t>类标准</w:t>
            </w:r>
          </w:p>
        </w:tc>
      </w:tr>
      <w:tr w14:paraId="08D5D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22" w:type="pct"/>
            <w:vAlign w:val="center"/>
          </w:tcPr>
          <w:p w14:paraId="4C8169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电磁辐射</w:t>
            </w:r>
          </w:p>
        </w:tc>
        <w:tc>
          <w:tcPr>
            <w:tcW w:w="1284" w:type="pct"/>
            <w:gridSpan w:val="2"/>
            <w:vAlign w:val="center"/>
          </w:tcPr>
          <w:p w14:paraId="5D8F88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169" w:type="pct"/>
            <w:gridSpan w:val="2"/>
            <w:vAlign w:val="center"/>
          </w:tcPr>
          <w:p w14:paraId="02C2A9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713" w:type="pct"/>
            <w:vAlign w:val="center"/>
          </w:tcPr>
          <w:p w14:paraId="71703B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309" w:type="pct"/>
            <w:vAlign w:val="center"/>
          </w:tcPr>
          <w:p w14:paraId="78D1F9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14:paraId="7BAF1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522" w:type="pct"/>
            <w:vAlign w:val="center"/>
          </w:tcPr>
          <w:p w14:paraId="45C4F1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4477" w:type="pct"/>
            <w:gridSpan w:val="6"/>
            <w:vAlign w:val="center"/>
          </w:tcPr>
          <w:p w14:paraId="4D8EE8FE">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w:t>
            </w:r>
            <w:r>
              <w:rPr>
                <w:rFonts w:hint="default" w:ascii="Times New Roman" w:hAnsi="Times New Roman" w:eastAsia="宋体" w:cs="Times New Roman"/>
                <w:color w:val="auto"/>
                <w:szCs w:val="21"/>
                <w:highlight w:val="none"/>
                <w:lang w:eastAsia="zh-CN"/>
              </w:rPr>
              <w:t>设置</w:t>
            </w:r>
            <w:r>
              <w:rPr>
                <w:rFonts w:hint="eastAsia" w:ascii="Times New Roman" w:hAnsi="Times New Roman" w:eastAsia="宋体" w:cs="Times New Roman"/>
                <w:color w:val="auto"/>
                <w:szCs w:val="21"/>
                <w:highlight w:val="none"/>
                <w:lang w:val="en-US" w:eastAsia="zh-CN"/>
              </w:rPr>
              <w:t>一座10</w:t>
            </w:r>
            <w:r>
              <w:rPr>
                <w:rFonts w:hint="default" w:ascii="Times New Roman" w:hAnsi="Times New Roman" w:eastAsia="宋体" w:cs="Times New Roman"/>
                <w:color w:val="auto"/>
                <w:szCs w:val="21"/>
                <w:highlight w:val="none"/>
              </w:rPr>
              <w:t>0m</w:t>
            </w:r>
            <w:r>
              <w:rPr>
                <w:rFonts w:hint="default" w:ascii="Times New Roman" w:hAnsi="Times New Roman" w:eastAsia="宋体" w:cs="Times New Roman"/>
                <w:color w:val="auto"/>
                <w:szCs w:val="21"/>
                <w:highlight w:val="none"/>
                <w:vertAlign w:val="superscript"/>
              </w:rPr>
              <w:t>2</w:t>
            </w:r>
            <w:r>
              <w:rPr>
                <w:rFonts w:hint="eastAsia" w:cs="Times New Roman"/>
                <w:color w:val="auto"/>
                <w:szCs w:val="21"/>
                <w:highlight w:val="none"/>
                <w:lang w:eastAsia="zh-CN"/>
              </w:rPr>
              <w:t>危险废物</w:t>
            </w:r>
            <w:r>
              <w:rPr>
                <w:rFonts w:hint="default" w:ascii="Times New Roman" w:hAnsi="Times New Roman" w:eastAsia="宋体" w:cs="Times New Roman"/>
                <w:color w:val="auto"/>
                <w:szCs w:val="21"/>
                <w:highlight w:val="none"/>
              </w:rPr>
              <w:t>仓库，</w:t>
            </w:r>
            <w:r>
              <w:rPr>
                <w:rFonts w:hint="eastAsia" w:cs="Times New Roman"/>
                <w:color w:val="auto"/>
                <w:szCs w:val="21"/>
                <w:highlight w:val="none"/>
                <w:lang w:val="en-US" w:eastAsia="zh-CN"/>
              </w:rPr>
              <w:t>一座50</w:t>
            </w:r>
            <w:r>
              <w:rPr>
                <w:rFonts w:hint="default" w:ascii="Times New Roman" w:hAnsi="Times New Roman" w:eastAsia="宋体" w:cs="Times New Roman"/>
                <w:color w:val="auto"/>
                <w:szCs w:val="21"/>
                <w:highlight w:val="none"/>
              </w:rPr>
              <w:t>m</w:t>
            </w:r>
            <w:r>
              <w:rPr>
                <w:rFonts w:hint="default" w:ascii="Times New Roman" w:hAnsi="Times New Roman" w:eastAsia="宋体" w:cs="Times New Roman"/>
                <w:color w:val="auto"/>
                <w:szCs w:val="21"/>
                <w:highlight w:val="none"/>
                <w:vertAlign w:val="superscript"/>
              </w:rPr>
              <w:t>2</w:t>
            </w:r>
            <w:r>
              <w:rPr>
                <w:rFonts w:hint="eastAsia" w:cs="Times New Roman"/>
                <w:color w:val="auto"/>
                <w:szCs w:val="21"/>
                <w:highlight w:val="none"/>
                <w:vertAlign w:val="baseline"/>
                <w:lang w:val="en-US" w:eastAsia="zh-CN"/>
              </w:rPr>
              <w:t>一般固体废物</w:t>
            </w:r>
            <w:r>
              <w:rPr>
                <w:rFonts w:hint="eastAsia" w:ascii="Times New Roman" w:hAnsi="Times New Roman" w:eastAsia="宋体" w:cs="Times New Roman"/>
                <w:color w:val="auto"/>
                <w:szCs w:val="21"/>
                <w:highlight w:val="none"/>
                <w:vertAlign w:val="baseline"/>
                <w:lang w:val="en-US" w:eastAsia="zh-CN"/>
              </w:rPr>
              <w:t>暂存间。</w:t>
            </w:r>
            <w:r>
              <w:rPr>
                <w:rFonts w:hint="default" w:ascii="Times New Roman" w:hAnsi="Times New Roman" w:eastAsia="宋体" w:cs="Times New Roman"/>
                <w:color w:val="auto"/>
                <w:szCs w:val="21"/>
                <w:highlight w:val="none"/>
              </w:rPr>
              <w:t>危险废物贮存按照《危险废物贮存污染控制标准》（GB18597-20</w:t>
            </w:r>
            <w:r>
              <w:rPr>
                <w:rFonts w:hint="eastAsia" w:ascii="Times New Roman" w:hAnsi="Times New Roman" w:eastAsia="宋体" w:cs="Times New Roman"/>
                <w:color w:val="auto"/>
                <w:szCs w:val="21"/>
                <w:highlight w:val="none"/>
                <w:lang w:val="en-US" w:eastAsia="zh-CN"/>
              </w:rPr>
              <w:t>23</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eastAsia="zh-CN"/>
              </w:rPr>
              <w:t>危险废物收集 贮存 运输技术规范</w:t>
            </w:r>
            <w:r>
              <w:rPr>
                <w:rFonts w:hint="default" w:ascii="Times New Roman" w:hAnsi="Times New Roman" w:eastAsia="宋体" w:cs="Times New Roman"/>
                <w:color w:val="auto"/>
                <w:szCs w:val="21"/>
                <w:highlight w:val="none"/>
              </w:rPr>
              <w:t>》（HJ2025-2012）</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eastAsia="zh-CN"/>
              </w:rPr>
              <w:t>《江苏省固体废物全过程环境监管工作意见》（苏环办[</w:t>
            </w:r>
            <w:r>
              <w:rPr>
                <w:rFonts w:hint="eastAsia" w:ascii="Times New Roman" w:hAnsi="Times New Roman" w:eastAsia="宋体" w:cs="Times New Roman"/>
                <w:color w:val="auto"/>
                <w:szCs w:val="21"/>
                <w:highlight w:val="none"/>
                <w:lang w:val="en-US" w:eastAsia="zh-CN"/>
              </w:rPr>
              <w:t>2024</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16</w:t>
            </w:r>
            <w:r>
              <w:rPr>
                <w:rFonts w:hint="eastAsia" w:ascii="Times New Roman" w:hAnsi="Times New Roman" w:eastAsia="宋体" w:cs="Times New Roman"/>
                <w:color w:val="auto"/>
                <w:szCs w:val="21"/>
                <w:highlight w:val="none"/>
                <w:lang w:eastAsia="zh-CN"/>
              </w:rPr>
              <w:t>号）</w:t>
            </w:r>
            <w:r>
              <w:rPr>
                <w:rFonts w:hint="default" w:ascii="Times New Roman" w:hAnsi="Times New Roman" w:eastAsia="宋体" w:cs="Times New Roman"/>
                <w:color w:val="auto"/>
                <w:szCs w:val="21"/>
                <w:highlight w:val="none"/>
              </w:rPr>
              <w:t>以及《省生态环境厅关于做好江苏省危险废物全生命周期监控系统上线运行工作的通知》（苏环办[2020]401号）</w:t>
            </w:r>
            <w:r>
              <w:rPr>
                <w:rFonts w:hint="eastAsia" w:ascii="Times New Roman" w:hAnsi="Times New Roman" w:eastAsia="宋体" w:cs="Times New Roman"/>
                <w:color w:val="auto"/>
                <w:szCs w:val="21"/>
                <w:highlight w:val="none"/>
                <w:lang w:val="en-US" w:eastAsia="zh-CN"/>
              </w:rPr>
              <w:t>相关规定</w:t>
            </w:r>
            <w:r>
              <w:rPr>
                <w:rFonts w:hint="default" w:ascii="Times New Roman" w:hAnsi="Times New Roman" w:eastAsia="宋体" w:cs="Times New Roman"/>
                <w:color w:val="auto"/>
                <w:szCs w:val="21"/>
                <w:highlight w:val="none"/>
              </w:rPr>
              <w:t>要求进行危险废物的贮存；建设项目产生的</w:t>
            </w:r>
            <w:r>
              <w:rPr>
                <w:rFonts w:hint="eastAsia" w:cs="Times New Roman"/>
                <w:color w:val="auto"/>
                <w:szCs w:val="21"/>
                <w:highlight w:val="none"/>
                <w:lang w:val="en-US" w:eastAsia="zh-CN"/>
              </w:rPr>
              <w:t>（硅油-脱模剂）废包装桶</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highlight w:val="none"/>
              </w:rPr>
              <w:t>废活性炭</w:t>
            </w:r>
            <w:r>
              <w:rPr>
                <w:rFonts w:hint="eastAsia" w:ascii="Times New Roman" w:hAnsi="Times New Roman" w:eastAsia="宋体" w:cs="Times New Roman"/>
                <w:color w:val="auto"/>
                <w:highlight w:val="none"/>
                <w:lang w:val="en-US" w:eastAsia="zh-CN"/>
              </w:rPr>
              <w:t>等</w:t>
            </w:r>
            <w:r>
              <w:rPr>
                <w:rFonts w:hint="default" w:ascii="Times New Roman" w:hAnsi="Times New Roman" w:eastAsia="宋体" w:cs="Times New Roman"/>
                <w:color w:val="auto"/>
                <w:szCs w:val="21"/>
                <w:highlight w:val="none"/>
              </w:rPr>
              <w:t>危险废物分类密封、分区存放，委托有资质单位处置。全厂</w:t>
            </w:r>
            <w:r>
              <w:rPr>
                <w:rFonts w:hint="eastAsia" w:cs="Times New Roman"/>
                <w:color w:val="auto"/>
                <w:szCs w:val="21"/>
                <w:highlight w:val="none"/>
                <w:lang w:eastAsia="zh-CN"/>
              </w:rPr>
              <w:t>固体废物</w:t>
            </w:r>
            <w:r>
              <w:rPr>
                <w:rFonts w:hint="default" w:ascii="Times New Roman" w:hAnsi="Times New Roman" w:eastAsia="宋体" w:cs="Times New Roman"/>
                <w:color w:val="auto"/>
                <w:szCs w:val="21"/>
                <w:highlight w:val="none"/>
              </w:rPr>
              <w:t>得到有效处置，零排放，对周围环境无明显影响。</w:t>
            </w:r>
          </w:p>
        </w:tc>
      </w:tr>
      <w:tr w14:paraId="1E3D2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522" w:type="pct"/>
            <w:vAlign w:val="center"/>
          </w:tcPr>
          <w:p w14:paraId="6146FE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土壤及地下水</w:t>
            </w:r>
          </w:p>
          <w:p w14:paraId="1D383F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污染防治措施</w:t>
            </w:r>
          </w:p>
        </w:tc>
        <w:tc>
          <w:tcPr>
            <w:tcW w:w="4477" w:type="pct"/>
            <w:gridSpan w:val="6"/>
            <w:vAlign w:val="center"/>
          </w:tcPr>
          <w:p w14:paraId="247EFED0">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项目采取“源头控制”、“分区防控”的防渗措施，废气均经合理处置后达标排放，</w:t>
            </w:r>
            <w:r>
              <w:rPr>
                <w:rFonts w:hint="eastAsia" w:cs="Times New Roman"/>
                <w:color w:val="auto"/>
                <w:szCs w:val="21"/>
                <w:highlight w:val="none"/>
                <w:lang w:eastAsia="zh-CN"/>
              </w:rPr>
              <w:t>固体废物</w:t>
            </w:r>
            <w:r>
              <w:rPr>
                <w:rFonts w:hint="default" w:ascii="Times New Roman" w:hAnsi="Times New Roman" w:eastAsia="宋体" w:cs="Times New Roman"/>
                <w:color w:val="auto"/>
                <w:szCs w:val="21"/>
                <w:highlight w:val="none"/>
              </w:rPr>
              <w:t>均堆放于室内，满足“防风、防雨、防晒”的要求，建立</w:t>
            </w:r>
            <w:r>
              <w:rPr>
                <w:rFonts w:hint="eastAsia" w:cs="Times New Roman"/>
                <w:color w:val="auto"/>
                <w:szCs w:val="21"/>
                <w:highlight w:val="none"/>
                <w:lang w:eastAsia="zh-CN"/>
              </w:rPr>
              <w:t>危险废物</w:t>
            </w:r>
            <w:r>
              <w:rPr>
                <w:rFonts w:hint="default" w:ascii="Times New Roman" w:hAnsi="Times New Roman" w:eastAsia="宋体" w:cs="Times New Roman"/>
                <w:color w:val="auto"/>
                <w:szCs w:val="21"/>
                <w:highlight w:val="none"/>
              </w:rPr>
              <w:t>堆放场，合理分类收集堆放，</w:t>
            </w:r>
            <w:r>
              <w:rPr>
                <w:rFonts w:hint="eastAsia" w:cs="Times New Roman"/>
                <w:color w:val="auto"/>
                <w:szCs w:val="21"/>
                <w:highlight w:val="none"/>
                <w:lang w:eastAsia="zh-CN"/>
              </w:rPr>
              <w:t>危险废物</w:t>
            </w:r>
            <w:r>
              <w:rPr>
                <w:rFonts w:hint="default" w:ascii="Times New Roman" w:hAnsi="Times New Roman" w:eastAsia="宋体" w:cs="Times New Roman"/>
                <w:color w:val="auto"/>
                <w:szCs w:val="21"/>
                <w:highlight w:val="none"/>
              </w:rPr>
              <w:t>堆放场采取“黏土铺底+水泥硬化+环氧地坪”、“液体废桶配套托盘”的防渗措施，废液储存配套有防渗漏托盘，杜绝</w:t>
            </w:r>
            <w:r>
              <w:rPr>
                <w:rFonts w:hint="eastAsia" w:cs="Times New Roman"/>
                <w:color w:val="auto"/>
                <w:szCs w:val="21"/>
                <w:highlight w:val="none"/>
                <w:lang w:eastAsia="zh-CN"/>
              </w:rPr>
              <w:t>固体废物</w:t>
            </w:r>
            <w:r>
              <w:rPr>
                <w:rFonts w:hint="default" w:ascii="Times New Roman" w:hAnsi="Times New Roman" w:eastAsia="宋体" w:cs="Times New Roman"/>
                <w:color w:val="auto"/>
                <w:szCs w:val="21"/>
                <w:highlight w:val="none"/>
              </w:rPr>
              <w:t>接触土壤及室外堆放，防止降水淋溶、地表径流，</w:t>
            </w:r>
            <w:r>
              <w:rPr>
                <w:rFonts w:hint="eastAsia" w:cs="Times New Roman"/>
                <w:color w:val="auto"/>
                <w:szCs w:val="21"/>
                <w:highlight w:val="none"/>
                <w:lang w:eastAsia="zh-CN"/>
              </w:rPr>
              <w:t>危险废物</w:t>
            </w:r>
            <w:r>
              <w:rPr>
                <w:rFonts w:hint="default" w:ascii="Times New Roman" w:hAnsi="Times New Roman" w:eastAsia="宋体" w:cs="Times New Roman"/>
                <w:color w:val="auto"/>
                <w:szCs w:val="21"/>
                <w:highlight w:val="none"/>
              </w:rPr>
              <w:t>定期委托处置。</w:t>
            </w:r>
          </w:p>
        </w:tc>
      </w:tr>
      <w:tr w14:paraId="6243F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522" w:type="pct"/>
            <w:vAlign w:val="center"/>
          </w:tcPr>
          <w:p w14:paraId="6EC152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生态保护措施</w:t>
            </w:r>
          </w:p>
        </w:tc>
        <w:tc>
          <w:tcPr>
            <w:tcW w:w="4477" w:type="pct"/>
            <w:gridSpan w:val="6"/>
            <w:vAlign w:val="center"/>
          </w:tcPr>
          <w:p w14:paraId="4CFAD5AF">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项目产生的废气、噪声和固体废物经过合理处置后达标排放，对生态影响较小。</w:t>
            </w:r>
          </w:p>
          <w:p w14:paraId="67C692C8">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eastAsia="宋体" w:cs="Times New Roman"/>
                <w:color w:val="auto"/>
                <w:szCs w:val="21"/>
                <w:highlight w:val="none"/>
              </w:rPr>
            </w:pPr>
          </w:p>
        </w:tc>
      </w:tr>
      <w:tr w14:paraId="63E43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6" w:hRule="atLeast"/>
          <w:jc w:val="center"/>
        </w:trPr>
        <w:tc>
          <w:tcPr>
            <w:tcW w:w="522" w:type="pct"/>
            <w:vAlign w:val="center"/>
          </w:tcPr>
          <w:p w14:paraId="40AD4B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环境风险防范措施</w:t>
            </w:r>
          </w:p>
        </w:tc>
        <w:tc>
          <w:tcPr>
            <w:tcW w:w="4477" w:type="pct"/>
            <w:gridSpan w:val="6"/>
            <w:vAlign w:val="center"/>
          </w:tcPr>
          <w:p w14:paraId="20A72C6F">
            <w:pPr>
              <w:pStyle w:val="5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436" w:firstLineChars="200"/>
              <w:jc w:val="left"/>
              <w:textAlignment w:val="auto"/>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①企业应按照要求建立/完善环境风险防控和应急管理制度、应急物资和装备管理制度、隐患排查治理制度、应急培训和演练制度、突发环境事件信息报告制度</w:t>
            </w:r>
            <w:r>
              <w:rPr>
                <w:rFonts w:hint="eastAsia" w:cs="Times New Roman"/>
                <w:color w:val="auto"/>
                <w:spacing w:val="4"/>
                <w:kern w:val="0"/>
                <w:sz w:val="21"/>
                <w:szCs w:val="21"/>
                <w:highlight w:val="none"/>
                <w:lang w:val="en-US" w:eastAsia="zh-CN" w:bidi="ar-SA"/>
              </w:rPr>
              <w:t>、“三落实三必须”机制</w:t>
            </w:r>
            <w:r>
              <w:rPr>
                <w:rFonts w:hint="default" w:ascii="Times New Roman" w:hAnsi="Times New Roman" w:eastAsia="宋体" w:cs="Times New Roman"/>
                <w:color w:val="auto"/>
                <w:spacing w:val="4"/>
                <w:kern w:val="0"/>
                <w:sz w:val="21"/>
                <w:szCs w:val="21"/>
                <w:highlight w:val="none"/>
                <w:lang w:val="en-US" w:eastAsia="zh-CN" w:bidi="ar-SA"/>
              </w:rPr>
              <w:t>等。</w:t>
            </w:r>
          </w:p>
          <w:p w14:paraId="63448805">
            <w:pPr>
              <w:pStyle w:val="5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436" w:firstLineChars="200"/>
              <w:jc w:val="left"/>
              <w:textAlignment w:val="auto"/>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②各环境风险单元应加强风险源监控，配备相应应急设施和应急物资，并定期维护确保其可正常使用。对相关环保设施开展安全风险辨识管控，健全内部污染设施稳定运行和管理责任制度</w:t>
            </w:r>
            <w:r>
              <w:rPr>
                <w:rFonts w:hint="eastAsia" w:cs="Times New Roman"/>
                <w:color w:val="auto"/>
                <w:spacing w:val="4"/>
                <w:kern w:val="0"/>
                <w:sz w:val="21"/>
                <w:szCs w:val="21"/>
                <w:highlight w:val="none"/>
                <w:lang w:val="en-US" w:eastAsia="zh-CN" w:bidi="ar-SA"/>
              </w:rPr>
              <w:t>。</w:t>
            </w:r>
          </w:p>
          <w:p w14:paraId="1CB63B47">
            <w:pPr>
              <w:pStyle w:val="52"/>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436" w:firstLineChars="200"/>
              <w:jc w:val="left"/>
              <w:textAlignment w:val="auto"/>
              <w:rPr>
                <w:rFonts w:hint="default" w:ascii="Times New Roman" w:hAnsi="Times New Roman" w:eastAsia="宋体" w:cs="Times New Roman"/>
                <w:color w:val="auto"/>
                <w:spacing w:val="4"/>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lang w:val="en-US" w:eastAsia="zh-CN" w:bidi="ar-SA"/>
              </w:rPr>
              <w:t>③企业应按照三级防控的要求建立突发水污染事件环境风险防控体系。当事故废水可能出厂界时，还应及时启动园区/区域环境风险防范措施，实现企业与园区/区域环境风险防控设施及管理的有效联动。</w:t>
            </w:r>
          </w:p>
          <w:p w14:paraId="6B412760">
            <w:pPr>
              <w:keepNext w:val="0"/>
              <w:keepLines w:val="0"/>
              <w:suppressLineNumbers w:val="0"/>
              <w:spacing w:before="0" w:beforeAutospacing="0" w:after="0" w:afterAutospacing="0"/>
              <w:ind w:left="0" w:right="0" w:firstLine="436" w:firstLineChars="200"/>
              <w:rPr>
                <w:rFonts w:hint="default" w:ascii="Times New Roman" w:hAnsi="Times New Roman" w:eastAsia="宋体" w:cs="Times New Roman"/>
                <w:color w:val="auto"/>
                <w:szCs w:val="21"/>
                <w:highlight w:val="none"/>
              </w:rPr>
            </w:pPr>
            <w:r>
              <w:rPr>
                <w:rFonts w:hint="eastAsia" w:ascii="宋体" w:hAnsi="宋体" w:eastAsia="宋体" w:cs="宋体"/>
                <w:color w:val="auto"/>
                <w:spacing w:val="4"/>
                <w:kern w:val="0"/>
                <w:sz w:val="21"/>
                <w:szCs w:val="21"/>
                <w:highlight w:val="none"/>
                <w:lang w:val="en-US" w:eastAsia="zh-CN" w:bidi="ar-SA"/>
              </w:rPr>
              <w:t>④</w:t>
            </w:r>
            <w:r>
              <w:rPr>
                <w:rFonts w:hint="default" w:ascii="Times New Roman" w:hAnsi="Times New Roman" w:eastAsia="宋体" w:cs="Times New Roman"/>
                <w:color w:val="auto"/>
                <w:spacing w:val="4"/>
                <w:kern w:val="0"/>
                <w:sz w:val="21"/>
                <w:szCs w:val="21"/>
                <w:highlight w:val="none"/>
                <w:lang w:val="en-US" w:eastAsia="zh-CN" w:bidi="ar-SA"/>
              </w:rPr>
              <w:t>危险废物暂存区域应严格按照《危险废物贮存污染控制标准》（GB18597-2023）中的相关要求设置，定期开展必要的培训和环境应急演练。</w:t>
            </w:r>
          </w:p>
        </w:tc>
      </w:tr>
      <w:tr w14:paraId="23E10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2" w:hRule="atLeast"/>
          <w:jc w:val="center"/>
        </w:trPr>
        <w:tc>
          <w:tcPr>
            <w:tcW w:w="522" w:type="pct"/>
            <w:vAlign w:val="center"/>
          </w:tcPr>
          <w:p w14:paraId="363CEA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其他环境管理要求</w:t>
            </w:r>
          </w:p>
        </w:tc>
        <w:tc>
          <w:tcPr>
            <w:tcW w:w="4477" w:type="pct"/>
            <w:gridSpan w:val="6"/>
          </w:tcPr>
          <w:p w14:paraId="5B964DF8">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1、建设单位严格执行《排污许可管理条例（国令第736号》。</w:t>
            </w:r>
          </w:p>
          <w:p w14:paraId="55C8AACC">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2、根据《江苏省排污口设置及规范化整治管理办法》规定，对排污口进行规范化整治。</w:t>
            </w:r>
          </w:p>
          <w:p w14:paraId="2DA13AF4">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3、建设单位要严格执行“三同时”，切实做到环保治理设施与主体工程同时设计、同时施工、同时投产使用。</w:t>
            </w:r>
          </w:p>
          <w:p w14:paraId="3E2F791B">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4、各类生产</w:t>
            </w:r>
            <w:r>
              <w:rPr>
                <w:rFonts w:hint="eastAsia" w:cs="Times New Roman"/>
                <w:color w:val="auto"/>
                <w:szCs w:val="21"/>
                <w:highlight w:val="none"/>
                <w:lang w:eastAsia="zh-CN"/>
              </w:rPr>
              <w:t>固体废物</w:t>
            </w:r>
            <w:r>
              <w:rPr>
                <w:rFonts w:hint="default" w:ascii="Times New Roman" w:hAnsi="Times New Roman" w:eastAsia="宋体" w:cs="Times New Roman"/>
                <w:color w:val="auto"/>
                <w:szCs w:val="21"/>
                <w:highlight w:val="none"/>
              </w:rPr>
              <w:t>应分类贮存，及时清运，防止堆积、泄漏，以免对周围环境产生影响。</w:t>
            </w:r>
          </w:p>
          <w:p w14:paraId="2D4C2B78">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5、加强废气污染治理设施的运行管理和维护保养的管理，加强车间通风换气。</w:t>
            </w:r>
          </w:p>
          <w:p w14:paraId="5A7BA802">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6、建议加强生产车间、</w:t>
            </w:r>
            <w:r>
              <w:rPr>
                <w:rFonts w:hint="eastAsia" w:cs="Times New Roman"/>
                <w:color w:val="auto"/>
                <w:szCs w:val="21"/>
                <w:highlight w:val="none"/>
                <w:lang w:eastAsia="zh-CN"/>
              </w:rPr>
              <w:t>危险废物</w:t>
            </w:r>
            <w:r>
              <w:rPr>
                <w:rFonts w:hint="default" w:ascii="Times New Roman" w:hAnsi="Times New Roman" w:eastAsia="宋体" w:cs="Times New Roman"/>
                <w:color w:val="auto"/>
                <w:szCs w:val="21"/>
                <w:highlight w:val="none"/>
              </w:rPr>
              <w:t>仓库等环境风险单元的风险防治措施，加强污染设施安全风险自查，排除环保设施安全及环境风险隐患。</w:t>
            </w:r>
          </w:p>
          <w:p w14:paraId="4DDDC130">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7、本项目建成后全厂卫生防护距离为</w:t>
            </w:r>
            <w:r>
              <w:rPr>
                <w:rFonts w:hint="default" w:ascii="Times New Roman" w:hAnsi="Times New Roman" w:eastAsia="宋体" w:cs="Times New Roman"/>
                <w:color w:val="auto"/>
                <w:szCs w:val="21"/>
                <w:highlight w:val="none"/>
                <w:lang w:val="en-US" w:eastAsia="zh-CN"/>
              </w:rPr>
              <w:t>生产车间1号楼外</w:t>
            </w:r>
            <w:r>
              <w:rPr>
                <w:rFonts w:hint="eastAsia" w:ascii="Times New Roman" w:hAnsi="Times New Roman" w:eastAsia="宋体" w:cs="Times New Roman"/>
                <w:color w:val="auto"/>
                <w:szCs w:val="21"/>
                <w:highlight w:val="none"/>
                <w:lang w:val="en-US" w:eastAsia="zh-CN"/>
              </w:rPr>
              <w:t>50</w:t>
            </w:r>
            <w:r>
              <w:rPr>
                <w:rFonts w:hint="default" w:ascii="Times New Roman" w:hAnsi="Times New Roman" w:eastAsia="宋体" w:cs="Times New Roman"/>
                <w:color w:val="auto"/>
                <w:szCs w:val="21"/>
                <w:highlight w:val="none"/>
                <w:lang w:val="en-US" w:eastAsia="zh-CN"/>
              </w:rPr>
              <w:t>m、生产车间2号楼外</w:t>
            </w:r>
            <w:r>
              <w:rPr>
                <w:rFonts w:hint="eastAsia" w:ascii="Times New Roman" w:hAnsi="Times New Roman" w:eastAsia="宋体" w:cs="Times New Roman"/>
                <w:color w:val="auto"/>
                <w:szCs w:val="21"/>
                <w:highlight w:val="none"/>
                <w:lang w:val="en-US" w:eastAsia="zh-CN"/>
              </w:rPr>
              <w:t>50</w:t>
            </w:r>
            <w:r>
              <w:rPr>
                <w:rFonts w:hint="default" w:ascii="Times New Roman" w:hAnsi="Times New Roman" w:eastAsia="宋体" w:cs="Times New Roman"/>
                <w:color w:val="auto"/>
                <w:szCs w:val="21"/>
                <w:highlight w:val="none"/>
                <w:lang w:val="en-US" w:eastAsia="zh-CN"/>
              </w:rPr>
              <w:t>m、</w:t>
            </w:r>
            <w:r>
              <w:rPr>
                <w:rFonts w:hint="eastAsia" w:cs="Times New Roman"/>
                <w:color w:val="auto"/>
                <w:szCs w:val="21"/>
                <w:highlight w:val="none"/>
                <w:lang w:val="en-US" w:eastAsia="zh-CN"/>
              </w:rPr>
              <w:t>生产车间3号楼外100m</w:t>
            </w:r>
            <w:r>
              <w:rPr>
                <w:rFonts w:hint="default" w:ascii="Times New Roman" w:hAnsi="Times New Roman" w:eastAsia="宋体" w:cs="Times New Roman"/>
                <w:color w:val="auto"/>
                <w:szCs w:val="21"/>
                <w:highlight w:val="none"/>
                <w:lang w:val="en-US" w:eastAsia="zh-CN"/>
              </w:rPr>
              <w:t>、生产车间4号楼外</w:t>
            </w:r>
            <w:r>
              <w:rPr>
                <w:rFonts w:hint="eastAsia" w:ascii="Times New Roman" w:hAnsi="Times New Roman" w:eastAsia="宋体" w:cs="Times New Roman"/>
                <w:color w:val="auto"/>
                <w:szCs w:val="21"/>
                <w:highlight w:val="none"/>
                <w:lang w:val="en-US" w:eastAsia="zh-CN"/>
              </w:rPr>
              <w:t>50</w:t>
            </w:r>
            <w:r>
              <w:rPr>
                <w:rFonts w:hint="default" w:ascii="Times New Roman" w:hAnsi="Times New Roman" w:eastAsia="宋体" w:cs="Times New Roman"/>
                <w:color w:val="auto"/>
                <w:szCs w:val="21"/>
                <w:highlight w:val="none"/>
                <w:lang w:val="en-US" w:eastAsia="zh-CN"/>
              </w:rPr>
              <w:t>m、实验室外50m以及</w:t>
            </w:r>
            <w:r>
              <w:rPr>
                <w:rFonts w:hint="eastAsia"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lang w:val="en-US" w:eastAsia="zh-CN"/>
              </w:rPr>
              <w:t>仓库外50m所形成的包络线。</w:t>
            </w:r>
          </w:p>
          <w:p w14:paraId="2AE7F3B7">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8、本项目涉及的安全、消防、卫生等问题不属于本次评价范围，请公司按照国家相关法律法规和有关标准执行。</w:t>
            </w:r>
          </w:p>
          <w:p w14:paraId="6C56A9B5">
            <w:pPr>
              <w:keepNext w:val="0"/>
              <w:keepLines w:val="0"/>
              <w:suppressLineNumbers w:val="0"/>
              <w:spacing w:before="0" w:beforeAutospacing="0" w:after="0" w:afterAutospacing="0"/>
              <w:ind w:left="0" w:right="0" w:firstLine="420" w:firstLineChars="200"/>
              <w:rPr>
                <w:rFonts w:hint="default" w:ascii="Times New Roman" w:hAnsi="Times New Roman" w:eastAsia="宋体" w:cs="Times New Roman"/>
                <w:color w:val="auto"/>
                <w:szCs w:val="21"/>
                <w:highlight w:val="none"/>
              </w:rPr>
            </w:pPr>
          </w:p>
          <w:p w14:paraId="334C8D4F">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28BB91A8">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0A319FDD">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5638CB54">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2A666FB1">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2057AFF0">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44521B65">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413C8CFF">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4FB5B503">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40077385">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09D721B5">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391BD072">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34B40AA0">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p w14:paraId="442326AA">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highlight w:val="none"/>
              </w:rPr>
            </w:pPr>
          </w:p>
        </w:tc>
      </w:tr>
    </w:tbl>
    <w:p w14:paraId="54DC1A94">
      <w:pPr>
        <w:pStyle w:val="23"/>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宋体"/>
          <w:snapToGrid w:val="0"/>
          <w:color w:val="auto"/>
          <w:sz w:val="30"/>
          <w:szCs w:val="30"/>
          <w:highlight w:val="none"/>
        </w:rPr>
      </w:pPr>
      <w:bookmarkStart w:id="11" w:name="_Toc22989"/>
      <w:r>
        <w:rPr>
          <w:rFonts w:ascii="Times New Roman" w:hAnsi="Times New Roman" w:eastAsia="宋体"/>
          <w:snapToGrid w:val="0"/>
          <w:color w:val="auto"/>
          <w:sz w:val="30"/>
          <w:szCs w:val="30"/>
          <w:highlight w:val="none"/>
        </w:rPr>
        <w:t>六、结论</w:t>
      </w:r>
      <w:bookmarkEnd w:id="11"/>
    </w:p>
    <w:tbl>
      <w:tblPr>
        <w:tblStyle w:val="24"/>
        <w:tblW w:w="94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63"/>
      </w:tblGrid>
      <w:tr w14:paraId="67740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7" w:hRule="atLeast"/>
          <w:jc w:val="center"/>
        </w:trPr>
        <w:tc>
          <w:tcPr>
            <w:tcW w:w="9463" w:type="dxa"/>
            <w:vAlign w:val="center"/>
          </w:tcPr>
          <w:p w14:paraId="4F657BF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本项目运营期产生的各类污染物在采取合理有效的污染防治措施后，排放总量如下：</w:t>
            </w:r>
          </w:p>
          <w:p w14:paraId="42772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napToGrid w:val="0"/>
                <w:color w:val="auto"/>
                <w:kern w:val="0"/>
                <w:sz w:val="24"/>
                <w:highlight w:val="none"/>
              </w:rPr>
            </w:pPr>
            <w:r>
              <w:rPr>
                <w:rFonts w:hint="default" w:ascii="Times New Roman" w:hAnsi="Times New Roman" w:eastAsia="宋体" w:cs="Times New Roman"/>
                <w:b/>
                <w:bCs/>
                <w:snapToGrid w:val="0"/>
                <w:color w:val="auto"/>
                <w:kern w:val="0"/>
                <w:sz w:val="24"/>
                <w:highlight w:val="none"/>
              </w:rPr>
              <w:t>废气污染物：</w:t>
            </w:r>
          </w:p>
          <w:p w14:paraId="2A14AF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snapToGrid w:val="0"/>
                <w:color w:val="auto"/>
                <w:kern w:val="0"/>
                <w:sz w:val="24"/>
                <w:highlight w:val="none"/>
                <w:lang w:val="en-US" w:eastAsia="zh-CN"/>
              </w:rPr>
            </w:pPr>
            <w:r>
              <w:rPr>
                <w:rFonts w:hint="eastAsia" w:cs="Times New Roman"/>
                <w:b w:val="0"/>
                <w:bCs w:val="0"/>
                <w:snapToGrid w:val="0"/>
                <w:color w:val="auto"/>
                <w:kern w:val="0"/>
                <w:sz w:val="24"/>
                <w:highlight w:val="none"/>
                <w:lang w:val="en-US" w:eastAsia="zh-CN"/>
              </w:rPr>
              <w:t>本项目</w:t>
            </w:r>
            <w:r>
              <w:rPr>
                <w:rFonts w:hint="default" w:ascii="Times New Roman" w:hAnsi="Times New Roman" w:eastAsia="宋体" w:cs="Times New Roman"/>
                <w:b w:val="0"/>
                <w:bCs w:val="0"/>
                <w:snapToGrid w:val="0"/>
                <w:color w:val="auto"/>
                <w:kern w:val="0"/>
                <w:sz w:val="24"/>
                <w:highlight w:val="none"/>
              </w:rPr>
              <w:t>（有组织）</w:t>
            </w:r>
            <w:r>
              <w:rPr>
                <w:rFonts w:hint="eastAsia" w:ascii="Times New Roman" w:hAnsi="Times New Roman" w:eastAsia="宋体" w:cs="Times New Roman"/>
                <w:snapToGrid w:val="0"/>
                <w:color w:val="auto"/>
                <w:kern w:val="0"/>
                <w:sz w:val="24"/>
                <w:highlight w:val="none"/>
                <w:lang w:val="en-US" w:eastAsia="zh-CN"/>
              </w:rPr>
              <w:t>非甲烷总烃≤</w:t>
            </w:r>
            <w:r>
              <w:rPr>
                <w:rFonts w:hint="eastAsia" w:cs="Times New Roman"/>
                <w:snapToGrid w:val="0"/>
                <w:color w:val="auto"/>
                <w:kern w:val="0"/>
                <w:sz w:val="24"/>
                <w:highlight w:val="none"/>
                <w:lang w:val="en-US" w:eastAsia="zh-CN"/>
              </w:rPr>
              <w:t>0.1378</w:t>
            </w:r>
            <w:r>
              <w:rPr>
                <w:rFonts w:hint="default" w:ascii="Times New Roman" w:hAnsi="Times New Roman" w:eastAsia="宋体" w:cs="Times New Roman"/>
                <w:snapToGrid w:val="0"/>
                <w:color w:val="auto"/>
                <w:kern w:val="0"/>
                <w:sz w:val="24"/>
                <w:highlight w:val="none"/>
              </w:rPr>
              <w:t>吨、</w:t>
            </w:r>
            <w:r>
              <w:rPr>
                <w:rFonts w:hint="eastAsia" w:cs="Times New Roman"/>
                <w:snapToGrid w:val="0"/>
                <w:color w:val="auto"/>
                <w:kern w:val="0"/>
                <w:sz w:val="24"/>
                <w:highlight w:val="none"/>
                <w:lang w:val="en-US" w:eastAsia="zh-CN"/>
              </w:rPr>
              <w:t>颗粒物</w:t>
            </w:r>
            <w:r>
              <w:rPr>
                <w:rFonts w:hint="eastAsia" w:ascii="Times New Roman" w:hAnsi="Times New Roman" w:eastAsia="宋体" w:cs="Times New Roman"/>
                <w:snapToGrid w:val="0"/>
                <w:color w:val="auto"/>
                <w:kern w:val="0"/>
                <w:sz w:val="24"/>
                <w:highlight w:val="none"/>
                <w:lang w:val="en-US" w:eastAsia="zh-CN"/>
              </w:rPr>
              <w:t>≤</w:t>
            </w:r>
            <w:r>
              <w:rPr>
                <w:rFonts w:hint="eastAsia" w:cs="Times New Roman"/>
                <w:snapToGrid w:val="0"/>
                <w:color w:val="auto"/>
                <w:kern w:val="0"/>
                <w:sz w:val="24"/>
                <w:highlight w:val="none"/>
                <w:lang w:val="en-US" w:eastAsia="zh-CN"/>
              </w:rPr>
              <w:t>0.1188</w:t>
            </w:r>
            <w:r>
              <w:rPr>
                <w:rFonts w:hint="default" w:ascii="Times New Roman" w:hAnsi="Times New Roman" w:eastAsia="宋体" w:cs="Times New Roman"/>
                <w:snapToGrid w:val="0"/>
                <w:color w:val="auto"/>
                <w:kern w:val="0"/>
                <w:sz w:val="24"/>
                <w:highlight w:val="none"/>
              </w:rPr>
              <w:t>吨</w:t>
            </w:r>
            <w:r>
              <w:rPr>
                <w:rFonts w:hint="eastAsia" w:ascii="Times New Roman" w:hAnsi="Times New Roman" w:eastAsia="宋体" w:cs="Times New Roman"/>
                <w:snapToGrid w:val="0"/>
                <w:color w:val="auto"/>
                <w:kern w:val="0"/>
                <w:sz w:val="24"/>
                <w:highlight w:val="none"/>
                <w:lang w:eastAsia="zh-CN"/>
              </w:rPr>
              <w:t>；</w:t>
            </w:r>
            <w:r>
              <w:rPr>
                <w:rFonts w:hint="eastAsia" w:cs="Times New Roman"/>
                <w:snapToGrid w:val="0"/>
                <w:color w:val="auto"/>
                <w:kern w:val="0"/>
                <w:sz w:val="24"/>
                <w:highlight w:val="none"/>
                <w:lang w:val="en-US" w:eastAsia="zh-CN"/>
              </w:rPr>
              <w:t>全厂（有组织）</w:t>
            </w:r>
            <w:r>
              <w:rPr>
                <w:rFonts w:hint="eastAsia" w:ascii="Times New Roman" w:hAnsi="Times New Roman" w:eastAsia="宋体" w:cs="Times New Roman"/>
                <w:snapToGrid w:val="0"/>
                <w:color w:val="auto"/>
                <w:kern w:val="0"/>
                <w:sz w:val="24"/>
                <w:highlight w:val="none"/>
                <w:lang w:val="en-US" w:eastAsia="zh-CN"/>
              </w:rPr>
              <w:t>颗粒物≤</w:t>
            </w:r>
            <w:r>
              <w:rPr>
                <w:rFonts w:hint="eastAsia" w:cs="Times New Roman"/>
                <w:snapToGrid w:val="0"/>
                <w:color w:val="auto"/>
                <w:kern w:val="0"/>
                <w:sz w:val="24"/>
                <w:highlight w:val="none"/>
                <w:lang w:val="en-US" w:eastAsia="zh-CN"/>
              </w:rPr>
              <w:t>0.2438</w:t>
            </w:r>
            <w:r>
              <w:rPr>
                <w:rFonts w:hint="eastAsia" w:ascii="Times New Roman" w:hAnsi="Times New Roman" w:eastAsia="宋体" w:cs="Times New Roman"/>
                <w:snapToGrid w:val="0"/>
                <w:color w:val="auto"/>
                <w:kern w:val="0"/>
                <w:sz w:val="24"/>
                <w:highlight w:val="none"/>
                <w:lang w:val="en-US" w:eastAsia="zh-CN"/>
              </w:rPr>
              <w:t>吨、非甲烷总烃≤</w:t>
            </w:r>
            <w:r>
              <w:rPr>
                <w:rFonts w:hint="eastAsia" w:cs="Times New Roman"/>
                <w:snapToGrid w:val="0"/>
                <w:color w:val="auto"/>
                <w:kern w:val="0"/>
                <w:sz w:val="24"/>
                <w:highlight w:val="none"/>
                <w:lang w:val="en-US" w:eastAsia="zh-CN"/>
              </w:rPr>
              <w:t>0.5093</w:t>
            </w:r>
            <w:r>
              <w:rPr>
                <w:rFonts w:hint="default" w:ascii="Times New Roman" w:hAnsi="Times New Roman" w:eastAsia="宋体" w:cs="Times New Roman"/>
                <w:snapToGrid w:val="0"/>
                <w:color w:val="auto"/>
                <w:kern w:val="0"/>
                <w:sz w:val="24"/>
                <w:highlight w:val="none"/>
              </w:rPr>
              <w:t>吨</w:t>
            </w:r>
            <w:r>
              <w:rPr>
                <w:rFonts w:hint="eastAsia" w:ascii="Times New Roman" w:hAnsi="Times New Roman" w:eastAsia="宋体" w:cs="Times New Roman"/>
                <w:snapToGrid w:val="0"/>
                <w:color w:val="auto"/>
                <w:kern w:val="0"/>
                <w:sz w:val="24"/>
                <w:highlight w:val="none"/>
                <w:lang w:eastAsia="zh-CN"/>
              </w:rPr>
              <w:t>（</w:t>
            </w:r>
            <w:r>
              <w:rPr>
                <w:rFonts w:hint="eastAsia" w:ascii="Times New Roman" w:hAnsi="Times New Roman" w:eastAsia="宋体" w:cs="Times New Roman"/>
                <w:snapToGrid w:val="0"/>
                <w:color w:val="auto"/>
                <w:kern w:val="0"/>
                <w:sz w:val="24"/>
                <w:highlight w:val="none"/>
                <w:lang w:val="en-US" w:eastAsia="zh-CN"/>
              </w:rPr>
              <w:t>包含酚类≤0.0032吨</w:t>
            </w:r>
            <w:r>
              <w:rPr>
                <w:rFonts w:hint="eastAsia" w:ascii="Times New Roman" w:hAnsi="Times New Roman" w:eastAsia="宋体" w:cs="Times New Roman"/>
                <w:snapToGrid w:val="0"/>
                <w:color w:val="auto"/>
                <w:kern w:val="0"/>
                <w:sz w:val="24"/>
                <w:highlight w:val="none"/>
                <w:lang w:eastAsia="zh-CN"/>
              </w:rPr>
              <w:t>）</w:t>
            </w:r>
            <w:r>
              <w:rPr>
                <w:rFonts w:hint="eastAsia" w:ascii="Times New Roman" w:hAnsi="Times New Roman" w:eastAsia="宋体" w:cs="Times New Roman"/>
                <w:snapToGrid w:val="0"/>
                <w:color w:val="auto"/>
                <w:kern w:val="0"/>
                <w:sz w:val="24"/>
                <w:highlight w:val="none"/>
                <w:lang w:val="en-US" w:eastAsia="zh-CN"/>
              </w:rPr>
              <w:t>、氟化物≤0.0007吨、</w:t>
            </w:r>
            <w:r>
              <w:rPr>
                <w:rFonts w:hint="default" w:ascii="Times New Roman" w:hAnsi="Times New Roman" w:eastAsia="宋体" w:cs="Times New Roman"/>
                <w:snapToGrid w:val="0"/>
                <w:color w:val="auto"/>
                <w:kern w:val="0"/>
                <w:sz w:val="24"/>
                <w:highlight w:val="none"/>
              </w:rPr>
              <w:t>氮氧化物</w:t>
            </w:r>
            <w:r>
              <w:rPr>
                <w:rFonts w:hint="eastAsia" w:ascii="Times New Roman" w:hAnsi="Times New Roman" w:eastAsia="宋体" w:cs="Times New Roman"/>
                <w:snapToGrid w:val="0"/>
                <w:color w:val="auto"/>
                <w:kern w:val="0"/>
                <w:sz w:val="24"/>
                <w:highlight w:val="none"/>
                <w:lang w:val="en-US" w:eastAsia="zh-CN"/>
              </w:rPr>
              <w:t>≤0.0136</w:t>
            </w:r>
            <w:r>
              <w:rPr>
                <w:rFonts w:hint="default" w:ascii="Times New Roman" w:hAnsi="Times New Roman" w:eastAsia="宋体" w:cs="Times New Roman"/>
                <w:snapToGrid w:val="0"/>
                <w:color w:val="auto"/>
                <w:kern w:val="0"/>
                <w:sz w:val="24"/>
                <w:highlight w:val="none"/>
              </w:rPr>
              <w:t>吨</w:t>
            </w:r>
            <w:r>
              <w:rPr>
                <w:rFonts w:hint="eastAsia" w:ascii="Times New Roman" w:hAnsi="Times New Roman" w:eastAsia="宋体" w:cs="Times New Roman"/>
                <w:snapToGrid w:val="0"/>
                <w:color w:val="auto"/>
                <w:kern w:val="0"/>
                <w:sz w:val="24"/>
                <w:highlight w:val="none"/>
                <w:lang w:eastAsia="zh-CN"/>
              </w:rPr>
              <w:t>、油烟</w:t>
            </w:r>
            <w:r>
              <w:rPr>
                <w:rFonts w:hint="eastAsia" w:ascii="Times New Roman" w:hAnsi="Times New Roman" w:eastAsia="宋体" w:cs="Times New Roman"/>
                <w:snapToGrid w:val="0"/>
                <w:color w:val="auto"/>
                <w:kern w:val="0"/>
                <w:sz w:val="24"/>
                <w:highlight w:val="none"/>
                <w:lang w:val="en-US" w:eastAsia="zh-CN"/>
              </w:rPr>
              <w:t>≤</w:t>
            </w:r>
            <w:r>
              <w:rPr>
                <w:rFonts w:hint="eastAsia" w:ascii="Times New Roman" w:hAnsi="Times New Roman" w:eastAsia="宋体" w:cs="Times New Roman"/>
                <w:snapToGrid w:val="0"/>
                <w:color w:val="auto"/>
                <w:kern w:val="0"/>
                <w:sz w:val="24"/>
                <w:highlight w:val="none"/>
                <w:lang w:eastAsia="zh-CN"/>
              </w:rPr>
              <w:t>0.036吨。</w:t>
            </w:r>
          </w:p>
          <w:p w14:paraId="43E43402">
            <w:pPr>
              <w:keepNext w:val="0"/>
              <w:keepLines w:val="0"/>
              <w:pageBreakBefore w:val="0"/>
              <w:widowControl w:val="0"/>
              <w:suppressLineNumbers w:val="0"/>
              <w:tabs>
                <w:tab w:val="left" w:pos="724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default" w:ascii="Times New Roman" w:hAnsi="Times New Roman" w:eastAsia="宋体" w:cs="Times New Roman"/>
                <w:b/>
                <w:bCs/>
                <w:color w:val="auto"/>
                <w:sz w:val="24"/>
                <w:szCs w:val="32"/>
                <w:highlight w:val="none"/>
                <w:lang w:val="en-US" w:eastAsia="zh-CN"/>
              </w:rPr>
            </w:pPr>
            <w:bookmarkStart w:id="12" w:name="_Toc29825"/>
            <w:r>
              <w:rPr>
                <w:rFonts w:hint="eastAsia" w:ascii="Times New Roman" w:hAnsi="Times New Roman" w:eastAsia="宋体" w:cs="Times New Roman"/>
                <w:b/>
                <w:bCs/>
                <w:color w:val="auto"/>
                <w:sz w:val="24"/>
                <w:szCs w:val="32"/>
                <w:highlight w:val="none"/>
                <w:lang w:val="en-US" w:eastAsia="zh-CN"/>
              </w:rPr>
              <w:t>废水污染物：</w:t>
            </w:r>
            <w:bookmarkEnd w:id="12"/>
            <w:r>
              <w:rPr>
                <w:rFonts w:hint="default" w:ascii="Times New Roman" w:hAnsi="Times New Roman" w:eastAsia="宋体" w:cs="Times New Roman"/>
                <w:b w:val="0"/>
                <w:bCs w:val="0"/>
                <w:snapToGrid w:val="0"/>
                <w:color w:val="auto"/>
                <w:kern w:val="0"/>
                <w:sz w:val="24"/>
                <w:highlight w:val="none"/>
                <w:lang w:val="en-US" w:eastAsia="zh-CN"/>
              </w:rPr>
              <w:t>（本项目）无；（全厂）废水量≤</w:t>
            </w:r>
            <w:r>
              <w:rPr>
                <w:rFonts w:hint="eastAsia" w:ascii="Times New Roman" w:hAnsi="Times New Roman" w:eastAsia="宋体" w:cs="Times New Roman"/>
                <w:b w:val="0"/>
                <w:bCs w:val="0"/>
                <w:snapToGrid w:val="0"/>
                <w:color w:val="auto"/>
                <w:kern w:val="0"/>
                <w:sz w:val="24"/>
                <w:highlight w:val="none"/>
                <w:lang w:val="en-US" w:eastAsia="zh-CN"/>
              </w:rPr>
              <w:t>138605.95</w:t>
            </w:r>
            <w:r>
              <w:rPr>
                <w:rFonts w:hint="default" w:ascii="Times New Roman" w:hAnsi="Times New Roman" w:eastAsia="宋体" w:cs="Times New Roman"/>
                <w:b w:val="0"/>
                <w:bCs w:val="0"/>
                <w:snapToGrid w:val="0"/>
                <w:color w:val="auto"/>
                <w:kern w:val="0"/>
                <w:sz w:val="24"/>
                <w:highlight w:val="none"/>
                <w:lang w:val="en-US" w:eastAsia="zh-CN"/>
              </w:rPr>
              <w:t>t/a、COD≤</w:t>
            </w:r>
            <w:r>
              <w:rPr>
                <w:rFonts w:hint="eastAsia" w:ascii="Times New Roman" w:hAnsi="Times New Roman" w:eastAsia="宋体" w:cs="Times New Roman"/>
                <w:b w:val="0"/>
                <w:bCs w:val="0"/>
                <w:snapToGrid w:val="0"/>
                <w:color w:val="auto"/>
                <w:kern w:val="0"/>
                <w:sz w:val="24"/>
                <w:highlight w:val="none"/>
                <w:lang w:val="en-US" w:eastAsia="zh-CN"/>
              </w:rPr>
              <w:t>16.1701</w:t>
            </w:r>
            <w:r>
              <w:rPr>
                <w:rFonts w:hint="default" w:ascii="Times New Roman" w:hAnsi="Times New Roman" w:eastAsia="宋体" w:cs="Times New Roman"/>
                <w:b w:val="0"/>
                <w:bCs w:val="0"/>
                <w:snapToGrid w:val="0"/>
                <w:color w:val="auto"/>
                <w:kern w:val="0"/>
                <w:sz w:val="24"/>
                <w:highlight w:val="none"/>
                <w:lang w:val="en-US" w:eastAsia="zh-CN"/>
              </w:rPr>
              <w:t>t/a、SS≤</w:t>
            </w:r>
            <w:r>
              <w:rPr>
                <w:rFonts w:hint="eastAsia" w:ascii="Times New Roman" w:hAnsi="Times New Roman" w:eastAsia="宋体" w:cs="Times New Roman"/>
                <w:b w:val="0"/>
                <w:bCs w:val="0"/>
                <w:snapToGrid w:val="0"/>
                <w:color w:val="auto"/>
                <w:kern w:val="0"/>
                <w:sz w:val="24"/>
                <w:highlight w:val="none"/>
                <w:lang w:val="en-US" w:eastAsia="zh-CN"/>
              </w:rPr>
              <w:t>14.1961</w:t>
            </w:r>
            <w:r>
              <w:rPr>
                <w:rFonts w:hint="default" w:ascii="Times New Roman" w:hAnsi="Times New Roman" w:eastAsia="宋体" w:cs="Times New Roman"/>
                <w:b w:val="0"/>
                <w:bCs w:val="0"/>
                <w:snapToGrid w:val="0"/>
                <w:color w:val="auto"/>
                <w:kern w:val="0"/>
                <w:sz w:val="24"/>
                <w:highlight w:val="none"/>
                <w:lang w:val="en-US" w:eastAsia="zh-CN"/>
              </w:rPr>
              <w:t>t/a、氨氮</w:t>
            </w:r>
            <w:r>
              <w:rPr>
                <w:rFonts w:hint="eastAsia" w:cs="Times New Roman"/>
                <w:b w:val="0"/>
                <w:bCs w:val="0"/>
                <w:snapToGrid w:val="0"/>
                <w:color w:val="auto"/>
                <w:kern w:val="0"/>
                <w:sz w:val="24"/>
                <w:highlight w:val="none"/>
                <w:lang w:val="en-US" w:eastAsia="zh-CN"/>
              </w:rPr>
              <w:t>（生活）</w:t>
            </w:r>
            <w:r>
              <w:rPr>
                <w:rFonts w:hint="default" w:ascii="Times New Roman" w:hAnsi="Times New Roman" w:eastAsia="宋体" w:cs="Times New Roman"/>
                <w:b w:val="0"/>
                <w:bCs w:val="0"/>
                <w:snapToGrid w:val="0"/>
                <w:color w:val="auto"/>
                <w:kern w:val="0"/>
                <w:sz w:val="24"/>
                <w:highlight w:val="none"/>
                <w:lang w:val="en-US" w:eastAsia="zh-CN"/>
              </w:rPr>
              <w:t>≤</w:t>
            </w:r>
            <w:r>
              <w:rPr>
                <w:rFonts w:hint="eastAsia" w:ascii="Times New Roman" w:hAnsi="Times New Roman" w:eastAsia="宋体" w:cs="Times New Roman"/>
                <w:b w:val="0"/>
                <w:bCs w:val="0"/>
                <w:snapToGrid w:val="0"/>
                <w:color w:val="auto"/>
                <w:kern w:val="0"/>
                <w:sz w:val="24"/>
                <w:highlight w:val="none"/>
                <w:lang w:val="en-US" w:eastAsia="zh-CN"/>
              </w:rPr>
              <w:t>1.176</w:t>
            </w:r>
            <w:r>
              <w:rPr>
                <w:rFonts w:hint="default" w:ascii="Times New Roman" w:hAnsi="Times New Roman" w:eastAsia="宋体" w:cs="Times New Roman"/>
                <w:b w:val="0"/>
                <w:bCs w:val="0"/>
                <w:snapToGrid w:val="0"/>
                <w:color w:val="auto"/>
                <w:kern w:val="0"/>
                <w:sz w:val="24"/>
                <w:highlight w:val="none"/>
                <w:lang w:val="en-US" w:eastAsia="zh-CN"/>
              </w:rPr>
              <w:t>t/a、总氮</w:t>
            </w:r>
            <w:r>
              <w:rPr>
                <w:rFonts w:hint="eastAsia" w:cs="Times New Roman"/>
                <w:b w:val="0"/>
                <w:bCs w:val="0"/>
                <w:snapToGrid w:val="0"/>
                <w:color w:val="auto"/>
                <w:kern w:val="0"/>
                <w:sz w:val="24"/>
                <w:highlight w:val="none"/>
                <w:lang w:val="en-US" w:eastAsia="zh-CN"/>
              </w:rPr>
              <w:t>（生活）</w:t>
            </w:r>
            <w:r>
              <w:rPr>
                <w:rFonts w:hint="default" w:ascii="Times New Roman" w:hAnsi="Times New Roman" w:eastAsia="宋体" w:cs="Times New Roman"/>
                <w:b w:val="0"/>
                <w:bCs w:val="0"/>
                <w:snapToGrid w:val="0"/>
                <w:color w:val="auto"/>
                <w:kern w:val="0"/>
                <w:sz w:val="24"/>
                <w:highlight w:val="none"/>
                <w:lang w:val="en-US" w:eastAsia="zh-CN"/>
              </w:rPr>
              <w:t>≤</w:t>
            </w:r>
            <w:r>
              <w:rPr>
                <w:rFonts w:hint="eastAsia" w:ascii="Times New Roman" w:hAnsi="Times New Roman" w:eastAsia="宋体" w:cs="Times New Roman"/>
                <w:b w:val="0"/>
                <w:bCs w:val="0"/>
                <w:snapToGrid w:val="0"/>
                <w:color w:val="auto"/>
                <w:kern w:val="0"/>
                <w:sz w:val="24"/>
                <w:highlight w:val="none"/>
                <w:lang w:val="en-US" w:eastAsia="zh-CN"/>
              </w:rPr>
              <w:t>1.512</w:t>
            </w:r>
            <w:r>
              <w:rPr>
                <w:rFonts w:hint="default" w:ascii="Times New Roman" w:hAnsi="Times New Roman" w:eastAsia="宋体" w:cs="Times New Roman"/>
                <w:b w:val="0"/>
                <w:bCs w:val="0"/>
                <w:snapToGrid w:val="0"/>
                <w:color w:val="auto"/>
                <w:kern w:val="0"/>
                <w:sz w:val="24"/>
                <w:highlight w:val="none"/>
                <w:lang w:val="en-US" w:eastAsia="zh-CN"/>
              </w:rPr>
              <w:t>t/a，总磷</w:t>
            </w:r>
            <w:r>
              <w:rPr>
                <w:rFonts w:hint="eastAsia" w:cs="Times New Roman"/>
                <w:b w:val="0"/>
                <w:bCs w:val="0"/>
                <w:snapToGrid w:val="0"/>
                <w:color w:val="auto"/>
                <w:kern w:val="0"/>
                <w:sz w:val="24"/>
                <w:highlight w:val="none"/>
                <w:lang w:val="en-US" w:eastAsia="zh-CN"/>
              </w:rPr>
              <w:t>（生活）</w:t>
            </w:r>
            <w:r>
              <w:rPr>
                <w:rFonts w:hint="default" w:ascii="Times New Roman" w:hAnsi="Times New Roman" w:eastAsia="宋体" w:cs="Times New Roman"/>
                <w:b w:val="0"/>
                <w:bCs w:val="0"/>
                <w:snapToGrid w:val="0"/>
                <w:color w:val="auto"/>
                <w:kern w:val="0"/>
                <w:sz w:val="24"/>
                <w:highlight w:val="none"/>
                <w:lang w:val="en-US" w:eastAsia="zh-CN"/>
              </w:rPr>
              <w:t>≤</w:t>
            </w:r>
            <w:r>
              <w:rPr>
                <w:rFonts w:hint="eastAsia" w:ascii="Times New Roman" w:hAnsi="Times New Roman" w:eastAsia="宋体" w:cs="Times New Roman"/>
                <w:b w:val="0"/>
                <w:bCs w:val="0"/>
                <w:snapToGrid w:val="0"/>
                <w:color w:val="auto"/>
                <w:kern w:val="0"/>
                <w:sz w:val="24"/>
                <w:highlight w:val="none"/>
                <w:lang w:val="en-US" w:eastAsia="zh-CN"/>
              </w:rPr>
              <w:t>0.168</w:t>
            </w:r>
            <w:r>
              <w:rPr>
                <w:rFonts w:hint="default" w:ascii="Times New Roman" w:hAnsi="Times New Roman" w:eastAsia="宋体" w:cs="Times New Roman"/>
                <w:b w:val="0"/>
                <w:bCs w:val="0"/>
                <w:snapToGrid w:val="0"/>
                <w:color w:val="auto"/>
                <w:kern w:val="0"/>
                <w:sz w:val="24"/>
                <w:highlight w:val="none"/>
                <w:lang w:val="en-US" w:eastAsia="zh-CN"/>
              </w:rPr>
              <w:t>t/a</w:t>
            </w:r>
            <w:r>
              <w:rPr>
                <w:rFonts w:hint="eastAsia" w:ascii="Times New Roman" w:hAnsi="Times New Roman" w:eastAsia="宋体" w:cs="Times New Roman"/>
                <w:b w:val="0"/>
                <w:bCs w:val="0"/>
                <w:snapToGrid w:val="0"/>
                <w:color w:val="auto"/>
                <w:kern w:val="0"/>
                <w:sz w:val="24"/>
                <w:highlight w:val="none"/>
                <w:lang w:val="en-US" w:eastAsia="zh-CN"/>
              </w:rPr>
              <w:t>，动植物油</w:t>
            </w:r>
            <w:r>
              <w:rPr>
                <w:rFonts w:hint="default" w:ascii="Times New Roman" w:hAnsi="Times New Roman" w:eastAsia="宋体" w:cs="Times New Roman"/>
                <w:b w:val="0"/>
                <w:bCs w:val="0"/>
                <w:snapToGrid w:val="0"/>
                <w:color w:val="auto"/>
                <w:kern w:val="0"/>
                <w:sz w:val="24"/>
                <w:highlight w:val="none"/>
                <w:lang w:val="en-US" w:eastAsia="zh-CN"/>
              </w:rPr>
              <w:t>（生活）≤</w:t>
            </w:r>
            <w:r>
              <w:rPr>
                <w:rFonts w:hint="eastAsia" w:ascii="Times New Roman" w:hAnsi="Times New Roman" w:eastAsia="宋体" w:cs="Times New Roman"/>
                <w:b w:val="0"/>
                <w:bCs w:val="0"/>
                <w:snapToGrid w:val="0"/>
                <w:color w:val="auto"/>
                <w:kern w:val="0"/>
                <w:sz w:val="24"/>
                <w:highlight w:val="none"/>
                <w:lang w:val="en-US" w:eastAsia="zh-CN"/>
              </w:rPr>
              <w:t>0.768</w:t>
            </w:r>
            <w:r>
              <w:rPr>
                <w:rFonts w:hint="default" w:ascii="Times New Roman" w:hAnsi="Times New Roman" w:eastAsia="宋体" w:cs="Times New Roman"/>
                <w:b w:val="0"/>
                <w:bCs w:val="0"/>
                <w:snapToGrid w:val="0"/>
                <w:color w:val="auto"/>
                <w:kern w:val="0"/>
                <w:sz w:val="24"/>
                <w:highlight w:val="none"/>
                <w:lang w:val="en-US" w:eastAsia="zh-CN"/>
              </w:rPr>
              <w:t>t/a。</w:t>
            </w:r>
          </w:p>
          <w:p w14:paraId="56D2EDE4">
            <w:pPr>
              <w:keepNext w:val="0"/>
              <w:keepLines w:val="0"/>
              <w:pageBreakBefore w:val="0"/>
              <w:widowControl w:val="0"/>
              <w:suppressLineNumbers w:val="0"/>
              <w:tabs>
                <w:tab w:val="left" w:pos="7245"/>
              </w:tabs>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0"/>
              <w:rPr>
                <w:rFonts w:hint="default" w:ascii="Times New Roman" w:hAnsi="Times New Roman" w:eastAsia="宋体" w:cs="Times New Roman"/>
                <w:color w:val="auto"/>
                <w:sz w:val="24"/>
                <w:szCs w:val="32"/>
                <w:highlight w:val="none"/>
              </w:rPr>
            </w:pPr>
            <w:bookmarkStart w:id="13" w:name="_Toc19402"/>
            <w:r>
              <w:rPr>
                <w:rFonts w:hint="default" w:ascii="Times New Roman" w:hAnsi="Times New Roman" w:eastAsia="宋体" w:cs="Times New Roman"/>
                <w:b/>
                <w:bCs/>
                <w:color w:val="auto"/>
                <w:sz w:val="24"/>
                <w:szCs w:val="32"/>
                <w:highlight w:val="none"/>
              </w:rPr>
              <w:t>固体废物：</w:t>
            </w:r>
            <w:r>
              <w:rPr>
                <w:rFonts w:hint="default" w:ascii="Times New Roman" w:hAnsi="Times New Roman" w:eastAsia="宋体" w:cs="Times New Roman"/>
                <w:color w:val="auto"/>
                <w:sz w:val="24"/>
                <w:szCs w:val="32"/>
                <w:highlight w:val="none"/>
              </w:rPr>
              <w:t>全部综合利用或安全处置。</w:t>
            </w:r>
            <w:bookmarkEnd w:id="13"/>
          </w:p>
          <w:p w14:paraId="3313F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w:t>
            </w:r>
            <w:r>
              <w:rPr>
                <w:rFonts w:hint="eastAsia" w:cs="Times New Roman"/>
                <w:color w:val="auto"/>
                <w:sz w:val="24"/>
                <w:szCs w:val="32"/>
                <w:highlight w:val="none"/>
                <w:lang w:val="en-US" w:eastAsia="zh-CN"/>
              </w:rPr>
              <w:t>非甲烷总烃、颗粒物</w:t>
            </w:r>
            <w:r>
              <w:rPr>
                <w:rFonts w:hint="default" w:ascii="Times New Roman" w:hAnsi="Times New Roman" w:eastAsia="宋体" w:cs="Times New Roman"/>
                <w:color w:val="auto"/>
                <w:sz w:val="24"/>
                <w:szCs w:val="32"/>
                <w:highlight w:val="none"/>
              </w:rPr>
              <w:t>的排放总量在新吴区内平衡；</w:t>
            </w:r>
          </w:p>
          <w:p w14:paraId="5ACAA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highlight w:val="none"/>
              </w:rPr>
            </w:pPr>
            <w:r>
              <w:rPr>
                <w:rFonts w:hint="eastAsia" w:cs="Times New Roman"/>
                <w:color w:val="auto"/>
                <w:sz w:val="24"/>
                <w:szCs w:val="32"/>
                <w:highlight w:val="none"/>
                <w:lang w:eastAsia="zh-CN"/>
              </w:rPr>
              <w:t>固体废物</w:t>
            </w:r>
            <w:r>
              <w:rPr>
                <w:rFonts w:hint="default" w:ascii="Times New Roman" w:hAnsi="Times New Roman" w:eastAsia="宋体" w:cs="Times New Roman"/>
                <w:color w:val="auto"/>
                <w:sz w:val="24"/>
                <w:szCs w:val="32"/>
                <w:highlight w:val="none"/>
              </w:rPr>
              <w:t>零排放。</w:t>
            </w:r>
          </w:p>
          <w:p w14:paraId="1733B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本项目为</w:t>
            </w:r>
            <w:r>
              <w:rPr>
                <w:rFonts w:hint="default" w:ascii="Times New Roman" w:hAnsi="Times New Roman" w:eastAsia="宋体" w:cs="Times New Roman"/>
                <w:color w:val="auto"/>
                <w:sz w:val="24"/>
                <w:szCs w:val="32"/>
                <w:highlight w:val="none"/>
                <w:lang w:val="en-US" w:eastAsia="zh-CN"/>
              </w:rPr>
              <w:t>年产一亿个口腔隐形正畸产品的3D打印后处理工艺技术升级改造项目</w:t>
            </w:r>
            <w:r>
              <w:rPr>
                <w:rFonts w:hint="default" w:ascii="Times New Roman" w:hAnsi="Times New Roman" w:eastAsia="宋体" w:cs="Times New Roman"/>
                <w:color w:val="auto"/>
                <w:sz w:val="24"/>
                <w:szCs w:val="32"/>
                <w:highlight w:val="none"/>
              </w:rPr>
              <w:t>，位于</w:t>
            </w:r>
            <w:r>
              <w:rPr>
                <w:rFonts w:hint="default" w:ascii="Times New Roman" w:hAnsi="Times New Roman" w:eastAsia="宋体" w:cs="Times New Roman"/>
                <w:color w:val="auto"/>
                <w:sz w:val="24"/>
                <w:highlight w:val="none"/>
              </w:rPr>
              <w:t>新吴区</w:t>
            </w:r>
            <w:r>
              <w:rPr>
                <w:rFonts w:hint="default" w:ascii="Times New Roman" w:hAnsi="Times New Roman" w:eastAsia="宋体" w:cs="Times New Roman"/>
                <w:color w:val="auto"/>
                <w:sz w:val="24"/>
                <w:highlight w:val="none"/>
                <w:lang w:val="en-US" w:eastAsia="zh-CN"/>
              </w:rPr>
              <w:t>观山路36号</w:t>
            </w:r>
            <w:r>
              <w:rPr>
                <w:rFonts w:hint="default" w:ascii="Times New Roman" w:hAnsi="Times New Roman" w:eastAsia="宋体" w:cs="Times New Roman"/>
                <w:color w:val="auto"/>
                <w:sz w:val="24"/>
                <w:szCs w:val="32"/>
                <w:highlight w:val="none"/>
              </w:rPr>
              <w:t>，符合国家及地方产业政策，选址符合用地规划要求，符合“三线一单”要求；项目生产过程中产生的污染在采取有效的治理措施之后，对周围环境影响较小。因此，从环保的角度出发，该项目在坚持“三同时”原则并按照本报告中提出的各项环保措施治理后是可行的。</w:t>
            </w:r>
          </w:p>
          <w:p w14:paraId="337EE864">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rPr>
            </w:pPr>
          </w:p>
          <w:p w14:paraId="2802564B">
            <w:pPr>
              <w:pStyle w:val="11"/>
              <w:keepNext w:val="0"/>
              <w:keepLines w:val="0"/>
              <w:suppressLineNumbers w:val="0"/>
              <w:spacing w:beforeAutospacing="0" w:afterAutospacing="0"/>
              <w:ind w:left="0"/>
              <w:rPr>
                <w:rFonts w:hint="default" w:ascii="Times New Roman" w:hAnsi="Times New Roman" w:eastAsia="宋体" w:cs="Times New Roman"/>
                <w:color w:val="auto"/>
                <w:highlight w:val="none"/>
              </w:rPr>
            </w:pPr>
          </w:p>
          <w:p w14:paraId="197E0C88">
            <w:pPr>
              <w:pStyle w:val="12"/>
              <w:keepNext w:val="0"/>
              <w:keepLines w:val="0"/>
              <w:numPr>
                <w:ilvl w:val="0"/>
                <w:numId w:val="0"/>
              </w:numPr>
              <w:suppressLineNumbers w:val="0"/>
              <w:spacing w:before="0" w:beforeAutospacing="0" w:after="0" w:afterAutospacing="0"/>
              <w:ind w:left="360" w:right="0" w:hanging="360"/>
              <w:rPr>
                <w:rFonts w:hint="default" w:ascii="Times New Roman" w:hAnsi="Times New Roman" w:eastAsia="宋体" w:cs="Times New Roman"/>
                <w:color w:val="auto"/>
                <w:highlight w:val="none"/>
              </w:rPr>
            </w:pPr>
          </w:p>
          <w:p w14:paraId="06F9033D">
            <w:pPr>
              <w:pStyle w:val="12"/>
              <w:keepNext w:val="0"/>
              <w:keepLines w:val="0"/>
              <w:numPr>
                <w:ilvl w:val="0"/>
                <w:numId w:val="0"/>
              </w:numPr>
              <w:suppressLineNumbers w:val="0"/>
              <w:spacing w:before="0" w:beforeAutospacing="0" w:after="0" w:afterAutospacing="0"/>
              <w:ind w:left="360" w:right="0" w:hanging="360"/>
              <w:rPr>
                <w:rFonts w:hint="default" w:ascii="Times New Roman" w:hAnsi="Times New Roman" w:eastAsia="宋体" w:cs="Times New Roman"/>
                <w:color w:val="auto"/>
                <w:highlight w:val="none"/>
              </w:rPr>
            </w:pPr>
          </w:p>
          <w:p w14:paraId="65DCD310">
            <w:pPr>
              <w:pStyle w:val="12"/>
              <w:keepNext w:val="0"/>
              <w:keepLines w:val="0"/>
              <w:numPr>
                <w:ilvl w:val="0"/>
                <w:numId w:val="0"/>
              </w:numPr>
              <w:suppressLineNumbers w:val="0"/>
              <w:spacing w:before="0" w:beforeAutospacing="0" w:after="0" w:afterAutospacing="0"/>
              <w:ind w:left="360" w:right="0" w:hanging="360"/>
              <w:rPr>
                <w:rFonts w:hint="default" w:ascii="Times New Roman" w:hAnsi="Times New Roman" w:eastAsia="宋体" w:cs="Times New Roman"/>
                <w:color w:val="auto"/>
                <w:highlight w:val="none"/>
              </w:rPr>
            </w:pPr>
          </w:p>
          <w:p w14:paraId="7A6D3FBB">
            <w:pPr>
              <w:pStyle w:val="15"/>
              <w:keepNext w:val="0"/>
              <w:keepLines w:val="0"/>
              <w:suppressLineNumbers w:val="0"/>
              <w:spacing w:before="0" w:beforeAutospacing="0" w:afterAutospacing="0"/>
              <w:ind w:right="0"/>
              <w:rPr>
                <w:rFonts w:hint="default" w:ascii="Times New Roman" w:hAnsi="Times New Roman" w:eastAsia="宋体" w:cs="Times New Roman"/>
                <w:color w:val="auto"/>
                <w:highlight w:val="none"/>
              </w:rPr>
            </w:pPr>
          </w:p>
          <w:p w14:paraId="40975DCE">
            <w:pPr>
              <w:pStyle w:val="16"/>
              <w:keepNext w:val="0"/>
              <w:keepLines w:val="0"/>
              <w:suppressLineNumbers w:val="0"/>
              <w:spacing w:beforeAutospacing="0" w:afterAutospacing="0"/>
              <w:ind w:left="0" w:firstLine="0" w:firstLineChars="0"/>
              <w:rPr>
                <w:rFonts w:hint="default" w:ascii="Times New Roman" w:hAnsi="Times New Roman" w:eastAsia="宋体" w:cs="Times New Roman"/>
                <w:color w:val="auto"/>
                <w:highlight w:val="none"/>
              </w:rPr>
            </w:pPr>
          </w:p>
          <w:p w14:paraId="412165F3">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14:paraId="61D26108">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14:paraId="2643208B">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14:paraId="59810E43">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14:paraId="17188AA4">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14:paraId="09D0F4E7">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14:paraId="09720979">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14:paraId="2F841864">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p w14:paraId="02E9B068">
            <w:pPr>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rPr>
            </w:pPr>
          </w:p>
        </w:tc>
      </w:tr>
    </w:tbl>
    <w:p w14:paraId="1222246B">
      <w:pPr>
        <w:rPr>
          <w:rFonts w:ascii="Times New Roman" w:hAnsi="Times New Roman" w:eastAsia="宋体"/>
          <w:color w:val="auto"/>
          <w:highlight w:val="none"/>
        </w:rPr>
      </w:pPr>
      <w:r>
        <w:rPr>
          <w:rFonts w:ascii="Times New Roman" w:hAnsi="Times New Roman" w:eastAsia="宋体"/>
          <w:color w:val="auto"/>
          <w:highlight w:val="none"/>
        </w:rPr>
        <w:br w:type="page"/>
      </w:r>
    </w:p>
    <w:p w14:paraId="1052BDF3">
      <w:pPr>
        <w:pStyle w:val="12"/>
        <w:numPr>
          <w:ilvl w:val="0"/>
          <w:numId w:val="0"/>
        </w:numPr>
        <w:rPr>
          <w:rFonts w:ascii="Times New Roman" w:hAnsi="Times New Roman" w:eastAsia="宋体"/>
          <w:color w:val="auto"/>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docGrid w:type="lines" w:linePitch="319" w:charSpace="0"/>
        </w:sectPr>
      </w:pPr>
    </w:p>
    <w:p w14:paraId="3EDCBC4B">
      <w:pPr>
        <w:pStyle w:val="2"/>
        <w:spacing w:before="159" w:after="159"/>
        <w:jc w:val="both"/>
        <w:rPr>
          <w:rFonts w:ascii="Times New Roman" w:hAnsi="Times New Roman" w:eastAsia="宋体"/>
          <w:snapToGrid w:val="0"/>
          <w:color w:val="auto"/>
          <w:sz w:val="32"/>
          <w:szCs w:val="32"/>
          <w:highlight w:val="none"/>
        </w:rPr>
      </w:pPr>
      <w:bookmarkStart w:id="14" w:name="_Toc6049"/>
      <w:bookmarkStart w:id="15" w:name="_Toc18202"/>
      <w:bookmarkStart w:id="16" w:name="_Toc30968"/>
      <w:bookmarkStart w:id="17" w:name="_Toc31218"/>
      <w:bookmarkStart w:id="18" w:name="_Toc14761"/>
      <w:r>
        <w:rPr>
          <w:rFonts w:ascii="Times New Roman" w:hAnsi="Times New Roman" w:eastAsia="宋体"/>
          <w:snapToGrid w:val="0"/>
          <w:color w:val="auto"/>
          <w:szCs w:val="30"/>
          <w:highlight w:val="none"/>
        </w:rPr>
        <w:t>附表</w:t>
      </w:r>
      <w:bookmarkEnd w:id="14"/>
      <w:bookmarkEnd w:id="15"/>
      <w:bookmarkEnd w:id="16"/>
      <w:bookmarkEnd w:id="17"/>
      <w:bookmarkEnd w:id="18"/>
    </w:p>
    <w:p w14:paraId="7925F8B6">
      <w:pPr>
        <w:jc w:val="center"/>
        <w:rPr>
          <w:rFonts w:ascii="Times New Roman" w:hAnsi="Times New Roman" w:eastAsia="宋体"/>
          <w:b/>
          <w:bCs/>
          <w:color w:val="auto"/>
          <w:sz w:val="38"/>
          <w:szCs w:val="38"/>
          <w:highlight w:val="none"/>
        </w:rPr>
      </w:pPr>
      <w:r>
        <w:rPr>
          <w:rFonts w:ascii="Times New Roman" w:hAnsi="Times New Roman" w:eastAsia="宋体"/>
          <w:b/>
          <w:bCs/>
          <w:color w:val="auto"/>
          <w:sz w:val="38"/>
          <w:szCs w:val="38"/>
          <w:highlight w:val="none"/>
        </w:rPr>
        <w:t>建设项目污染物排放量汇总表</w:t>
      </w:r>
    </w:p>
    <w:tbl>
      <w:tblPr>
        <w:tblStyle w:val="24"/>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7"/>
        <w:gridCol w:w="785"/>
        <w:gridCol w:w="1130"/>
        <w:gridCol w:w="1222"/>
        <w:gridCol w:w="1487"/>
        <w:gridCol w:w="1319"/>
        <w:gridCol w:w="1276"/>
        <w:gridCol w:w="1485"/>
        <w:gridCol w:w="1575"/>
        <w:gridCol w:w="1785"/>
        <w:gridCol w:w="1307"/>
      </w:tblGrid>
      <w:tr w14:paraId="4AF56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83" w:hRule="atLeast"/>
        </w:trPr>
        <w:tc>
          <w:tcPr>
            <w:tcW w:w="1202" w:type="dxa"/>
            <w:gridSpan w:val="2"/>
            <w:tcBorders>
              <w:tl2br w:val="single" w:color="auto" w:sz="4" w:space="0"/>
            </w:tcBorders>
            <w:tcMar>
              <w:left w:w="28" w:type="dxa"/>
              <w:right w:w="28" w:type="dxa"/>
            </w:tcMar>
            <w:vAlign w:val="center"/>
          </w:tcPr>
          <w:p w14:paraId="3D72F13B">
            <w:pPr>
              <w:pStyle w:val="41"/>
              <w:keepNext w:val="0"/>
              <w:keepLines w:val="0"/>
              <w:suppressLineNumbers w:val="0"/>
              <w:spacing w:before="0" w:beforeAutospacing="0" w:after="0" w:afterAutospacing="0"/>
              <w:ind w:left="0" w:right="0"/>
              <w:jc w:val="righ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14:paraId="117D0606">
            <w:pPr>
              <w:pStyle w:val="41"/>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2352" w:type="dxa"/>
            <w:gridSpan w:val="2"/>
            <w:tcMar>
              <w:left w:w="28" w:type="dxa"/>
              <w:right w:w="28" w:type="dxa"/>
            </w:tcMar>
            <w:vAlign w:val="center"/>
          </w:tcPr>
          <w:p w14:paraId="3087274E">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487" w:type="dxa"/>
            <w:tcMar>
              <w:left w:w="28" w:type="dxa"/>
              <w:right w:w="28" w:type="dxa"/>
            </w:tcMar>
            <w:vAlign w:val="center"/>
          </w:tcPr>
          <w:p w14:paraId="7A22FFBE">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4A7DDA42">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319" w:type="dxa"/>
            <w:tcMar>
              <w:left w:w="28" w:type="dxa"/>
              <w:right w:w="28" w:type="dxa"/>
            </w:tcMar>
            <w:vAlign w:val="center"/>
          </w:tcPr>
          <w:p w14:paraId="2FC0E6FC">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2E7680D2">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p>
          <w:p w14:paraId="4C187192">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276" w:type="dxa"/>
            <w:tcMar>
              <w:left w:w="28" w:type="dxa"/>
              <w:right w:w="28" w:type="dxa"/>
            </w:tcMar>
            <w:vAlign w:val="center"/>
          </w:tcPr>
          <w:p w14:paraId="35BDFC6D">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14:paraId="490460A7">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485" w:type="dxa"/>
            <w:tcMar>
              <w:left w:w="28" w:type="dxa"/>
              <w:right w:w="28" w:type="dxa"/>
            </w:tcMar>
            <w:vAlign w:val="center"/>
          </w:tcPr>
          <w:p w14:paraId="04F2678F">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14:paraId="65A30EBC">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575" w:type="dxa"/>
            <w:tcMar>
              <w:left w:w="28" w:type="dxa"/>
              <w:right w:w="28" w:type="dxa"/>
            </w:tcMar>
            <w:vAlign w:val="center"/>
          </w:tcPr>
          <w:p w14:paraId="688613D8">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以新带老削减量</w:t>
            </w:r>
          </w:p>
          <w:p w14:paraId="7CFD9B28">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（新建项目不填）</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⑤</w:t>
            </w:r>
            <w:r>
              <w:rPr>
                <w:rFonts w:hint="default" w:ascii="Times New Roman" w:hAnsi="Times New Roman" w:eastAsia="宋体" w:cs="Times New Roman"/>
                <w:snapToGrid w:val="0"/>
                <w:color w:val="auto"/>
                <w:spacing w:val="-6"/>
                <w:kern w:val="21"/>
                <w:sz w:val="21"/>
                <w:szCs w:val="21"/>
                <w:highlight w:val="none"/>
              </w:rPr>
              <w:fldChar w:fldCharType="end"/>
            </w:r>
          </w:p>
        </w:tc>
        <w:tc>
          <w:tcPr>
            <w:tcW w:w="1785" w:type="dxa"/>
            <w:tcMar>
              <w:left w:w="28" w:type="dxa"/>
              <w:right w:w="28" w:type="dxa"/>
            </w:tcMar>
            <w:vAlign w:val="center"/>
          </w:tcPr>
          <w:p w14:paraId="5334580D">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本项目建成后</w:t>
            </w:r>
          </w:p>
          <w:p w14:paraId="75A08B88">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全厂排放量（固体废物产生量）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⑥</w:t>
            </w:r>
            <w:r>
              <w:rPr>
                <w:rFonts w:hint="default" w:ascii="Times New Roman" w:hAnsi="Times New Roman" w:eastAsia="宋体" w:cs="Times New Roman"/>
                <w:snapToGrid w:val="0"/>
                <w:color w:val="auto"/>
                <w:spacing w:val="-6"/>
                <w:kern w:val="21"/>
                <w:sz w:val="21"/>
                <w:szCs w:val="21"/>
                <w:highlight w:val="none"/>
              </w:rPr>
              <w:fldChar w:fldCharType="end"/>
            </w:r>
          </w:p>
        </w:tc>
        <w:tc>
          <w:tcPr>
            <w:tcW w:w="1307" w:type="dxa"/>
            <w:tcMar>
              <w:left w:w="28" w:type="dxa"/>
              <w:right w:w="28" w:type="dxa"/>
            </w:tcMar>
            <w:vAlign w:val="center"/>
          </w:tcPr>
          <w:p w14:paraId="471C5329">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14:paraId="429ACC05">
            <w:pPr>
              <w:pStyle w:val="41"/>
              <w:keepNext w:val="0"/>
              <w:keepLines w:val="0"/>
              <w:suppressLineNumbers w:val="0"/>
              <w:spacing w:before="0" w:beforeAutospacing="0" w:after="0" w:afterAutospacing="0"/>
              <w:ind w:left="0" w:right="0"/>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14:paraId="2F1C2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restart"/>
            <w:vAlign w:val="center"/>
          </w:tcPr>
          <w:p w14:paraId="609ACE5A">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废气</w:t>
            </w:r>
          </w:p>
        </w:tc>
        <w:tc>
          <w:tcPr>
            <w:tcW w:w="785" w:type="dxa"/>
            <w:vMerge w:val="restart"/>
            <w:vAlign w:val="center"/>
          </w:tcPr>
          <w:p w14:paraId="11DB2BD0">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有组织</w:t>
            </w:r>
          </w:p>
        </w:tc>
        <w:tc>
          <w:tcPr>
            <w:tcW w:w="2352" w:type="dxa"/>
            <w:gridSpan w:val="2"/>
            <w:vAlign w:val="center"/>
          </w:tcPr>
          <w:p w14:paraId="07954D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非甲烷总烃</w:t>
            </w:r>
          </w:p>
        </w:tc>
        <w:tc>
          <w:tcPr>
            <w:tcW w:w="1487" w:type="dxa"/>
            <w:vAlign w:val="center"/>
          </w:tcPr>
          <w:p w14:paraId="3339D8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rPr>
              <w:t>0</w:t>
            </w:r>
            <w:r>
              <w:rPr>
                <w:rFonts w:hint="eastAsia" w:ascii="Times New Roman" w:hAnsi="Times New Roman" w:eastAsia="宋体" w:cs="Times New Roman"/>
                <w:b w:val="0"/>
                <w:bCs w:val="0"/>
                <w:snapToGrid w:val="0"/>
                <w:color w:val="auto"/>
                <w:kern w:val="21"/>
                <w:szCs w:val="21"/>
                <w:highlight w:val="none"/>
                <w:lang w:val="en-US" w:eastAsia="zh-CN"/>
              </w:rPr>
              <w:t>.3949</w:t>
            </w:r>
          </w:p>
        </w:tc>
        <w:tc>
          <w:tcPr>
            <w:tcW w:w="1319" w:type="dxa"/>
            <w:vAlign w:val="center"/>
          </w:tcPr>
          <w:p w14:paraId="3FD145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default" w:ascii="Times New Roman" w:hAnsi="Times New Roman" w:eastAsia="宋体" w:cs="Times New Roman"/>
                <w:b w:val="0"/>
                <w:bCs w:val="0"/>
                <w:snapToGrid w:val="0"/>
                <w:color w:val="auto"/>
                <w:kern w:val="21"/>
                <w:szCs w:val="21"/>
                <w:highlight w:val="none"/>
              </w:rPr>
              <w:t>0</w:t>
            </w:r>
            <w:r>
              <w:rPr>
                <w:rFonts w:hint="eastAsia" w:ascii="Times New Roman" w:hAnsi="Times New Roman" w:eastAsia="宋体" w:cs="Times New Roman"/>
                <w:b w:val="0"/>
                <w:bCs w:val="0"/>
                <w:snapToGrid w:val="0"/>
                <w:color w:val="auto"/>
                <w:kern w:val="21"/>
                <w:szCs w:val="21"/>
                <w:highlight w:val="none"/>
                <w:lang w:val="en-US" w:eastAsia="zh-CN"/>
              </w:rPr>
              <w:t>.3949</w:t>
            </w:r>
          </w:p>
        </w:tc>
        <w:tc>
          <w:tcPr>
            <w:tcW w:w="1276" w:type="dxa"/>
            <w:vAlign w:val="center"/>
          </w:tcPr>
          <w:p w14:paraId="69C3E40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lang w:val="en-US"/>
              </w:rPr>
            </w:pPr>
            <w:r>
              <w:rPr>
                <w:rFonts w:hint="eastAsia" w:cs="Times New Roman"/>
                <w:b w:val="0"/>
                <w:bCs w:val="0"/>
                <w:snapToGrid w:val="0"/>
                <w:color w:val="auto"/>
                <w:kern w:val="21"/>
                <w:szCs w:val="21"/>
                <w:highlight w:val="none"/>
                <w:lang w:val="en-US" w:eastAsia="zh-CN"/>
              </w:rPr>
              <w:t>0</w:t>
            </w:r>
          </w:p>
        </w:tc>
        <w:tc>
          <w:tcPr>
            <w:tcW w:w="1485" w:type="dxa"/>
            <w:vAlign w:val="center"/>
          </w:tcPr>
          <w:p w14:paraId="28B4DF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0.1378</w:t>
            </w:r>
          </w:p>
        </w:tc>
        <w:tc>
          <w:tcPr>
            <w:tcW w:w="1575" w:type="dxa"/>
            <w:vAlign w:val="center"/>
          </w:tcPr>
          <w:p w14:paraId="4E0405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-0.0234</w:t>
            </w:r>
          </w:p>
        </w:tc>
        <w:tc>
          <w:tcPr>
            <w:tcW w:w="1785" w:type="dxa"/>
            <w:vAlign w:val="center"/>
          </w:tcPr>
          <w:p w14:paraId="04F89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0.5093</w:t>
            </w:r>
          </w:p>
        </w:tc>
        <w:tc>
          <w:tcPr>
            <w:tcW w:w="1307" w:type="dxa"/>
            <w:vAlign w:val="center"/>
          </w:tcPr>
          <w:p w14:paraId="3D0C9E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+0.1144</w:t>
            </w:r>
          </w:p>
        </w:tc>
      </w:tr>
      <w:tr w14:paraId="69974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187A2BC2">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785" w:type="dxa"/>
            <w:vMerge w:val="continue"/>
            <w:vAlign w:val="center"/>
          </w:tcPr>
          <w:p w14:paraId="634BA63E">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1130" w:type="dxa"/>
            <w:tcBorders>
              <w:right w:val="single" w:color="000000" w:sz="6" w:space="0"/>
            </w:tcBorders>
            <w:vAlign w:val="center"/>
          </w:tcPr>
          <w:p w14:paraId="53D79B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包含</w:t>
            </w:r>
          </w:p>
        </w:tc>
        <w:tc>
          <w:tcPr>
            <w:tcW w:w="1222" w:type="dxa"/>
            <w:tcBorders>
              <w:left w:val="single" w:color="000000" w:sz="6" w:space="0"/>
            </w:tcBorders>
            <w:vAlign w:val="center"/>
          </w:tcPr>
          <w:p w14:paraId="6AC0E6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Cs w:val="21"/>
                <w:highlight w:val="none"/>
                <w:lang w:val="en-US" w:eastAsia="zh-CN" w:bidi="ar"/>
              </w:rPr>
            </w:pPr>
            <w:r>
              <w:rPr>
                <w:rFonts w:hint="eastAsia" w:ascii="Times New Roman" w:hAnsi="Times New Roman" w:eastAsia="宋体" w:cs="Times New Roman"/>
                <w:b w:val="0"/>
                <w:bCs w:val="0"/>
                <w:color w:val="auto"/>
                <w:kern w:val="0"/>
                <w:szCs w:val="21"/>
                <w:highlight w:val="none"/>
                <w:lang w:val="en-US" w:eastAsia="zh-CN" w:bidi="ar"/>
              </w:rPr>
              <w:t>酚类</w:t>
            </w:r>
          </w:p>
        </w:tc>
        <w:tc>
          <w:tcPr>
            <w:tcW w:w="1487" w:type="dxa"/>
            <w:vAlign w:val="center"/>
          </w:tcPr>
          <w:p w14:paraId="65E63E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0.0032</w:t>
            </w:r>
          </w:p>
        </w:tc>
        <w:tc>
          <w:tcPr>
            <w:tcW w:w="1319" w:type="dxa"/>
            <w:vAlign w:val="center"/>
          </w:tcPr>
          <w:p w14:paraId="799F11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0.0032</w:t>
            </w:r>
          </w:p>
        </w:tc>
        <w:tc>
          <w:tcPr>
            <w:tcW w:w="1276" w:type="dxa"/>
            <w:vAlign w:val="center"/>
          </w:tcPr>
          <w:p w14:paraId="1BC24B0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85" w:type="dxa"/>
            <w:vAlign w:val="center"/>
          </w:tcPr>
          <w:p w14:paraId="6C8B9A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val="en-US" w:eastAsia="zh-CN"/>
              </w:rPr>
              <w:t>0.0032</w:t>
            </w:r>
          </w:p>
        </w:tc>
        <w:tc>
          <w:tcPr>
            <w:tcW w:w="1575" w:type="dxa"/>
            <w:vAlign w:val="center"/>
          </w:tcPr>
          <w:p w14:paraId="5D10BA2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68376F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0.0032</w:t>
            </w:r>
          </w:p>
        </w:tc>
        <w:tc>
          <w:tcPr>
            <w:tcW w:w="1307" w:type="dxa"/>
            <w:vAlign w:val="center"/>
          </w:tcPr>
          <w:p w14:paraId="40C0F5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w:t>
            </w:r>
          </w:p>
        </w:tc>
      </w:tr>
      <w:tr w14:paraId="26A6F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619A24F4">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785" w:type="dxa"/>
            <w:vMerge w:val="continue"/>
            <w:vAlign w:val="center"/>
          </w:tcPr>
          <w:p w14:paraId="2B0A245B">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096843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Cs w:val="21"/>
                <w:highlight w:val="none"/>
                <w:lang w:val="en-US" w:eastAsia="zh-CN" w:bidi="ar"/>
              </w:rPr>
            </w:pPr>
            <w:r>
              <w:rPr>
                <w:rFonts w:hint="eastAsia" w:ascii="Times New Roman" w:hAnsi="Times New Roman" w:eastAsia="宋体" w:cs="Times New Roman"/>
                <w:b w:val="0"/>
                <w:bCs w:val="0"/>
                <w:color w:val="auto"/>
                <w:kern w:val="0"/>
                <w:szCs w:val="21"/>
                <w:highlight w:val="none"/>
                <w:lang w:val="en-US" w:eastAsia="zh-CN" w:bidi="ar"/>
              </w:rPr>
              <w:t>氟化物</w:t>
            </w:r>
          </w:p>
        </w:tc>
        <w:tc>
          <w:tcPr>
            <w:tcW w:w="1487" w:type="dxa"/>
            <w:vAlign w:val="center"/>
          </w:tcPr>
          <w:p w14:paraId="305DD5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Cs w:val="21"/>
                <w:highlight w:val="none"/>
                <w:lang w:val="en-US" w:eastAsia="zh-CN" w:bidi="ar"/>
              </w:rPr>
            </w:pPr>
            <w:r>
              <w:rPr>
                <w:rFonts w:hint="eastAsia" w:ascii="Times New Roman" w:hAnsi="Times New Roman" w:eastAsia="宋体" w:cs="Times New Roman"/>
                <w:b w:val="0"/>
                <w:bCs w:val="0"/>
                <w:color w:val="auto"/>
                <w:szCs w:val="21"/>
                <w:highlight w:val="none"/>
                <w:lang w:val="en-US" w:eastAsia="zh-CN"/>
              </w:rPr>
              <w:t>0.0007</w:t>
            </w:r>
          </w:p>
        </w:tc>
        <w:tc>
          <w:tcPr>
            <w:tcW w:w="1319" w:type="dxa"/>
            <w:vAlign w:val="center"/>
          </w:tcPr>
          <w:p w14:paraId="1057E3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0.0007</w:t>
            </w:r>
          </w:p>
        </w:tc>
        <w:tc>
          <w:tcPr>
            <w:tcW w:w="1276" w:type="dxa"/>
            <w:vAlign w:val="center"/>
          </w:tcPr>
          <w:p w14:paraId="6970DB4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485" w:type="dxa"/>
            <w:vAlign w:val="center"/>
          </w:tcPr>
          <w:p w14:paraId="3C31BD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0.0007</w:t>
            </w:r>
          </w:p>
        </w:tc>
        <w:tc>
          <w:tcPr>
            <w:tcW w:w="1575" w:type="dxa"/>
            <w:vAlign w:val="center"/>
          </w:tcPr>
          <w:p w14:paraId="500E71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64C540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0.0007</w:t>
            </w:r>
          </w:p>
        </w:tc>
        <w:tc>
          <w:tcPr>
            <w:tcW w:w="1307" w:type="dxa"/>
            <w:vAlign w:val="center"/>
          </w:tcPr>
          <w:p w14:paraId="23E60D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w:t>
            </w:r>
          </w:p>
        </w:tc>
      </w:tr>
      <w:tr w14:paraId="51798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2CB675D0">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785" w:type="dxa"/>
            <w:vMerge w:val="continue"/>
            <w:vAlign w:val="center"/>
          </w:tcPr>
          <w:p w14:paraId="018BCE7C">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732AA9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kern w:val="0"/>
                <w:szCs w:val="21"/>
                <w:highlight w:val="none"/>
                <w:lang w:bidi="ar"/>
              </w:rPr>
              <w:t>氮氧化物</w:t>
            </w:r>
          </w:p>
        </w:tc>
        <w:tc>
          <w:tcPr>
            <w:tcW w:w="1487" w:type="dxa"/>
            <w:vAlign w:val="center"/>
          </w:tcPr>
          <w:p w14:paraId="790DAB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eastAsia" w:ascii="Times New Roman" w:hAnsi="Times New Roman" w:eastAsia="宋体" w:cs="Times New Roman"/>
                <w:b w:val="0"/>
                <w:bCs w:val="0"/>
                <w:color w:val="auto"/>
                <w:szCs w:val="21"/>
                <w:highlight w:val="none"/>
                <w:lang w:val="en-US" w:eastAsia="zh-CN"/>
              </w:rPr>
              <w:t>0.0136</w:t>
            </w:r>
          </w:p>
        </w:tc>
        <w:tc>
          <w:tcPr>
            <w:tcW w:w="1319" w:type="dxa"/>
            <w:vAlign w:val="center"/>
          </w:tcPr>
          <w:p w14:paraId="17FCF9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eastAsia" w:ascii="Times New Roman" w:hAnsi="Times New Roman" w:eastAsia="宋体" w:cs="Times New Roman"/>
                <w:b w:val="0"/>
                <w:bCs w:val="0"/>
                <w:color w:val="auto"/>
                <w:szCs w:val="21"/>
                <w:highlight w:val="none"/>
                <w:lang w:val="en-US" w:eastAsia="zh-CN"/>
              </w:rPr>
              <w:t>0.0136</w:t>
            </w:r>
          </w:p>
        </w:tc>
        <w:tc>
          <w:tcPr>
            <w:tcW w:w="1276" w:type="dxa"/>
            <w:vAlign w:val="center"/>
          </w:tcPr>
          <w:p w14:paraId="0CC635D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485" w:type="dxa"/>
            <w:vAlign w:val="center"/>
          </w:tcPr>
          <w:p w14:paraId="518B69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val="en-US" w:eastAsia="zh-CN"/>
              </w:rPr>
              <w:t>0.0136</w:t>
            </w:r>
          </w:p>
        </w:tc>
        <w:tc>
          <w:tcPr>
            <w:tcW w:w="1575" w:type="dxa"/>
            <w:vAlign w:val="center"/>
          </w:tcPr>
          <w:p w14:paraId="34C4F96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0DAFFF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0.0136</w:t>
            </w:r>
          </w:p>
        </w:tc>
        <w:tc>
          <w:tcPr>
            <w:tcW w:w="1307" w:type="dxa"/>
            <w:vAlign w:val="center"/>
          </w:tcPr>
          <w:p w14:paraId="14264E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w:t>
            </w:r>
          </w:p>
        </w:tc>
      </w:tr>
      <w:tr w14:paraId="5833B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070E385B">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785" w:type="dxa"/>
            <w:vMerge w:val="continue"/>
            <w:vAlign w:val="center"/>
          </w:tcPr>
          <w:p w14:paraId="1F40CBAC">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246AC7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kern w:val="0"/>
                <w:szCs w:val="21"/>
                <w:highlight w:val="none"/>
                <w:lang w:val="en-US" w:eastAsia="zh-CN" w:bidi="ar"/>
              </w:rPr>
              <w:t>颗粒物</w:t>
            </w:r>
          </w:p>
        </w:tc>
        <w:tc>
          <w:tcPr>
            <w:tcW w:w="1487" w:type="dxa"/>
            <w:vAlign w:val="center"/>
          </w:tcPr>
          <w:p w14:paraId="26A09C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0.125</w:t>
            </w:r>
          </w:p>
        </w:tc>
        <w:tc>
          <w:tcPr>
            <w:tcW w:w="1319" w:type="dxa"/>
            <w:vAlign w:val="center"/>
          </w:tcPr>
          <w:p w14:paraId="71DD3D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0.125</w:t>
            </w:r>
          </w:p>
        </w:tc>
        <w:tc>
          <w:tcPr>
            <w:tcW w:w="1276" w:type="dxa"/>
            <w:vAlign w:val="center"/>
          </w:tcPr>
          <w:p w14:paraId="3E2C122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485" w:type="dxa"/>
            <w:vAlign w:val="center"/>
          </w:tcPr>
          <w:p w14:paraId="43A60F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0.1188</w:t>
            </w:r>
          </w:p>
        </w:tc>
        <w:tc>
          <w:tcPr>
            <w:tcW w:w="1575" w:type="dxa"/>
            <w:vAlign w:val="center"/>
          </w:tcPr>
          <w:p w14:paraId="18B7F4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19A5C2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0.2438</w:t>
            </w:r>
          </w:p>
        </w:tc>
        <w:tc>
          <w:tcPr>
            <w:tcW w:w="1307" w:type="dxa"/>
            <w:vAlign w:val="center"/>
          </w:tcPr>
          <w:p w14:paraId="225637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rPr>
            </w:pPr>
            <w:r>
              <w:rPr>
                <w:rFonts w:hint="eastAsia" w:ascii="Times New Roman" w:hAnsi="Times New Roman" w:eastAsia="宋体" w:cs="Times New Roman"/>
                <w:b w:val="0"/>
                <w:bCs w:val="0"/>
                <w:color w:val="auto"/>
                <w:szCs w:val="21"/>
                <w:highlight w:val="none"/>
                <w:lang w:val="en-US" w:eastAsia="zh-CN"/>
              </w:rPr>
              <w:t>+</w:t>
            </w:r>
            <w:r>
              <w:rPr>
                <w:rFonts w:hint="eastAsia" w:cs="Times New Roman"/>
                <w:b w:val="0"/>
                <w:bCs w:val="0"/>
                <w:color w:val="auto"/>
                <w:szCs w:val="21"/>
                <w:highlight w:val="none"/>
                <w:lang w:val="en-US" w:eastAsia="zh-CN"/>
              </w:rPr>
              <w:t>0.1188</w:t>
            </w:r>
          </w:p>
        </w:tc>
      </w:tr>
      <w:tr w14:paraId="725F0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14:paraId="7023BFC8">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785" w:type="dxa"/>
            <w:vMerge w:val="continue"/>
            <w:vAlign w:val="center"/>
          </w:tcPr>
          <w:p w14:paraId="4212B0C6">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75318F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Cs w:val="21"/>
                <w:highlight w:val="none"/>
                <w:lang w:val="en-US" w:eastAsia="zh-CN" w:bidi="ar"/>
              </w:rPr>
            </w:pPr>
            <w:r>
              <w:rPr>
                <w:rFonts w:hint="eastAsia" w:ascii="Times New Roman" w:hAnsi="Times New Roman" w:eastAsia="宋体" w:cs="Times New Roman"/>
                <w:b w:val="0"/>
                <w:bCs w:val="0"/>
                <w:color w:val="auto"/>
                <w:kern w:val="0"/>
                <w:szCs w:val="21"/>
                <w:highlight w:val="none"/>
                <w:lang w:val="en-US" w:eastAsia="zh-CN" w:bidi="ar"/>
              </w:rPr>
              <w:t>油烟</w:t>
            </w:r>
          </w:p>
        </w:tc>
        <w:tc>
          <w:tcPr>
            <w:tcW w:w="1487" w:type="dxa"/>
            <w:vAlign w:val="center"/>
          </w:tcPr>
          <w:p w14:paraId="3CBFBEF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0"/>
                <w:szCs w:val="21"/>
                <w:highlight w:val="none"/>
                <w:lang w:val="en-US" w:eastAsia="zh-CN" w:bidi="ar"/>
              </w:rPr>
            </w:pPr>
            <w:r>
              <w:rPr>
                <w:rFonts w:hint="eastAsia" w:ascii="Times New Roman" w:hAnsi="Times New Roman" w:eastAsia="宋体" w:cs="Times New Roman"/>
                <w:b w:val="0"/>
                <w:bCs w:val="0"/>
                <w:color w:val="auto"/>
                <w:szCs w:val="21"/>
                <w:highlight w:val="none"/>
                <w:lang w:val="en-US" w:eastAsia="zh-CN"/>
              </w:rPr>
              <w:t>0.036</w:t>
            </w:r>
          </w:p>
        </w:tc>
        <w:tc>
          <w:tcPr>
            <w:tcW w:w="1319" w:type="dxa"/>
            <w:vAlign w:val="center"/>
          </w:tcPr>
          <w:p w14:paraId="58E4DB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0.036</w:t>
            </w:r>
          </w:p>
        </w:tc>
        <w:tc>
          <w:tcPr>
            <w:tcW w:w="1276" w:type="dxa"/>
            <w:vAlign w:val="center"/>
          </w:tcPr>
          <w:p w14:paraId="715FC337">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snapToGrid w:val="0"/>
                <w:color w:val="auto"/>
                <w:kern w:val="21"/>
                <w:szCs w:val="21"/>
                <w:highlight w:val="none"/>
                <w:lang w:val="en-US" w:eastAsia="zh-CN"/>
              </w:rPr>
              <w:t>0</w:t>
            </w:r>
          </w:p>
        </w:tc>
        <w:tc>
          <w:tcPr>
            <w:tcW w:w="1485" w:type="dxa"/>
            <w:vAlign w:val="center"/>
          </w:tcPr>
          <w:p w14:paraId="415BD0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0.036</w:t>
            </w:r>
          </w:p>
        </w:tc>
        <w:tc>
          <w:tcPr>
            <w:tcW w:w="1575" w:type="dxa"/>
            <w:vAlign w:val="center"/>
          </w:tcPr>
          <w:p w14:paraId="64E2E8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cs="Times New Roman"/>
                <w:b w:val="0"/>
                <w:bCs w:val="0"/>
                <w:snapToGrid w:val="0"/>
                <w:color w:val="auto"/>
                <w:kern w:val="21"/>
                <w:szCs w:val="21"/>
                <w:highlight w:val="none"/>
                <w:lang w:val="en-US" w:eastAsia="zh-CN"/>
              </w:rPr>
              <w:t>0</w:t>
            </w:r>
          </w:p>
        </w:tc>
        <w:tc>
          <w:tcPr>
            <w:tcW w:w="1785" w:type="dxa"/>
            <w:vAlign w:val="center"/>
          </w:tcPr>
          <w:p w14:paraId="086127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0.036</w:t>
            </w:r>
          </w:p>
        </w:tc>
        <w:tc>
          <w:tcPr>
            <w:tcW w:w="1307" w:type="dxa"/>
            <w:vAlign w:val="center"/>
          </w:tcPr>
          <w:p w14:paraId="2C31FB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w:t>
            </w:r>
          </w:p>
        </w:tc>
      </w:tr>
      <w:tr w14:paraId="4E894E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restart"/>
            <w:vAlign w:val="center"/>
          </w:tcPr>
          <w:p w14:paraId="73E9956A">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废水</w:t>
            </w:r>
          </w:p>
        </w:tc>
        <w:tc>
          <w:tcPr>
            <w:tcW w:w="2352" w:type="dxa"/>
            <w:gridSpan w:val="2"/>
            <w:vAlign w:val="center"/>
          </w:tcPr>
          <w:p w14:paraId="0E25FC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废水量</w:t>
            </w:r>
          </w:p>
        </w:tc>
        <w:tc>
          <w:tcPr>
            <w:tcW w:w="1487" w:type="dxa"/>
            <w:vAlign w:val="center"/>
          </w:tcPr>
          <w:p w14:paraId="21E4A4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kern w:val="0"/>
                <w:szCs w:val="21"/>
                <w:highlight w:val="none"/>
                <w:lang w:bidi="ar"/>
              </w:rPr>
              <w:t>138605.95</w:t>
            </w:r>
          </w:p>
        </w:tc>
        <w:tc>
          <w:tcPr>
            <w:tcW w:w="1319" w:type="dxa"/>
            <w:vAlign w:val="center"/>
          </w:tcPr>
          <w:p w14:paraId="1320E5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kern w:val="0"/>
                <w:szCs w:val="21"/>
                <w:highlight w:val="none"/>
                <w:lang w:bidi="ar"/>
              </w:rPr>
              <w:t>138605.95</w:t>
            </w:r>
          </w:p>
        </w:tc>
        <w:tc>
          <w:tcPr>
            <w:tcW w:w="1276" w:type="dxa"/>
            <w:vAlign w:val="center"/>
          </w:tcPr>
          <w:p w14:paraId="26D8DA5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485" w:type="dxa"/>
            <w:vAlign w:val="top"/>
          </w:tcPr>
          <w:p w14:paraId="35C6F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val="en-US" w:eastAsia="zh-CN"/>
              </w:rPr>
              <w:t>0</w:t>
            </w:r>
          </w:p>
        </w:tc>
        <w:tc>
          <w:tcPr>
            <w:tcW w:w="1575" w:type="dxa"/>
            <w:vAlign w:val="center"/>
          </w:tcPr>
          <w:p w14:paraId="670684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785" w:type="dxa"/>
            <w:vAlign w:val="center"/>
          </w:tcPr>
          <w:p w14:paraId="341C25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kern w:val="0"/>
                <w:szCs w:val="21"/>
                <w:highlight w:val="none"/>
                <w:lang w:bidi="ar"/>
              </w:rPr>
              <w:t>138605.95</w:t>
            </w:r>
          </w:p>
        </w:tc>
        <w:tc>
          <w:tcPr>
            <w:tcW w:w="1307" w:type="dxa"/>
            <w:vAlign w:val="top"/>
          </w:tcPr>
          <w:p w14:paraId="2565D2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0</w:t>
            </w:r>
          </w:p>
        </w:tc>
      </w:tr>
      <w:tr w14:paraId="3C77A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F8641BE">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693C1B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kern w:val="0"/>
                <w:szCs w:val="21"/>
                <w:highlight w:val="none"/>
              </w:rPr>
              <w:t>COD</w:t>
            </w:r>
          </w:p>
        </w:tc>
        <w:tc>
          <w:tcPr>
            <w:tcW w:w="1487" w:type="dxa"/>
            <w:vAlign w:val="center"/>
          </w:tcPr>
          <w:p w14:paraId="6011824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16.1701</w:t>
            </w:r>
          </w:p>
        </w:tc>
        <w:tc>
          <w:tcPr>
            <w:tcW w:w="1319" w:type="dxa"/>
            <w:vAlign w:val="center"/>
          </w:tcPr>
          <w:p w14:paraId="1E379BDA">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Cs w:val="21"/>
                <w:highlight w:val="none"/>
              </w:rPr>
            </w:pPr>
            <w:r>
              <w:rPr>
                <w:rFonts w:hint="eastAsia" w:ascii="Times New Roman" w:hAnsi="Times New Roman" w:eastAsia="宋体" w:cs="Times New Roman"/>
                <w:b w:val="0"/>
                <w:bCs w:val="0"/>
                <w:color w:val="auto"/>
                <w:sz w:val="21"/>
                <w:szCs w:val="21"/>
                <w:highlight w:val="none"/>
                <w:lang w:val="en-US" w:eastAsia="zh-CN"/>
              </w:rPr>
              <w:t>16.1701</w:t>
            </w:r>
          </w:p>
        </w:tc>
        <w:tc>
          <w:tcPr>
            <w:tcW w:w="1276" w:type="dxa"/>
            <w:vAlign w:val="center"/>
          </w:tcPr>
          <w:p w14:paraId="5696A24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485" w:type="dxa"/>
            <w:vAlign w:val="center"/>
          </w:tcPr>
          <w:p w14:paraId="52AB95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w:t>
            </w:r>
          </w:p>
        </w:tc>
        <w:tc>
          <w:tcPr>
            <w:tcW w:w="1575" w:type="dxa"/>
            <w:vAlign w:val="center"/>
          </w:tcPr>
          <w:p w14:paraId="17DEB2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785" w:type="dxa"/>
            <w:vAlign w:val="center"/>
          </w:tcPr>
          <w:p w14:paraId="46653AD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 w:val="21"/>
                <w:szCs w:val="21"/>
                <w:highlight w:val="none"/>
                <w:lang w:val="en-US" w:eastAsia="zh-CN"/>
              </w:rPr>
              <w:t>16.1701</w:t>
            </w:r>
          </w:p>
        </w:tc>
        <w:tc>
          <w:tcPr>
            <w:tcW w:w="1307" w:type="dxa"/>
            <w:vAlign w:val="center"/>
          </w:tcPr>
          <w:p w14:paraId="3FD4EB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eastAsia" w:cs="Times New Roman"/>
                <w:b w:val="0"/>
                <w:bCs w:val="0"/>
                <w:color w:val="auto"/>
                <w:szCs w:val="21"/>
                <w:highlight w:val="none"/>
                <w:lang w:val="en-US" w:eastAsia="zh-CN"/>
              </w:rPr>
              <w:t>0</w:t>
            </w:r>
          </w:p>
        </w:tc>
      </w:tr>
      <w:tr w14:paraId="5DBC5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32536445">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3DB61F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kern w:val="0"/>
                <w:szCs w:val="21"/>
                <w:highlight w:val="none"/>
              </w:rPr>
              <w:t>SS</w:t>
            </w:r>
          </w:p>
        </w:tc>
        <w:tc>
          <w:tcPr>
            <w:tcW w:w="1487" w:type="dxa"/>
            <w:vAlign w:val="center"/>
          </w:tcPr>
          <w:p w14:paraId="392EE34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14.1961</w:t>
            </w:r>
          </w:p>
        </w:tc>
        <w:tc>
          <w:tcPr>
            <w:tcW w:w="1319" w:type="dxa"/>
            <w:vAlign w:val="center"/>
          </w:tcPr>
          <w:p w14:paraId="5041BA94">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Cs w:val="21"/>
                <w:highlight w:val="none"/>
              </w:rPr>
            </w:pPr>
            <w:r>
              <w:rPr>
                <w:rFonts w:hint="eastAsia" w:ascii="Times New Roman" w:hAnsi="Times New Roman" w:eastAsia="宋体" w:cs="Times New Roman"/>
                <w:b w:val="0"/>
                <w:bCs w:val="0"/>
                <w:color w:val="auto"/>
                <w:sz w:val="21"/>
                <w:szCs w:val="21"/>
                <w:highlight w:val="none"/>
                <w:lang w:val="en-US" w:eastAsia="zh-CN"/>
              </w:rPr>
              <w:t>14.1961</w:t>
            </w:r>
          </w:p>
        </w:tc>
        <w:tc>
          <w:tcPr>
            <w:tcW w:w="1276" w:type="dxa"/>
            <w:vAlign w:val="center"/>
          </w:tcPr>
          <w:p w14:paraId="50DA6AE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485" w:type="dxa"/>
            <w:vAlign w:val="center"/>
          </w:tcPr>
          <w:p w14:paraId="7C3683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w:t>
            </w:r>
          </w:p>
        </w:tc>
        <w:tc>
          <w:tcPr>
            <w:tcW w:w="1575" w:type="dxa"/>
            <w:vAlign w:val="center"/>
          </w:tcPr>
          <w:p w14:paraId="307916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785" w:type="dxa"/>
            <w:vAlign w:val="center"/>
          </w:tcPr>
          <w:p w14:paraId="58EEB2E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 w:val="21"/>
                <w:szCs w:val="21"/>
                <w:highlight w:val="none"/>
                <w:lang w:val="en-US" w:eastAsia="zh-CN"/>
              </w:rPr>
              <w:t>14.1961</w:t>
            </w:r>
          </w:p>
        </w:tc>
        <w:tc>
          <w:tcPr>
            <w:tcW w:w="1307" w:type="dxa"/>
            <w:vAlign w:val="center"/>
          </w:tcPr>
          <w:p w14:paraId="04D477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eastAsia" w:cs="Times New Roman"/>
                <w:b w:val="0"/>
                <w:bCs w:val="0"/>
                <w:color w:val="auto"/>
                <w:szCs w:val="21"/>
                <w:highlight w:val="none"/>
                <w:lang w:val="en-US" w:eastAsia="zh-CN"/>
              </w:rPr>
              <w:t>0</w:t>
            </w:r>
          </w:p>
        </w:tc>
      </w:tr>
      <w:tr w14:paraId="5DD15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DDDB8B7">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27190A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color w:val="auto"/>
                <w:kern w:val="0"/>
                <w:szCs w:val="21"/>
                <w:highlight w:val="none"/>
              </w:rPr>
              <w:t>氨氮（生活）</w:t>
            </w:r>
          </w:p>
        </w:tc>
        <w:tc>
          <w:tcPr>
            <w:tcW w:w="1487" w:type="dxa"/>
            <w:vAlign w:val="center"/>
          </w:tcPr>
          <w:p w14:paraId="71936B3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1.176</w:t>
            </w:r>
          </w:p>
        </w:tc>
        <w:tc>
          <w:tcPr>
            <w:tcW w:w="1319" w:type="dxa"/>
            <w:vAlign w:val="center"/>
          </w:tcPr>
          <w:p w14:paraId="51CB9B21">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Cs w:val="21"/>
                <w:highlight w:val="none"/>
              </w:rPr>
            </w:pPr>
            <w:r>
              <w:rPr>
                <w:rFonts w:hint="eastAsia" w:ascii="Times New Roman" w:hAnsi="Times New Roman" w:eastAsia="宋体" w:cs="Times New Roman"/>
                <w:b w:val="0"/>
                <w:bCs w:val="0"/>
                <w:color w:val="auto"/>
                <w:sz w:val="21"/>
                <w:szCs w:val="21"/>
                <w:highlight w:val="none"/>
                <w:lang w:val="en-US" w:eastAsia="zh-CN"/>
              </w:rPr>
              <w:t>1.176</w:t>
            </w:r>
          </w:p>
        </w:tc>
        <w:tc>
          <w:tcPr>
            <w:tcW w:w="1276" w:type="dxa"/>
            <w:vAlign w:val="center"/>
          </w:tcPr>
          <w:p w14:paraId="50513D6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485" w:type="dxa"/>
            <w:vAlign w:val="center"/>
          </w:tcPr>
          <w:p w14:paraId="78AA3B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eastAsia" w:ascii="Times New Roman" w:hAnsi="Times New Roman" w:eastAsia="宋体" w:cs="Times New Roman"/>
                <w:b w:val="0"/>
                <w:bCs w:val="0"/>
                <w:color w:val="auto"/>
                <w:szCs w:val="21"/>
                <w:highlight w:val="none"/>
                <w:lang w:val="en-US" w:eastAsia="zh-CN"/>
              </w:rPr>
              <w:t>0</w:t>
            </w:r>
          </w:p>
        </w:tc>
        <w:tc>
          <w:tcPr>
            <w:tcW w:w="1575" w:type="dxa"/>
            <w:vAlign w:val="center"/>
          </w:tcPr>
          <w:p w14:paraId="6F85BC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785" w:type="dxa"/>
            <w:vAlign w:val="center"/>
          </w:tcPr>
          <w:p w14:paraId="6613CA6B">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 w:val="21"/>
                <w:szCs w:val="21"/>
                <w:highlight w:val="none"/>
                <w:lang w:val="en-US" w:eastAsia="zh-CN"/>
              </w:rPr>
              <w:t>1.176</w:t>
            </w:r>
          </w:p>
        </w:tc>
        <w:tc>
          <w:tcPr>
            <w:tcW w:w="1307" w:type="dxa"/>
            <w:vAlign w:val="center"/>
          </w:tcPr>
          <w:p w14:paraId="71BEAA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eastAsia" w:cs="Times New Roman"/>
                <w:b w:val="0"/>
                <w:bCs w:val="0"/>
                <w:color w:val="auto"/>
                <w:szCs w:val="21"/>
                <w:highlight w:val="none"/>
                <w:lang w:val="en-US" w:eastAsia="zh-CN"/>
              </w:rPr>
              <w:t>0</w:t>
            </w:r>
          </w:p>
        </w:tc>
      </w:tr>
      <w:tr w14:paraId="5B3EC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2A2B67DC">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74EDAA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总氮（生活）</w:t>
            </w:r>
          </w:p>
        </w:tc>
        <w:tc>
          <w:tcPr>
            <w:tcW w:w="1487" w:type="dxa"/>
            <w:vAlign w:val="center"/>
          </w:tcPr>
          <w:p w14:paraId="0CFDAC99">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1.512</w:t>
            </w:r>
          </w:p>
        </w:tc>
        <w:tc>
          <w:tcPr>
            <w:tcW w:w="1319" w:type="dxa"/>
            <w:vAlign w:val="center"/>
          </w:tcPr>
          <w:p w14:paraId="3EB3CA9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Cs w:val="21"/>
                <w:highlight w:val="none"/>
              </w:rPr>
            </w:pPr>
            <w:r>
              <w:rPr>
                <w:rFonts w:hint="eastAsia" w:ascii="Times New Roman" w:hAnsi="Times New Roman" w:eastAsia="宋体" w:cs="Times New Roman"/>
                <w:b w:val="0"/>
                <w:bCs w:val="0"/>
                <w:color w:val="auto"/>
                <w:sz w:val="21"/>
                <w:szCs w:val="21"/>
                <w:highlight w:val="none"/>
                <w:lang w:val="en-US" w:eastAsia="zh-CN"/>
              </w:rPr>
              <w:t>1.512</w:t>
            </w:r>
          </w:p>
        </w:tc>
        <w:tc>
          <w:tcPr>
            <w:tcW w:w="1276" w:type="dxa"/>
            <w:vAlign w:val="center"/>
          </w:tcPr>
          <w:p w14:paraId="021665F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485" w:type="dxa"/>
            <w:vAlign w:val="center"/>
          </w:tcPr>
          <w:p w14:paraId="4ABB84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eastAsia" w:ascii="Times New Roman" w:hAnsi="Times New Roman" w:eastAsia="宋体" w:cs="Times New Roman"/>
                <w:b w:val="0"/>
                <w:bCs w:val="0"/>
                <w:color w:val="auto"/>
                <w:szCs w:val="21"/>
                <w:highlight w:val="none"/>
                <w:lang w:val="en-US" w:eastAsia="zh-CN"/>
              </w:rPr>
              <w:t>0</w:t>
            </w:r>
          </w:p>
        </w:tc>
        <w:tc>
          <w:tcPr>
            <w:tcW w:w="1575" w:type="dxa"/>
            <w:vAlign w:val="center"/>
          </w:tcPr>
          <w:p w14:paraId="6E3B63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default" w:ascii="Times New Roman" w:hAnsi="Times New Roman" w:eastAsia="宋体" w:cs="Times New Roman"/>
                <w:b w:val="0"/>
                <w:bCs w:val="0"/>
                <w:snapToGrid w:val="0"/>
                <w:color w:val="auto"/>
                <w:kern w:val="21"/>
                <w:szCs w:val="21"/>
                <w:highlight w:val="none"/>
              </w:rPr>
              <w:t>0</w:t>
            </w:r>
          </w:p>
        </w:tc>
        <w:tc>
          <w:tcPr>
            <w:tcW w:w="1785" w:type="dxa"/>
            <w:vAlign w:val="center"/>
          </w:tcPr>
          <w:p w14:paraId="19F3A9BC">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 w:val="21"/>
                <w:szCs w:val="21"/>
                <w:highlight w:val="none"/>
                <w:lang w:val="en-US" w:eastAsia="zh-CN"/>
              </w:rPr>
              <w:t>1.512</w:t>
            </w:r>
          </w:p>
        </w:tc>
        <w:tc>
          <w:tcPr>
            <w:tcW w:w="1307" w:type="dxa"/>
            <w:vAlign w:val="center"/>
          </w:tcPr>
          <w:p w14:paraId="41267E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Cs w:val="21"/>
                <w:highlight w:val="none"/>
              </w:rPr>
            </w:pPr>
            <w:r>
              <w:rPr>
                <w:rFonts w:hint="eastAsia" w:cs="Times New Roman"/>
                <w:b w:val="0"/>
                <w:bCs w:val="0"/>
                <w:color w:val="auto"/>
                <w:szCs w:val="21"/>
                <w:highlight w:val="none"/>
                <w:lang w:val="en-US" w:eastAsia="zh-CN"/>
              </w:rPr>
              <w:t>0</w:t>
            </w:r>
          </w:p>
        </w:tc>
      </w:tr>
      <w:tr w14:paraId="7642D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6D60BBCA">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6C0E85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Cs w:val="21"/>
                <w:highlight w:val="none"/>
              </w:rPr>
              <w:t>总磷（生活）</w:t>
            </w:r>
          </w:p>
        </w:tc>
        <w:tc>
          <w:tcPr>
            <w:tcW w:w="1487" w:type="dxa"/>
            <w:vAlign w:val="center"/>
          </w:tcPr>
          <w:p w14:paraId="38578AE8">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0.168</w:t>
            </w:r>
          </w:p>
        </w:tc>
        <w:tc>
          <w:tcPr>
            <w:tcW w:w="1319" w:type="dxa"/>
            <w:vAlign w:val="center"/>
          </w:tcPr>
          <w:p w14:paraId="208B8B30">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0.168</w:t>
            </w:r>
          </w:p>
        </w:tc>
        <w:tc>
          <w:tcPr>
            <w:tcW w:w="1276" w:type="dxa"/>
            <w:vAlign w:val="center"/>
          </w:tcPr>
          <w:p w14:paraId="29EA755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rPr>
              <w:t>0</w:t>
            </w:r>
          </w:p>
        </w:tc>
        <w:tc>
          <w:tcPr>
            <w:tcW w:w="1485" w:type="dxa"/>
            <w:vAlign w:val="center"/>
          </w:tcPr>
          <w:p w14:paraId="66FB89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color w:val="auto"/>
                <w:szCs w:val="21"/>
                <w:highlight w:val="none"/>
                <w:lang w:val="en-US" w:eastAsia="zh-CN"/>
              </w:rPr>
              <w:t>0</w:t>
            </w:r>
          </w:p>
        </w:tc>
        <w:tc>
          <w:tcPr>
            <w:tcW w:w="1575" w:type="dxa"/>
            <w:vAlign w:val="center"/>
          </w:tcPr>
          <w:p w14:paraId="2EBFF9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Cs w:val="21"/>
                <w:highlight w:val="none"/>
              </w:rPr>
              <w:t>0</w:t>
            </w:r>
          </w:p>
        </w:tc>
        <w:tc>
          <w:tcPr>
            <w:tcW w:w="1785" w:type="dxa"/>
            <w:vAlign w:val="center"/>
          </w:tcPr>
          <w:p w14:paraId="50E871C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0.168</w:t>
            </w:r>
          </w:p>
        </w:tc>
        <w:tc>
          <w:tcPr>
            <w:tcW w:w="1307" w:type="dxa"/>
            <w:vAlign w:val="center"/>
          </w:tcPr>
          <w:p w14:paraId="62E987E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color w:val="auto"/>
                <w:szCs w:val="21"/>
                <w:highlight w:val="none"/>
                <w:lang w:val="en-US" w:eastAsia="zh-CN"/>
              </w:rPr>
              <w:t>0</w:t>
            </w:r>
          </w:p>
        </w:tc>
      </w:tr>
      <w:tr w14:paraId="2F680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012FE498">
            <w:pPr>
              <w:pStyle w:val="41"/>
              <w:keepNext w:val="0"/>
              <w:keepLines w:val="0"/>
              <w:suppressLineNumbers w:val="0"/>
              <w:spacing w:before="0" w:beforeAutospacing="0" w:after="0" w:afterAutospacing="0"/>
              <w:ind w:left="0" w:right="0"/>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center"/>
          </w:tcPr>
          <w:p w14:paraId="4093FC3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动植物油</w:t>
            </w:r>
          </w:p>
        </w:tc>
        <w:tc>
          <w:tcPr>
            <w:tcW w:w="1487" w:type="dxa"/>
            <w:vAlign w:val="center"/>
          </w:tcPr>
          <w:p w14:paraId="5B7F6DAD">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0.768</w:t>
            </w:r>
          </w:p>
        </w:tc>
        <w:tc>
          <w:tcPr>
            <w:tcW w:w="1319" w:type="dxa"/>
            <w:vAlign w:val="center"/>
          </w:tcPr>
          <w:p w14:paraId="6A94B2B7">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0.768</w:t>
            </w:r>
          </w:p>
        </w:tc>
        <w:tc>
          <w:tcPr>
            <w:tcW w:w="1276" w:type="dxa"/>
            <w:vAlign w:val="center"/>
          </w:tcPr>
          <w:p w14:paraId="159D651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snapToGrid w:val="0"/>
                <w:color w:val="auto"/>
                <w:kern w:val="21"/>
                <w:szCs w:val="21"/>
                <w:highlight w:val="none"/>
                <w:lang w:val="en-US" w:eastAsia="zh-CN"/>
              </w:rPr>
              <w:t>0</w:t>
            </w:r>
          </w:p>
        </w:tc>
        <w:tc>
          <w:tcPr>
            <w:tcW w:w="1485" w:type="dxa"/>
            <w:vAlign w:val="center"/>
          </w:tcPr>
          <w:p w14:paraId="1573D3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0</w:t>
            </w:r>
          </w:p>
        </w:tc>
        <w:tc>
          <w:tcPr>
            <w:tcW w:w="1575" w:type="dxa"/>
            <w:vAlign w:val="center"/>
          </w:tcPr>
          <w:p w14:paraId="226339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snapToGrid w:val="0"/>
                <w:color w:val="auto"/>
                <w:kern w:val="21"/>
                <w:szCs w:val="21"/>
                <w:highlight w:val="none"/>
                <w:lang w:val="en-US" w:eastAsia="zh-CN"/>
              </w:rPr>
            </w:pPr>
            <w:r>
              <w:rPr>
                <w:rFonts w:hint="eastAsia" w:ascii="Times New Roman" w:hAnsi="Times New Roman" w:eastAsia="宋体" w:cs="Times New Roman"/>
                <w:b w:val="0"/>
                <w:bCs w:val="0"/>
                <w:snapToGrid w:val="0"/>
                <w:color w:val="auto"/>
                <w:kern w:val="21"/>
                <w:szCs w:val="21"/>
                <w:highlight w:val="none"/>
                <w:lang w:val="en-US" w:eastAsia="zh-CN"/>
              </w:rPr>
              <w:t>0</w:t>
            </w:r>
          </w:p>
        </w:tc>
        <w:tc>
          <w:tcPr>
            <w:tcW w:w="1785" w:type="dxa"/>
            <w:vAlign w:val="center"/>
          </w:tcPr>
          <w:p w14:paraId="64A4C43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0.768</w:t>
            </w:r>
          </w:p>
        </w:tc>
        <w:tc>
          <w:tcPr>
            <w:tcW w:w="1307" w:type="dxa"/>
            <w:vAlign w:val="center"/>
          </w:tcPr>
          <w:p w14:paraId="049EC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w:t>
            </w:r>
          </w:p>
        </w:tc>
      </w:tr>
      <w:tr w14:paraId="35222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restart"/>
            <w:vAlign w:val="center"/>
          </w:tcPr>
          <w:p w14:paraId="21034E12">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一般工业</w:t>
            </w:r>
          </w:p>
          <w:p w14:paraId="6288D574">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固体废物</w:t>
            </w:r>
          </w:p>
        </w:tc>
        <w:tc>
          <w:tcPr>
            <w:tcW w:w="2352" w:type="dxa"/>
            <w:gridSpan w:val="2"/>
            <w:vAlign w:val="bottom"/>
          </w:tcPr>
          <w:p w14:paraId="54511DE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膜片边角料</w:t>
            </w:r>
          </w:p>
        </w:tc>
        <w:tc>
          <w:tcPr>
            <w:tcW w:w="1487" w:type="dxa"/>
            <w:vAlign w:val="bottom"/>
          </w:tcPr>
          <w:p w14:paraId="5A24851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500</w:t>
            </w:r>
          </w:p>
        </w:tc>
        <w:tc>
          <w:tcPr>
            <w:tcW w:w="1319" w:type="dxa"/>
            <w:vAlign w:val="bottom"/>
          </w:tcPr>
          <w:p w14:paraId="2B11CF7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500</w:t>
            </w:r>
          </w:p>
        </w:tc>
        <w:tc>
          <w:tcPr>
            <w:tcW w:w="1276" w:type="dxa"/>
            <w:vAlign w:val="center"/>
          </w:tcPr>
          <w:p w14:paraId="5CB316D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0325A6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35162B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w:t>
            </w:r>
          </w:p>
        </w:tc>
        <w:tc>
          <w:tcPr>
            <w:tcW w:w="1785" w:type="dxa"/>
            <w:vAlign w:val="bottom"/>
          </w:tcPr>
          <w:p w14:paraId="72BFBA9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500</w:t>
            </w:r>
          </w:p>
        </w:tc>
        <w:tc>
          <w:tcPr>
            <w:tcW w:w="1307" w:type="dxa"/>
            <w:vAlign w:val="center"/>
          </w:tcPr>
          <w:p w14:paraId="4247C9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color w:val="auto"/>
                <w:sz w:val="21"/>
                <w:szCs w:val="21"/>
                <w:highlight w:val="none"/>
                <w:lang w:val="en-US" w:eastAsia="zh-CN"/>
              </w:rPr>
              <w:t>0</w:t>
            </w:r>
          </w:p>
        </w:tc>
      </w:tr>
      <w:tr w14:paraId="427898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4806505">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7EFC6F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废模型</w:t>
            </w:r>
          </w:p>
        </w:tc>
        <w:tc>
          <w:tcPr>
            <w:tcW w:w="1487" w:type="dxa"/>
            <w:vAlign w:val="bottom"/>
          </w:tcPr>
          <w:p w14:paraId="0BC8209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1022.5184</w:t>
            </w:r>
          </w:p>
        </w:tc>
        <w:tc>
          <w:tcPr>
            <w:tcW w:w="1319" w:type="dxa"/>
            <w:vAlign w:val="bottom"/>
          </w:tcPr>
          <w:p w14:paraId="59A3F84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1022.5184</w:t>
            </w:r>
          </w:p>
        </w:tc>
        <w:tc>
          <w:tcPr>
            <w:tcW w:w="1276" w:type="dxa"/>
            <w:vAlign w:val="center"/>
          </w:tcPr>
          <w:p w14:paraId="75099B1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2A1DFA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6340CA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785" w:type="dxa"/>
            <w:vAlign w:val="bottom"/>
          </w:tcPr>
          <w:p w14:paraId="416F9E3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1022.5184</w:t>
            </w:r>
          </w:p>
        </w:tc>
        <w:tc>
          <w:tcPr>
            <w:tcW w:w="1307" w:type="dxa"/>
            <w:vAlign w:val="center"/>
          </w:tcPr>
          <w:p w14:paraId="2042A3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0</w:t>
            </w:r>
          </w:p>
        </w:tc>
      </w:tr>
      <w:tr w14:paraId="4AEFE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2" w:type="dxa"/>
            <w:gridSpan w:val="2"/>
            <w:vMerge w:val="continue"/>
            <w:vAlign w:val="center"/>
          </w:tcPr>
          <w:p w14:paraId="2A2505EA">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7022091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废包装袋</w:t>
            </w:r>
          </w:p>
        </w:tc>
        <w:tc>
          <w:tcPr>
            <w:tcW w:w="1487" w:type="dxa"/>
            <w:vAlign w:val="bottom"/>
          </w:tcPr>
          <w:p w14:paraId="2C4C9EA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4.12</w:t>
            </w:r>
          </w:p>
        </w:tc>
        <w:tc>
          <w:tcPr>
            <w:tcW w:w="1319" w:type="dxa"/>
            <w:vAlign w:val="bottom"/>
          </w:tcPr>
          <w:p w14:paraId="61AEC65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4.12</w:t>
            </w:r>
          </w:p>
        </w:tc>
        <w:tc>
          <w:tcPr>
            <w:tcW w:w="1276" w:type="dxa"/>
            <w:vAlign w:val="center"/>
          </w:tcPr>
          <w:p w14:paraId="279C4F5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688032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4A7C96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785" w:type="dxa"/>
            <w:vAlign w:val="bottom"/>
          </w:tcPr>
          <w:p w14:paraId="344411C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4.12</w:t>
            </w:r>
          </w:p>
        </w:tc>
        <w:tc>
          <w:tcPr>
            <w:tcW w:w="1307" w:type="dxa"/>
            <w:vAlign w:val="top"/>
          </w:tcPr>
          <w:p w14:paraId="2D0EB7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eastAsia="zh-CN"/>
              </w:rPr>
            </w:pPr>
            <w:r>
              <w:rPr>
                <w:rFonts w:hint="eastAsia" w:cs="Times New Roman"/>
                <w:b w:val="0"/>
                <w:bCs w:val="0"/>
                <w:color w:val="auto"/>
                <w:sz w:val="21"/>
                <w:szCs w:val="21"/>
                <w:highlight w:val="none"/>
                <w:lang w:val="en-US" w:eastAsia="zh-CN"/>
              </w:rPr>
              <w:t>0</w:t>
            </w:r>
          </w:p>
        </w:tc>
      </w:tr>
      <w:tr w14:paraId="2C90A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635D59D">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6DA8DAA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废样品</w:t>
            </w:r>
          </w:p>
        </w:tc>
        <w:tc>
          <w:tcPr>
            <w:tcW w:w="1487" w:type="dxa"/>
            <w:vAlign w:val="bottom"/>
          </w:tcPr>
          <w:p w14:paraId="72DE5B6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w:t>
            </w:r>
          </w:p>
        </w:tc>
        <w:tc>
          <w:tcPr>
            <w:tcW w:w="1319" w:type="dxa"/>
            <w:vAlign w:val="bottom"/>
          </w:tcPr>
          <w:p w14:paraId="2089B32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w:t>
            </w:r>
          </w:p>
        </w:tc>
        <w:tc>
          <w:tcPr>
            <w:tcW w:w="1276" w:type="dxa"/>
            <w:vAlign w:val="center"/>
          </w:tcPr>
          <w:p w14:paraId="6D106E6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6084E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2299A8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785" w:type="dxa"/>
            <w:vAlign w:val="bottom"/>
          </w:tcPr>
          <w:p w14:paraId="683814E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w:t>
            </w:r>
          </w:p>
        </w:tc>
        <w:tc>
          <w:tcPr>
            <w:tcW w:w="1307" w:type="dxa"/>
            <w:vAlign w:val="top"/>
          </w:tcPr>
          <w:p w14:paraId="1928CA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eastAsia="zh-CN"/>
              </w:rPr>
            </w:pPr>
            <w:r>
              <w:rPr>
                <w:rFonts w:hint="eastAsia" w:cs="Times New Roman"/>
                <w:b w:val="0"/>
                <w:bCs w:val="0"/>
                <w:color w:val="auto"/>
                <w:sz w:val="21"/>
                <w:szCs w:val="21"/>
                <w:highlight w:val="none"/>
                <w:lang w:val="en-US" w:eastAsia="zh-CN"/>
              </w:rPr>
              <w:t>0</w:t>
            </w:r>
          </w:p>
        </w:tc>
      </w:tr>
      <w:tr w14:paraId="3E578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695154DD">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7D06C4D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粉尘</w:t>
            </w:r>
          </w:p>
        </w:tc>
        <w:tc>
          <w:tcPr>
            <w:tcW w:w="1487" w:type="dxa"/>
            <w:vAlign w:val="bottom"/>
          </w:tcPr>
          <w:p w14:paraId="697E9F5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6.125</w:t>
            </w:r>
          </w:p>
        </w:tc>
        <w:tc>
          <w:tcPr>
            <w:tcW w:w="1319" w:type="dxa"/>
            <w:vAlign w:val="bottom"/>
          </w:tcPr>
          <w:p w14:paraId="3C4FA8E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6.125</w:t>
            </w:r>
          </w:p>
        </w:tc>
        <w:tc>
          <w:tcPr>
            <w:tcW w:w="1276" w:type="dxa"/>
            <w:vAlign w:val="center"/>
          </w:tcPr>
          <w:p w14:paraId="6E5DB10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485" w:type="dxa"/>
            <w:vAlign w:val="center"/>
          </w:tcPr>
          <w:p w14:paraId="4DDAA6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5.82</w:t>
            </w:r>
          </w:p>
        </w:tc>
        <w:tc>
          <w:tcPr>
            <w:tcW w:w="1575" w:type="dxa"/>
            <w:vAlign w:val="center"/>
          </w:tcPr>
          <w:p w14:paraId="6E884E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6.125</w:t>
            </w:r>
          </w:p>
        </w:tc>
        <w:tc>
          <w:tcPr>
            <w:tcW w:w="1785" w:type="dxa"/>
            <w:vAlign w:val="bottom"/>
          </w:tcPr>
          <w:p w14:paraId="2C1BCAE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5.82</w:t>
            </w:r>
          </w:p>
        </w:tc>
        <w:tc>
          <w:tcPr>
            <w:tcW w:w="1307" w:type="dxa"/>
            <w:vAlign w:val="top"/>
          </w:tcPr>
          <w:p w14:paraId="65F681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-0.305</w:t>
            </w:r>
          </w:p>
        </w:tc>
      </w:tr>
      <w:tr w14:paraId="1C020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4303B83">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49662EF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废布袋</w:t>
            </w:r>
          </w:p>
        </w:tc>
        <w:tc>
          <w:tcPr>
            <w:tcW w:w="1487" w:type="dxa"/>
            <w:vAlign w:val="bottom"/>
          </w:tcPr>
          <w:p w14:paraId="44045FD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319" w:type="dxa"/>
            <w:vAlign w:val="bottom"/>
          </w:tcPr>
          <w:p w14:paraId="1E430FA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276" w:type="dxa"/>
            <w:vAlign w:val="center"/>
          </w:tcPr>
          <w:p w14:paraId="36A3C82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485" w:type="dxa"/>
            <w:vAlign w:val="center"/>
          </w:tcPr>
          <w:p w14:paraId="77CE4E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575" w:type="dxa"/>
            <w:vAlign w:val="center"/>
          </w:tcPr>
          <w:p w14:paraId="2F16EF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785" w:type="dxa"/>
            <w:vAlign w:val="bottom"/>
          </w:tcPr>
          <w:p w14:paraId="19F65829">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307" w:type="dxa"/>
            <w:vAlign w:val="top"/>
          </w:tcPr>
          <w:p w14:paraId="1BBBEF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color w:val="auto"/>
                <w:sz w:val="21"/>
                <w:szCs w:val="21"/>
                <w:highlight w:val="none"/>
                <w:lang w:val="en-US" w:eastAsia="zh-CN"/>
              </w:rPr>
              <w:t>0</w:t>
            </w:r>
          </w:p>
        </w:tc>
      </w:tr>
      <w:tr w14:paraId="28526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6C55BB4">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47530A7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天使扣边角</w:t>
            </w:r>
          </w:p>
        </w:tc>
        <w:tc>
          <w:tcPr>
            <w:tcW w:w="1487" w:type="dxa"/>
            <w:vAlign w:val="bottom"/>
          </w:tcPr>
          <w:p w14:paraId="4F267E4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319" w:type="dxa"/>
            <w:vAlign w:val="bottom"/>
          </w:tcPr>
          <w:p w14:paraId="7D1607A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276" w:type="dxa"/>
            <w:vAlign w:val="center"/>
          </w:tcPr>
          <w:p w14:paraId="7E2D0B1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32EFC7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08EC84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785" w:type="dxa"/>
            <w:vAlign w:val="bottom"/>
          </w:tcPr>
          <w:p w14:paraId="57E48AE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w:t>
            </w:r>
          </w:p>
        </w:tc>
        <w:tc>
          <w:tcPr>
            <w:tcW w:w="1307" w:type="dxa"/>
            <w:vAlign w:val="top"/>
          </w:tcPr>
          <w:p w14:paraId="2EF920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eastAsia="zh-CN"/>
              </w:rPr>
            </w:pPr>
            <w:r>
              <w:rPr>
                <w:rFonts w:hint="eastAsia" w:cs="Times New Roman"/>
                <w:b w:val="0"/>
                <w:bCs w:val="0"/>
                <w:color w:val="auto"/>
                <w:sz w:val="21"/>
                <w:szCs w:val="21"/>
                <w:highlight w:val="none"/>
                <w:lang w:val="en-US" w:eastAsia="zh-CN"/>
              </w:rPr>
              <w:t>0</w:t>
            </w:r>
          </w:p>
        </w:tc>
      </w:tr>
      <w:tr w14:paraId="46516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7122748C">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30E9B1F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废纸板</w:t>
            </w:r>
          </w:p>
        </w:tc>
        <w:tc>
          <w:tcPr>
            <w:tcW w:w="1487" w:type="dxa"/>
            <w:vAlign w:val="bottom"/>
          </w:tcPr>
          <w:p w14:paraId="3D5FAF5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w:t>
            </w:r>
          </w:p>
        </w:tc>
        <w:tc>
          <w:tcPr>
            <w:tcW w:w="1319" w:type="dxa"/>
            <w:vAlign w:val="bottom"/>
          </w:tcPr>
          <w:p w14:paraId="59CCDF5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w:t>
            </w:r>
          </w:p>
        </w:tc>
        <w:tc>
          <w:tcPr>
            <w:tcW w:w="1276" w:type="dxa"/>
            <w:vAlign w:val="center"/>
          </w:tcPr>
          <w:p w14:paraId="5E6ADFB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350D52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56D8A2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785" w:type="dxa"/>
            <w:vAlign w:val="bottom"/>
          </w:tcPr>
          <w:p w14:paraId="76AA40B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w:t>
            </w:r>
          </w:p>
        </w:tc>
        <w:tc>
          <w:tcPr>
            <w:tcW w:w="1307" w:type="dxa"/>
            <w:vAlign w:val="top"/>
          </w:tcPr>
          <w:p w14:paraId="0ADEE7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eastAsia="zh-CN"/>
              </w:rPr>
            </w:pPr>
            <w:r>
              <w:rPr>
                <w:rFonts w:hint="eastAsia" w:cs="Times New Roman"/>
                <w:b w:val="0"/>
                <w:bCs w:val="0"/>
                <w:color w:val="auto"/>
                <w:sz w:val="21"/>
                <w:szCs w:val="21"/>
                <w:highlight w:val="none"/>
                <w:lang w:val="en-US" w:eastAsia="zh-CN"/>
              </w:rPr>
              <w:t>0</w:t>
            </w:r>
          </w:p>
        </w:tc>
      </w:tr>
      <w:tr w14:paraId="0CA44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2DAB6C7">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029C0F1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餐厨废弃物</w:t>
            </w:r>
          </w:p>
        </w:tc>
        <w:tc>
          <w:tcPr>
            <w:tcW w:w="1487" w:type="dxa"/>
            <w:vAlign w:val="bottom"/>
          </w:tcPr>
          <w:p w14:paraId="309FD88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48</w:t>
            </w:r>
          </w:p>
        </w:tc>
        <w:tc>
          <w:tcPr>
            <w:tcW w:w="1319" w:type="dxa"/>
            <w:vAlign w:val="bottom"/>
          </w:tcPr>
          <w:p w14:paraId="45A3978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48</w:t>
            </w:r>
          </w:p>
        </w:tc>
        <w:tc>
          <w:tcPr>
            <w:tcW w:w="1276" w:type="dxa"/>
            <w:vAlign w:val="center"/>
          </w:tcPr>
          <w:p w14:paraId="12F4978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63AB8D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01A14F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785" w:type="dxa"/>
            <w:vAlign w:val="bottom"/>
          </w:tcPr>
          <w:p w14:paraId="0580EBB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48</w:t>
            </w:r>
          </w:p>
        </w:tc>
        <w:tc>
          <w:tcPr>
            <w:tcW w:w="1307" w:type="dxa"/>
            <w:vAlign w:val="center"/>
          </w:tcPr>
          <w:p w14:paraId="030445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eastAsia" w:cs="Times New Roman"/>
                <w:b w:val="0"/>
                <w:bCs w:val="0"/>
                <w:color w:val="auto"/>
                <w:kern w:val="0"/>
                <w:sz w:val="21"/>
                <w:szCs w:val="21"/>
                <w:highlight w:val="none"/>
                <w:lang w:val="en-US" w:eastAsia="zh-CN" w:bidi="ar"/>
              </w:rPr>
              <w:t>0</w:t>
            </w:r>
          </w:p>
        </w:tc>
      </w:tr>
      <w:tr w14:paraId="2AEEC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2EDE760C">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2FFCC2F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废动植物油</w:t>
            </w:r>
          </w:p>
        </w:tc>
        <w:tc>
          <w:tcPr>
            <w:tcW w:w="1487" w:type="dxa"/>
            <w:vAlign w:val="bottom"/>
          </w:tcPr>
          <w:p w14:paraId="0CB268D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1.548</w:t>
            </w:r>
          </w:p>
        </w:tc>
        <w:tc>
          <w:tcPr>
            <w:tcW w:w="1319" w:type="dxa"/>
            <w:vAlign w:val="bottom"/>
          </w:tcPr>
          <w:p w14:paraId="3079933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1.548</w:t>
            </w:r>
          </w:p>
        </w:tc>
        <w:tc>
          <w:tcPr>
            <w:tcW w:w="1276" w:type="dxa"/>
            <w:vAlign w:val="center"/>
          </w:tcPr>
          <w:p w14:paraId="49BF71A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7EBC1E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31C36B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785" w:type="dxa"/>
            <w:vAlign w:val="bottom"/>
          </w:tcPr>
          <w:p w14:paraId="656A5D5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1.548</w:t>
            </w:r>
          </w:p>
        </w:tc>
        <w:tc>
          <w:tcPr>
            <w:tcW w:w="1307" w:type="dxa"/>
            <w:vAlign w:val="center"/>
          </w:tcPr>
          <w:p w14:paraId="654748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w:t>
            </w:r>
          </w:p>
        </w:tc>
      </w:tr>
      <w:tr w14:paraId="02BE1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24F7C75">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12EADBB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生活垃圾</w:t>
            </w:r>
          </w:p>
        </w:tc>
        <w:tc>
          <w:tcPr>
            <w:tcW w:w="1487" w:type="dxa"/>
            <w:vAlign w:val="bottom"/>
          </w:tcPr>
          <w:p w14:paraId="438B56B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w:t>
            </w:r>
          </w:p>
        </w:tc>
        <w:tc>
          <w:tcPr>
            <w:tcW w:w="1319" w:type="dxa"/>
            <w:vAlign w:val="bottom"/>
          </w:tcPr>
          <w:p w14:paraId="3DD9EEE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w:t>
            </w:r>
          </w:p>
        </w:tc>
        <w:tc>
          <w:tcPr>
            <w:tcW w:w="1276" w:type="dxa"/>
            <w:vAlign w:val="center"/>
          </w:tcPr>
          <w:p w14:paraId="008B9D0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5E8692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4DC597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0</w:t>
            </w:r>
          </w:p>
        </w:tc>
        <w:tc>
          <w:tcPr>
            <w:tcW w:w="1785" w:type="dxa"/>
            <w:vAlign w:val="bottom"/>
          </w:tcPr>
          <w:p w14:paraId="2985ED5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w:t>
            </w:r>
          </w:p>
        </w:tc>
        <w:tc>
          <w:tcPr>
            <w:tcW w:w="1307" w:type="dxa"/>
            <w:vAlign w:val="center"/>
          </w:tcPr>
          <w:p w14:paraId="080E8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w:t>
            </w:r>
          </w:p>
        </w:tc>
      </w:tr>
      <w:tr w14:paraId="52E6C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202" w:type="dxa"/>
            <w:gridSpan w:val="2"/>
            <w:vMerge w:val="restart"/>
            <w:vAlign w:val="center"/>
          </w:tcPr>
          <w:p w14:paraId="4E44193B">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危险废物</w:t>
            </w:r>
          </w:p>
        </w:tc>
        <w:tc>
          <w:tcPr>
            <w:tcW w:w="2352" w:type="dxa"/>
            <w:gridSpan w:val="2"/>
            <w:vAlign w:val="bottom"/>
          </w:tcPr>
          <w:p w14:paraId="0FBED8B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废包装桶</w:t>
            </w:r>
          </w:p>
        </w:tc>
        <w:tc>
          <w:tcPr>
            <w:tcW w:w="1487" w:type="dxa"/>
            <w:vAlign w:val="bottom"/>
          </w:tcPr>
          <w:p w14:paraId="455FF0D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173.685</w:t>
            </w:r>
          </w:p>
        </w:tc>
        <w:tc>
          <w:tcPr>
            <w:tcW w:w="1319" w:type="dxa"/>
            <w:vAlign w:val="bottom"/>
          </w:tcPr>
          <w:p w14:paraId="6EA6B8A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173.685</w:t>
            </w:r>
          </w:p>
        </w:tc>
        <w:tc>
          <w:tcPr>
            <w:tcW w:w="1276" w:type="dxa"/>
            <w:vAlign w:val="center"/>
          </w:tcPr>
          <w:p w14:paraId="1173507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w:t>
            </w:r>
          </w:p>
        </w:tc>
        <w:tc>
          <w:tcPr>
            <w:tcW w:w="1485" w:type="dxa"/>
            <w:vAlign w:val="center"/>
          </w:tcPr>
          <w:p w14:paraId="36765D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0.3225</w:t>
            </w:r>
          </w:p>
        </w:tc>
        <w:tc>
          <w:tcPr>
            <w:tcW w:w="1575" w:type="dxa"/>
            <w:vAlign w:val="center"/>
          </w:tcPr>
          <w:p w14:paraId="1AD180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18</w:t>
            </w:r>
          </w:p>
        </w:tc>
        <w:tc>
          <w:tcPr>
            <w:tcW w:w="1785" w:type="dxa"/>
            <w:vAlign w:val="bottom"/>
          </w:tcPr>
          <w:p w14:paraId="38C2F84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156.01</w:t>
            </w:r>
          </w:p>
        </w:tc>
        <w:tc>
          <w:tcPr>
            <w:tcW w:w="1307" w:type="dxa"/>
            <w:vAlign w:val="bottom"/>
          </w:tcPr>
          <w:p w14:paraId="3C8503E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-17.675</w:t>
            </w:r>
          </w:p>
        </w:tc>
      </w:tr>
      <w:tr w14:paraId="7FED5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EBF9448">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5A624D3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废清洗液</w:t>
            </w:r>
          </w:p>
        </w:tc>
        <w:tc>
          <w:tcPr>
            <w:tcW w:w="1487" w:type="dxa"/>
            <w:vAlign w:val="bottom"/>
          </w:tcPr>
          <w:p w14:paraId="585082C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eastAsia" w:cs="Times New Roman"/>
                <w:b w:val="0"/>
                <w:bCs w:val="0"/>
                <w:i w:val="0"/>
                <w:iCs w:val="0"/>
                <w:color w:val="auto"/>
                <w:kern w:val="0"/>
                <w:sz w:val="21"/>
                <w:szCs w:val="21"/>
                <w:highlight w:val="none"/>
                <w:u w:val="none"/>
                <w:lang w:val="en-US" w:eastAsia="zh-CN" w:bidi="ar"/>
              </w:rPr>
              <w:t>470.4</w:t>
            </w:r>
          </w:p>
        </w:tc>
        <w:tc>
          <w:tcPr>
            <w:tcW w:w="1319" w:type="dxa"/>
            <w:vAlign w:val="bottom"/>
          </w:tcPr>
          <w:p w14:paraId="5B3C007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eastAsia" w:cs="Times New Roman"/>
                <w:b w:val="0"/>
                <w:bCs w:val="0"/>
                <w:i w:val="0"/>
                <w:iCs w:val="0"/>
                <w:color w:val="auto"/>
                <w:kern w:val="0"/>
                <w:sz w:val="21"/>
                <w:szCs w:val="21"/>
                <w:highlight w:val="none"/>
                <w:u w:val="none"/>
                <w:lang w:val="en-US" w:eastAsia="zh-CN" w:bidi="ar"/>
              </w:rPr>
              <w:t>470.4</w:t>
            </w:r>
          </w:p>
        </w:tc>
        <w:tc>
          <w:tcPr>
            <w:tcW w:w="1276" w:type="dxa"/>
            <w:vAlign w:val="center"/>
          </w:tcPr>
          <w:p w14:paraId="5E8961A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524572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575" w:type="dxa"/>
            <w:vAlign w:val="center"/>
          </w:tcPr>
          <w:p w14:paraId="11C3EB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470.4</w:t>
            </w:r>
          </w:p>
        </w:tc>
        <w:tc>
          <w:tcPr>
            <w:tcW w:w="1785" w:type="dxa"/>
            <w:vAlign w:val="bottom"/>
          </w:tcPr>
          <w:p w14:paraId="726605C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eastAsia" w:cs="Times New Roman"/>
                <w:b w:val="0"/>
                <w:bCs w:val="0"/>
                <w:i w:val="0"/>
                <w:iCs w:val="0"/>
                <w:color w:val="auto"/>
                <w:kern w:val="0"/>
                <w:sz w:val="21"/>
                <w:szCs w:val="21"/>
                <w:highlight w:val="none"/>
                <w:u w:val="none"/>
                <w:lang w:val="en-US" w:eastAsia="zh-CN" w:bidi="ar"/>
              </w:rPr>
              <w:t>0</w:t>
            </w:r>
          </w:p>
        </w:tc>
        <w:tc>
          <w:tcPr>
            <w:tcW w:w="1307" w:type="dxa"/>
            <w:vAlign w:val="bottom"/>
          </w:tcPr>
          <w:p w14:paraId="6FF5A5D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-470.4</w:t>
            </w:r>
          </w:p>
        </w:tc>
      </w:tr>
      <w:tr w14:paraId="00513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02" w:type="dxa"/>
            <w:gridSpan w:val="2"/>
            <w:vMerge w:val="continue"/>
            <w:vAlign w:val="center"/>
          </w:tcPr>
          <w:p w14:paraId="2AF7C755">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17CB4F2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废无水乙醇</w:t>
            </w:r>
          </w:p>
        </w:tc>
        <w:tc>
          <w:tcPr>
            <w:tcW w:w="1487" w:type="dxa"/>
            <w:vAlign w:val="bottom"/>
          </w:tcPr>
          <w:p w14:paraId="4D6686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0.007</w:t>
            </w:r>
          </w:p>
        </w:tc>
        <w:tc>
          <w:tcPr>
            <w:tcW w:w="1319" w:type="dxa"/>
            <w:vAlign w:val="bottom"/>
          </w:tcPr>
          <w:p w14:paraId="248BE6E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0.007</w:t>
            </w:r>
          </w:p>
        </w:tc>
        <w:tc>
          <w:tcPr>
            <w:tcW w:w="1276" w:type="dxa"/>
            <w:vAlign w:val="center"/>
          </w:tcPr>
          <w:p w14:paraId="2CCF5CF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29F120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575" w:type="dxa"/>
            <w:vAlign w:val="center"/>
          </w:tcPr>
          <w:p w14:paraId="487097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785" w:type="dxa"/>
            <w:vAlign w:val="bottom"/>
          </w:tcPr>
          <w:p w14:paraId="07DD6D2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0.007</w:t>
            </w:r>
          </w:p>
        </w:tc>
        <w:tc>
          <w:tcPr>
            <w:tcW w:w="1307" w:type="dxa"/>
            <w:vAlign w:val="bottom"/>
          </w:tcPr>
          <w:p w14:paraId="7D2F4EC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0</w:t>
            </w:r>
          </w:p>
        </w:tc>
      </w:tr>
      <w:tr w14:paraId="7E574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05125C6">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25BF2A8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废滴管、手套和口罩</w:t>
            </w:r>
          </w:p>
        </w:tc>
        <w:tc>
          <w:tcPr>
            <w:tcW w:w="1487" w:type="dxa"/>
            <w:vAlign w:val="bottom"/>
          </w:tcPr>
          <w:p w14:paraId="5BC5BC4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w:t>
            </w:r>
          </w:p>
        </w:tc>
        <w:tc>
          <w:tcPr>
            <w:tcW w:w="1319" w:type="dxa"/>
            <w:vAlign w:val="bottom"/>
          </w:tcPr>
          <w:p w14:paraId="716C0EE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w:t>
            </w:r>
          </w:p>
        </w:tc>
        <w:tc>
          <w:tcPr>
            <w:tcW w:w="1276" w:type="dxa"/>
            <w:vAlign w:val="center"/>
          </w:tcPr>
          <w:p w14:paraId="7B82EA9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0CF3E9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575" w:type="dxa"/>
            <w:vAlign w:val="center"/>
          </w:tcPr>
          <w:p w14:paraId="207994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785" w:type="dxa"/>
            <w:vAlign w:val="bottom"/>
          </w:tcPr>
          <w:p w14:paraId="66BE285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0.1</w:t>
            </w:r>
          </w:p>
        </w:tc>
        <w:tc>
          <w:tcPr>
            <w:tcW w:w="1307" w:type="dxa"/>
            <w:vAlign w:val="bottom"/>
          </w:tcPr>
          <w:p w14:paraId="21754F3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w:t>
            </w:r>
          </w:p>
        </w:tc>
      </w:tr>
      <w:tr w14:paraId="0CB97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2C34F9D0">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45D508A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废手套</w:t>
            </w:r>
          </w:p>
        </w:tc>
        <w:tc>
          <w:tcPr>
            <w:tcW w:w="1487" w:type="dxa"/>
            <w:vAlign w:val="bottom"/>
          </w:tcPr>
          <w:p w14:paraId="3661719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w:t>
            </w:r>
          </w:p>
        </w:tc>
        <w:tc>
          <w:tcPr>
            <w:tcW w:w="1319" w:type="dxa"/>
            <w:vAlign w:val="bottom"/>
          </w:tcPr>
          <w:p w14:paraId="5237F71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w:t>
            </w:r>
          </w:p>
        </w:tc>
        <w:tc>
          <w:tcPr>
            <w:tcW w:w="1276" w:type="dxa"/>
            <w:vAlign w:val="center"/>
          </w:tcPr>
          <w:p w14:paraId="5254564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23F09D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575" w:type="dxa"/>
            <w:vAlign w:val="center"/>
          </w:tcPr>
          <w:p w14:paraId="2BCDC5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785" w:type="dxa"/>
            <w:vAlign w:val="bottom"/>
          </w:tcPr>
          <w:p w14:paraId="112146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w:t>
            </w:r>
          </w:p>
        </w:tc>
        <w:tc>
          <w:tcPr>
            <w:tcW w:w="1307" w:type="dxa"/>
            <w:vAlign w:val="bottom"/>
          </w:tcPr>
          <w:p w14:paraId="069D9F0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eastAsia" w:cs="Times New Roman"/>
                <w:b w:val="0"/>
                <w:bCs w:val="0"/>
                <w:i w:val="0"/>
                <w:iCs w:val="0"/>
                <w:color w:val="auto"/>
                <w:kern w:val="0"/>
                <w:sz w:val="21"/>
                <w:szCs w:val="21"/>
                <w:highlight w:val="none"/>
                <w:u w:val="none"/>
                <w:lang w:val="en-US" w:eastAsia="zh-CN" w:bidi="ar"/>
              </w:rPr>
              <w:t>0</w:t>
            </w:r>
          </w:p>
        </w:tc>
      </w:tr>
      <w:tr w14:paraId="18AAE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077260BB">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7BF8892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喷淋塔废液</w:t>
            </w:r>
          </w:p>
        </w:tc>
        <w:tc>
          <w:tcPr>
            <w:tcW w:w="1487" w:type="dxa"/>
            <w:vAlign w:val="bottom"/>
          </w:tcPr>
          <w:p w14:paraId="4859707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126</w:t>
            </w:r>
          </w:p>
        </w:tc>
        <w:tc>
          <w:tcPr>
            <w:tcW w:w="1319" w:type="dxa"/>
            <w:vAlign w:val="bottom"/>
          </w:tcPr>
          <w:p w14:paraId="1690D28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126</w:t>
            </w:r>
          </w:p>
        </w:tc>
        <w:tc>
          <w:tcPr>
            <w:tcW w:w="1276" w:type="dxa"/>
            <w:vAlign w:val="center"/>
          </w:tcPr>
          <w:p w14:paraId="2F787AA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7D5475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w:t>
            </w:r>
          </w:p>
        </w:tc>
        <w:tc>
          <w:tcPr>
            <w:tcW w:w="1575" w:type="dxa"/>
            <w:vAlign w:val="center"/>
          </w:tcPr>
          <w:p w14:paraId="0CDA47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w:t>
            </w:r>
          </w:p>
        </w:tc>
        <w:tc>
          <w:tcPr>
            <w:tcW w:w="1785" w:type="dxa"/>
            <w:vAlign w:val="bottom"/>
          </w:tcPr>
          <w:p w14:paraId="32A1121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150</w:t>
            </w:r>
          </w:p>
        </w:tc>
        <w:tc>
          <w:tcPr>
            <w:tcW w:w="1307" w:type="dxa"/>
            <w:vAlign w:val="bottom"/>
          </w:tcPr>
          <w:p w14:paraId="01D0870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0</w:t>
            </w:r>
          </w:p>
        </w:tc>
      </w:tr>
      <w:tr w14:paraId="0E40A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3BD2AB94">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3CF0D98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废活性炭</w:t>
            </w:r>
          </w:p>
        </w:tc>
        <w:tc>
          <w:tcPr>
            <w:tcW w:w="1487" w:type="dxa"/>
            <w:vAlign w:val="bottom"/>
          </w:tcPr>
          <w:p w14:paraId="4CE50D4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75.3596</w:t>
            </w:r>
          </w:p>
        </w:tc>
        <w:tc>
          <w:tcPr>
            <w:tcW w:w="1319" w:type="dxa"/>
            <w:vAlign w:val="bottom"/>
          </w:tcPr>
          <w:p w14:paraId="1AB09B9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75.3596</w:t>
            </w:r>
          </w:p>
        </w:tc>
        <w:tc>
          <w:tcPr>
            <w:tcW w:w="1276" w:type="dxa"/>
            <w:vAlign w:val="center"/>
          </w:tcPr>
          <w:p w14:paraId="1C4D86C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w:t>
            </w:r>
          </w:p>
        </w:tc>
        <w:tc>
          <w:tcPr>
            <w:tcW w:w="1485" w:type="dxa"/>
            <w:vAlign w:val="center"/>
          </w:tcPr>
          <w:p w14:paraId="20912C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14.8359</w:t>
            </w:r>
          </w:p>
        </w:tc>
        <w:tc>
          <w:tcPr>
            <w:tcW w:w="1575" w:type="dxa"/>
            <w:vAlign w:val="center"/>
          </w:tcPr>
          <w:p w14:paraId="1AA04B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43.549</w:t>
            </w:r>
          </w:p>
        </w:tc>
        <w:tc>
          <w:tcPr>
            <w:tcW w:w="1785" w:type="dxa"/>
            <w:vAlign w:val="center"/>
          </w:tcPr>
          <w:p w14:paraId="058500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104.07</w:t>
            </w:r>
          </w:p>
        </w:tc>
        <w:tc>
          <w:tcPr>
            <w:tcW w:w="1307" w:type="dxa"/>
            <w:vAlign w:val="center"/>
          </w:tcPr>
          <w:p w14:paraId="0F60B1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+28.71</w:t>
            </w:r>
          </w:p>
        </w:tc>
      </w:tr>
      <w:tr w14:paraId="41110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8D03545">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21837E5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废填料</w:t>
            </w:r>
          </w:p>
        </w:tc>
        <w:tc>
          <w:tcPr>
            <w:tcW w:w="1487" w:type="dxa"/>
            <w:vAlign w:val="bottom"/>
          </w:tcPr>
          <w:p w14:paraId="45B262C0">
            <w:pPr>
              <w:keepNext w:val="0"/>
              <w:keepLines w:val="0"/>
              <w:widowControl/>
              <w:suppressLineNumbers w:val="0"/>
              <w:spacing w:before="0" w:beforeAutospacing="0" w:after="0" w:afterAutospacing="0"/>
              <w:ind w:left="0" w:right="0"/>
              <w:jc w:val="center"/>
              <w:textAlignment w:val="bottom"/>
              <w:rPr>
                <w:rFonts w:hint="default"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103.086</w:t>
            </w:r>
            <w:r>
              <w:rPr>
                <w:rFonts w:hint="eastAsia" w:cs="Times New Roman"/>
                <w:b w:val="0"/>
                <w:bCs w:val="0"/>
                <w:i w:val="0"/>
                <w:iCs w:val="0"/>
                <w:color w:val="auto"/>
                <w:kern w:val="0"/>
                <w:sz w:val="21"/>
                <w:szCs w:val="21"/>
                <w:highlight w:val="none"/>
                <w:u w:val="none"/>
                <w:lang w:val="en-US" w:eastAsia="zh-CN" w:bidi="ar"/>
              </w:rPr>
              <w:t>t/3a</w:t>
            </w:r>
          </w:p>
        </w:tc>
        <w:tc>
          <w:tcPr>
            <w:tcW w:w="1319" w:type="dxa"/>
            <w:vAlign w:val="bottom"/>
          </w:tcPr>
          <w:p w14:paraId="667B9BD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103.086</w:t>
            </w:r>
            <w:r>
              <w:rPr>
                <w:rFonts w:hint="eastAsia" w:cs="Times New Roman"/>
                <w:b w:val="0"/>
                <w:bCs w:val="0"/>
                <w:i w:val="0"/>
                <w:iCs w:val="0"/>
                <w:color w:val="auto"/>
                <w:kern w:val="0"/>
                <w:sz w:val="21"/>
                <w:szCs w:val="21"/>
                <w:highlight w:val="none"/>
                <w:u w:val="none"/>
                <w:lang w:val="en-US" w:eastAsia="zh-CN" w:bidi="ar"/>
              </w:rPr>
              <w:t>t/3a</w:t>
            </w:r>
          </w:p>
        </w:tc>
        <w:tc>
          <w:tcPr>
            <w:tcW w:w="1276" w:type="dxa"/>
            <w:vAlign w:val="center"/>
          </w:tcPr>
          <w:p w14:paraId="3C7029C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43D58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575" w:type="dxa"/>
            <w:vAlign w:val="center"/>
          </w:tcPr>
          <w:p w14:paraId="61EA44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w:t>
            </w:r>
          </w:p>
        </w:tc>
        <w:tc>
          <w:tcPr>
            <w:tcW w:w="1785" w:type="dxa"/>
            <w:vAlign w:val="center"/>
          </w:tcPr>
          <w:p w14:paraId="5562D63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103.086</w:t>
            </w:r>
            <w:r>
              <w:rPr>
                <w:rFonts w:hint="eastAsia" w:cs="Times New Roman"/>
                <w:b w:val="0"/>
                <w:bCs w:val="0"/>
                <w:i w:val="0"/>
                <w:iCs w:val="0"/>
                <w:color w:val="auto"/>
                <w:kern w:val="0"/>
                <w:sz w:val="21"/>
                <w:szCs w:val="21"/>
                <w:highlight w:val="none"/>
                <w:u w:val="none"/>
                <w:lang w:val="en-US" w:eastAsia="zh-CN" w:bidi="ar"/>
              </w:rPr>
              <w:t>t/3a</w:t>
            </w:r>
          </w:p>
        </w:tc>
        <w:tc>
          <w:tcPr>
            <w:tcW w:w="1307" w:type="dxa"/>
            <w:vAlign w:val="center"/>
          </w:tcPr>
          <w:p w14:paraId="5A60E6C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0</w:t>
            </w:r>
          </w:p>
        </w:tc>
      </w:tr>
      <w:tr w14:paraId="7D7EE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139E6FE9">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0E9A676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废滤芯</w:t>
            </w:r>
          </w:p>
        </w:tc>
        <w:tc>
          <w:tcPr>
            <w:tcW w:w="1487" w:type="dxa"/>
            <w:vAlign w:val="bottom"/>
          </w:tcPr>
          <w:p w14:paraId="01A4F64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1319" w:type="dxa"/>
            <w:vAlign w:val="bottom"/>
          </w:tcPr>
          <w:p w14:paraId="2DC03F2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1276" w:type="dxa"/>
            <w:vAlign w:val="center"/>
          </w:tcPr>
          <w:p w14:paraId="2E211D3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485" w:type="dxa"/>
            <w:vAlign w:val="center"/>
          </w:tcPr>
          <w:p w14:paraId="7317E8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575" w:type="dxa"/>
            <w:vAlign w:val="center"/>
          </w:tcPr>
          <w:p w14:paraId="616E91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785" w:type="dxa"/>
            <w:vAlign w:val="bottom"/>
          </w:tcPr>
          <w:p w14:paraId="043147D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0.5</w:t>
            </w:r>
          </w:p>
        </w:tc>
        <w:tc>
          <w:tcPr>
            <w:tcW w:w="1307" w:type="dxa"/>
            <w:vAlign w:val="bottom"/>
          </w:tcPr>
          <w:p w14:paraId="32E3BFE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eastAsia" w:cs="Times New Roman"/>
                <w:b w:val="0"/>
                <w:bCs w:val="0"/>
                <w:i w:val="0"/>
                <w:iCs w:val="0"/>
                <w:color w:val="auto"/>
                <w:kern w:val="0"/>
                <w:sz w:val="21"/>
                <w:szCs w:val="21"/>
                <w:highlight w:val="none"/>
                <w:u w:val="none"/>
                <w:lang w:val="en-US" w:eastAsia="zh-CN" w:bidi="ar"/>
              </w:rPr>
              <w:t>0</w:t>
            </w:r>
          </w:p>
        </w:tc>
      </w:tr>
      <w:tr w14:paraId="139DB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5A35BD84">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407BB2A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研磨废液</w:t>
            </w:r>
          </w:p>
        </w:tc>
        <w:tc>
          <w:tcPr>
            <w:tcW w:w="1487" w:type="dxa"/>
            <w:vAlign w:val="bottom"/>
          </w:tcPr>
          <w:p w14:paraId="44FA3D3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1.05</w:t>
            </w:r>
          </w:p>
        </w:tc>
        <w:tc>
          <w:tcPr>
            <w:tcW w:w="1319" w:type="dxa"/>
            <w:vAlign w:val="bottom"/>
          </w:tcPr>
          <w:p w14:paraId="0028C5A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1.05</w:t>
            </w:r>
          </w:p>
        </w:tc>
        <w:tc>
          <w:tcPr>
            <w:tcW w:w="1276" w:type="dxa"/>
            <w:vAlign w:val="center"/>
          </w:tcPr>
          <w:p w14:paraId="11F860C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ascii="Times New Roman" w:hAnsi="Times New Roman" w:eastAsia="宋体" w:cs="Times New Roman"/>
                <w:b w:val="0"/>
                <w:bCs w:val="0"/>
                <w:snapToGrid w:val="0"/>
                <w:color w:val="auto"/>
                <w:kern w:val="21"/>
                <w:sz w:val="21"/>
                <w:szCs w:val="21"/>
                <w:highlight w:val="none"/>
                <w:lang w:val="en-US" w:eastAsia="zh-CN"/>
              </w:rPr>
              <w:t>0</w:t>
            </w:r>
          </w:p>
        </w:tc>
        <w:tc>
          <w:tcPr>
            <w:tcW w:w="1485" w:type="dxa"/>
            <w:vAlign w:val="center"/>
          </w:tcPr>
          <w:p w14:paraId="407613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575" w:type="dxa"/>
            <w:vAlign w:val="center"/>
          </w:tcPr>
          <w:p w14:paraId="3F2D89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785" w:type="dxa"/>
            <w:vAlign w:val="bottom"/>
          </w:tcPr>
          <w:p w14:paraId="63BE94C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1.05</w:t>
            </w:r>
          </w:p>
        </w:tc>
        <w:tc>
          <w:tcPr>
            <w:tcW w:w="1307" w:type="dxa"/>
            <w:vAlign w:val="bottom"/>
          </w:tcPr>
          <w:p w14:paraId="67A6B03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eastAsia" w:cs="Times New Roman"/>
                <w:b w:val="0"/>
                <w:bCs w:val="0"/>
                <w:i w:val="0"/>
                <w:iCs w:val="0"/>
                <w:color w:val="auto"/>
                <w:kern w:val="0"/>
                <w:sz w:val="21"/>
                <w:szCs w:val="21"/>
                <w:highlight w:val="none"/>
                <w:u w:val="none"/>
                <w:lang w:val="en-US" w:eastAsia="zh-CN" w:bidi="ar"/>
              </w:rPr>
              <w:t>0</w:t>
            </w:r>
          </w:p>
        </w:tc>
      </w:tr>
      <w:tr w14:paraId="58375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02C67AFB">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4FB60F8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实验室废液</w:t>
            </w:r>
          </w:p>
        </w:tc>
        <w:tc>
          <w:tcPr>
            <w:tcW w:w="1487" w:type="dxa"/>
            <w:vAlign w:val="bottom"/>
          </w:tcPr>
          <w:p w14:paraId="3C8ACEA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1.88</w:t>
            </w:r>
          </w:p>
        </w:tc>
        <w:tc>
          <w:tcPr>
            <w:tcW w:w="1319" w:type="dxa"/>
            <w:vAlign w:val="bottom"/>
          </w:tcPr>
          <w:p w14:paraId="1CD50E3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1.88</w:t>
            </w:r>
          </w:p>
        </w:tc>
        <w:tc>
          <w:tcPr>
            <w:tcW w:w="1276" w:type="dxa"/>
            <w:vAlign w:val="center"/>
          </w:tcPr>
          <w:p w14:paraId="24B803D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485" w:type="dxa"/>
            <w:vAlign w:val="center"/>
          </w:tcPr>
          <w:p w14:paraId="33DC91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p>
        </w:tc>
        <w:tc>
          <w:tcPr>
            <w:tcW w:w="1575" w:type="dxa"/>
            <w:vAlign w:val="center"/>
          </w:tcPr>
          <w:p w14:paraId="116271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785" w:type="dxa"/>
            <w:vAlign w:val="bottom"/>
          </w:tcPr>
          <w:p w14:paraId="0BD27A1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1.88</w:t>
            </w:r>
          </w:p>
        </w:tc>
        <w:tc>
          <w:tcPr>
            <w:tcW w:w="1307" w:type="dxa"/>
            <w:vAlign w:val="bottom"/>
          </w:tcPr>
          <w:p w14:paraId="7DD38C3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i w:val="0"/>
                <w:iCs w:val="0"/>
                <w:color w:val="auto"/>
                <w:kern w:val="0"/>
                <w:sz w:val="21"/>
                <w:szCs w:val="21"/>
                <w:highlight w:val="none"/>
                <w:u w:val="none"/>
                <w:lang w:val="en-US" w:eastAsia="zh-CN" w:bidi="ar"/>
              </w:rPr>
              <w:t>0</w:t>
            </w:r>
          </w:p>
        </w:tc>
      </w:tr>
      <w:tr w14:paraId="10277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3858C1D3">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409C6645">
            <w:pPr>
              <w:keepNext w:val="0"/>
              <w:keepLines w:val="0"/>
              <w:widowControl/>
              <w:suppressLineNumbers w:val="0"/>
              <w:spacing w:before="0" w:beforeAutospacing="0" w:after="0" w:afterAutospacing="0"/>
              <w:ind w:left="0" w:right="0"/>
              <w:jc w:val="center"/>
              <w:textAlignment w:val="bottom"/>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废润滑油</w:t>
            </w:r>
          </w:p>
        </w:tc>
        <w:tc>
          <w:tcPr>
            <w:tcW w:w="1487" w:type="dxa"/>
            <w:vAlign w:val="center"/>
          </w:tcPr>
          <w:p w14:paraId="2BCB0877">
            <w:pPr>
              <w:keepNext w:val="0"/>
              <w:keepLines w:val="0"/>
              <w:widowControl/>
              <w:suppressLineNumbers w:val="0"/>
              <w:spacing w:before="0" w:beforeAutospacing="0" w:after="0" w:afterAutospacing="0"/>
              <w:ind w:left="0" w:right="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w:t>
            </w:r>
          </w:p>
        </w:tc>
        <w:tc>
          <w:tcPr>
            <w:tcW w:w="1319" w:type="dxa"/>
            <w:vAlign w:val="center"/>
          </w:tcPr>
          <w:p w14:paraId="799F823B">
            <w:pPr>
              <w:keepNext w:val="0"/>
              <w:keepLines w:val="0"/>
              <w:widowControl/>
              <w:suppressLineNumbers w:val="0"/>
              <w:spacing w:before="0" w:beforeAutospacing="0" w:after="0" w:afterAutospacing="0"/>
              <w:ind w:left="0" w:right="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w:t>
            </w:r>
          </w:p>
        </w:tc>
        <w:tc>
          <w:tcPr>
            <w:tcW w:w="1276" w:type="dxa"/>
            <w:vAlign w:val="center"/>
          </w:tcPr>
          <w:p w14:paraId="7B00BDC5">
            <w:pPr>
              <w:keepNext w:val="0"/>
              <w:keepLines w:val="0"/>
              <w:suppressLineNumbers w:val="0"/>
              <w:spacing w:before="0" w:beforeAutospacing="0" w:after="0" w:afterAutospacing="0"/>
              <w:ind w:left="0" w:right="0"/>
              <w:jc w:val="center"/>
              <w:rPr>
                <w:rFonts w:hint="default"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w:t>
            </w:r>
          </w:p>
        </w:tc>
        <w:tc>
          <w:tcPr>
            <w:tcW w:w="1485" w:type="dxa"/>
            <w:vAlign w:val="center"/>
          </w:tcPr>
          <w:p w14:paraId="5613DF8F">
            <w:pPr>
              <w:keepNext w:val="0"/>
              <w:keepLines w:val="0"/>
              <w:widowControl/>
              <w:suppressLineNumbers w:val="0"/>
              <w:spacing w:before="0" w:beforeAutospacing="0" w:after="0" w:afterAutospacing="0"/>
              <w:ind w:left="0" w:right="0"/>
              <w:jc w:val="center"/>
              <w:textAlignment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575" w:type="dxa"/>
            <w:vAlign w:val="center"/>
          </w:tcPr>
          <w:p w14:paraId="5FCC363E">
            <w:pPr>
              <w:keepNext w:val="0"/>
              <w:keepLines w:val="0"/>
              <w:widowControl/>
              <w:suppressLineNumbers w:val="0"/>
              <w:spacing w:before="0" w:beforeAutospacing="0" w:after="0" w:afterAutospacing="0"/>
              <w:ind w:left="0" w:right="0"/>
              <w:jc w:val="center"/>
              <w:textAlignment w:val="center"/>
              <w:rPr>
                <w:rFonts w:hint="default"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w:t>
            </w:r>
          </w:p>
        </w:tc>
        <w:tc>
          <w:tcPr>
            <w:tcW w:w="1785" w:type="dxa"/>
            <w:vAlign w:val="bottom"/>
          </w:tcPr>
          <w:p w14:paraId="7F44CB7B">
            <w:pPr>
              <w:keepNext w:val="0"/>
              <w:keepLines w:val="0"/>
              <w:widowControl/>
              <w:suppressLineNumbers w:val="0"/>
              <w:spacing w:before="0" w:beforeAutospacing="0" w:after="0" w:afterAutospacing="0"/>
              <w:ind w:left="0" w:right="0"/>
              <w:jc w:val="center"/>
              <w:textAlignment w:val="bottom"/>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w:t>
            </w:r>
          </w:p>
        </w:tc>
        <w:tc>
          <w:tcPr>
            <w:tcW w:w="1307" w:type="dxa"/>
            <w:vAlign w:val="bottom"/>
          </w:tcPr>
          <w:p w14:paraId="362284BD">
            <w:pPr>
              <w:keepNext w:val="0"/>
              <w:keepLines w:val="0"/>
              <w:widowControl/>
              <w:suppressLineNumbers w:val="0"/>
              <w:spacing w:before="0" w:beforeAutospacing="0" w:after="0" w:afterAutospacing="0"/>
              <w:ind w:left="0" w:right="0"/>
              <w:jc w:val="center"/>
              <w:textAlignment w:val="bottom"/>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w:t>
            </w:r>
          </w:p>
        </w:tc>
      </w:tr>
      <w:tr w14:paraId="50210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14:paraId="45A9B405">
            <w:pPr>
              <w:pStyle w:val="41"/>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snapToGrid w:val="0"/>
                <w:color w:val="auto"/>
                <w:kern w:val="21"/>
                <w:sz w:val="21"/>
                <w:szCs w:val="21"/>
                <w:highlight w:val="none"/>
              </w:rPr>
            </w:pPr>
          </w:p>
        </w:tc>
        <w:tc>
          <w:tcPr>
            <w:tcW w:w="2352" w:type="dxa"/>
            <w:gridSpan w:val="2"/>
            <w:vAlign w:val="bottom"/>
          </w:tcPr>
          <w:p w14:paraId="357F0DCE">
            <w:pPr>
              <w:keepNext w:val="0"/>
              <w:keepLines w:val="0"/>
              <w:widowControl/>
              <w:suppressLineNumbers w:val="0"/>
              <w:spacing w:before="0" w:beforeAutospacing="0" w:after="0" w:afterAutospacing="0"/>
              <w:ind w:left="0" w:right="0"/>
              <w:jc w:val="center"/>
              <w:textAlignment w:val="bottom"/>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设备清洗废液</w:t>
            </w:r>
          </w:p>
        </w:tc>
        <w:tc>
          <w:tcPr>
            <w:tcW w:w="1487" w:type="dxa"/>
            <w:vAlign w:val="center"/>
          </w:tcPr>
          <w:p w14:paraId="1D61601D">
            <w:pPr>
              <w:keepNext w:val="0"/>
              <w:keepLines w:val="0"/>
              <w:widowControl/>
              <w:suppressLineNumbers w:val="0"/>
              <w:spacing w:before="0" w:beforeAutospacing="0" w:after="0" w:afterAutospacing="0"/>
              <w:ind w:left="0" w:right="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w:t>
            </w:r>
          </w:p>
        </w:tc>
        <w:tc>
          <w:tcPr>
            <w:tcW w:w="1319" w:type="dxa"/>
            <w:vAlign w:val="center"/>
          </w:tcPr>
          <w:p w14:paraId="6FC73FCF">
            <w:pPr>
              <w:keepNext w:val="0"/>
              <w:keepLines w:val="0"/>
              <w:widowControl/>
              <w:suppressLineNumbers w:val="0"/>
              <w:spacing w:before="0" w:beforeAutospacing="0" w:after="0" w:afterAutospacing="0"/>
              <w:ind w:left="0" w:right="0"/>
              <w:jc w:val="center"/>
              <w:textAlignment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w:t>
            </w:r>
          </w:p>
        </w:tc>
        <w:tc>
          <w:tcPr>
            <w:tcW w:w="1276" w:type="dxa"/>
            <w:vAlign w:val="center"/>
          </w:tcPr>
          <w:p w14:paraId="31F42C23">
            <w:pPr>
              <w:keepNext w:val="0"/>
              <w:keepLines w:val="0"/>
              <w:suppressLineNumbers w:val="0"/>
              <w:spacing w:before="0" w:beforeAutospacing="0" w:after="0" w:afterAutospacing="0"/>
              <w:ind w:left="0" w:right="0"/>
              <w:jc w:val="center"/>
              <w:rPr>
                <w:rFonts w:hint="default"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w:t>
            </w:r>
          </w:p>
        </w:tc>
        <w:tc>
          <w:tcPr>
            <w:tcW w:w="1485" w:type="dxa"/>
            <w:vAlign w:val="center"/>
          </w:tcPr>
          <w:p w14:paraId="5262DE6A">
            <w:pPr>
              <w:keepNext w:val="0"/>
              <w:keepLines w:val="0"/>
              <w:widowControl/>
              <w:suppressLineNumbers w:val="0"/>
              <w:spacing w:before="0" w:beforeAutospacing="0" w:after="0" w:afterAutospacing="0"/>
              <w:ind w:left="0" w:right="0"/>
              <w:jc w:val="center"/>
              <w:textAlignment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w:t>
            </w:r>
          </w:p>
        </w:tc>
        <w:tc>
          <w:tcPr>
            <w:tcW w:w="1575" w:type="dxa"/>
            <w:vAlign w:val="center"/>
          </w:tcPr>
          <w:p w14:paraId="0F422337">
            <w:pPr>
              <w:keepNext w:val="0"/>
              <w:keepLines w:val="0"/>
              <w:widowControl/>
              <w:suppressLineNumbers w:val="0"/>
              <w:spacing w:before="0" w:beforeAutospacing="0" w:after="0" w:afterAutospacing="0"/>
              <w:ind w:left="0" w:right="0"/>
              <w:jc w:val="center"/>
              <w:textAlignment w:val="center"/>
              <w:rPr>
                <w:rFonts w:hint="default" w:cs="Times New Roman"/>
                <w:b w:val="0"/>
                <w:bCs w:val="0"/>
                <w:snapToGrid w:val="0"/>
                <w:color w:val="auto"/>
                <w:kern w:val="21"/>
                <w:sz w:val="21"/>
                <w:szCs w:val="21"/>
                <w:highlight w:val="none"/>
                <w:lang w:val="en-US" w:eastAsia="zh-CN"/>
              </w:rPr>
            </w:pPr>
            <w:r>
              <w:rPr>
                <w:rFonts w:hint="eastAsia" w:cs="Times New Roman"/>
                <w:b w:val="0"/>
                <w:bCs w:val="0"/>
                <w:snapToGrid w:val="0"/>
                <w:color w:val="auto"/>
                <w:kern w:val="21"/>
                <w:sz w:val="21"/>
                <w:szCs w:val="21"/>
                <w:highlight w:val="none"/>
                <w:lang w:val="en-US" w:eastAsia="zh-CN"/>
              </w:rPr>
              <w:t>0</w:t>
            </w:r>
          </w:p>
        </w:tc>
        <w:tc>
          <w:tcPr>
            <w:tcW w:w="1785" w:type="dxa"/>
            <w:vAlign w:val="bottom"/>
          </w:tcPr>
          <w:p w14:paraId="655295AD">
            <w:pPr>
              <w:keepNext w:val="0"/>
              <w:keepLines w:val="0"/>
              <w:widowControl/>
              <w:suppressLineNumbers w:val="0"/>
              <w:spacing w:before="0" w:beforeAutospacing="0" w:after="0" w:afterAutospacing="0"/>
              <w:ind w:left="0" w:right="0"/>
              <w:jc w:val="center"/>
              <w:textAlignment w:val="bottom"/>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20</w:t>
            </w:r>
          </w:p>
        </w:tc>
        <w:tc>
          <w:tcPr>
            <w:tcW w:w="1307" w:type="dxa"/>
            <w:vAlign w:val="bottom"/>
          </w:tcPr>
          <w:p w14:paraId="48E3D794">
            <w:pPr>
              <w:keepNext w:val="0"/>
              <w:keepLines w:val="0"/>
              <w:widowControl/>
              <w:suppressLineNumbers w:val="0"/>
              <w:spacing w:before="0" w:beforeAutospacing="0" w:after="0" w:afterAutospacing="0"/>
              <w:ind w:left="0" w:right="0"/>
              <w:jc w:val="center"/>
              <w:textAlignment w:val="bottom"/>
              <w:rPr>
                <w:rFonts w:hint="default" w:cs="Times New Roman"/>
                <w:b w:val="0"/>
                <w:bCs w:val="0"/>
                <w:i w:val="0"/>
                <w:iCs w:val="0"/>
                <w:color w:val="auto"/>
                <w:kern w:val="0"/>
                <w:sz w:val="21"/>
                <w:szCs w:val="21"/>
                <w:highlight w:val="none"/>
                <w:u w:val="none"/>
                <w:lang w:val="en-US" w:eastAsia="zh-CN" w:bidi="ar"/>
              </w:rPr>
            </w:pPr>
            <w:r>
              <w:rPr>
                <w:rFonts w:hint="eastAsia" w:cs="Times New Roman"/>
                <w:b w:val="0"/>
                <w:bCs w:val="0"/>
                <w:i w:val="0"/>
                <w:iCs w:val="0"/>
                <w:color w:val="auto"/>
                <w:kern w:val="0"/>
                <w:sz w:val="21"/>
                <w:szCs w:val="21"/>
                <w:highlight w:val="none"/>
                <w:u w:val="none"/>
                <w:lang w:val="en-US" w:eastAsia="zh-CN" w:bidi="ar"/>
              </w:rPr>
              <w:t>+20</w:t>
            </w:r>
          </w:p>
        </w:tc>
      </w:tr>
    </w:tbl>
    <w:p w14:paraId="18AF18BD">
      <w:pPr>
        <w:pStyle w:val="41"/>
        <w:spacing w:before="255" w:beforeLines="80" w:after="24"/>
        <w:jc w:val="left"/>
        <w:rPr>
          <w:rFonts w:ascii="Times New Roman" w:hAnsi="Times New Roman" w:eastAsia="宋体"/>
          <w:color w:val="auto"/>
          <w:highlight w:val="none"/>
        </w:rPr>
        <w:sectPr>
          <w:footerReference r:id="rId6"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docGrid w:type="linesAndChars" w:linePitch="319" w:charSpace="0"/>
        </w:sectPr>
      </w:pPr>
      <w:r>
        <w:rPr>
          <w:rFonts w:ascii="Times New Roman" w:hAnsi="Times New Roman" w:eastAsia="宋体"/>
          <w:b w:val="0"/>
          <w:bCs w:val="0"/>
          <w:snapToGrid w:val="0"/>
          <w:color w:val="auto"/>
          <w:kern w:val="21"/>
          <w:szCs w:val="21"/>
          <w:highlight w:val="none"/>
        </w:rPr>
        <w:t>注：</w:t>
      </w:r>
      <w:r>
        <w:rPr>
          <w:rFonts w:ascii="Times New Roman" w:hAnsi="Times New Roman" w:eastAsia="宋体"/>
          <w:b w:val="0"/>
          <w:bCs w:val="0"/>
          <w:snapToGrid w:val="0"/>
          <w:color w:val="auto"/>
          <w:spacing w:val="-16"/>
          <w:kern w:val="21"/>
          <w:szCs w:val="21"/>
          <w:highlight w:val="none"/>
        </w:rPr>
        <w:fldChar w:fldCharType="begin"/>
      </w:r>
      <w:r>
        <w:rPr>
          <w:rFonts w:ascii="Times New Roman" w:hAnsi="Times New Roman" w:eastAsia="宋体"/>
          <w:b w:val="0"/>
          <w:bCs w:val="0"/>
          <w:snapToGrid w:val="0"/>
          <w:color w:val="auto"/>
          <w:spacing w:val="-16"/>
          <w:kern w:val="21"/>
          <w:szCs w:val="21"/>
          <w:highlight w:val="none"/>
        </w:rPr>
        <w:instrText xml:space="preserve"> = 6 \* GB3 \* MERGEFORMAT </w:instrText>
      </w:r>
      <w:r>
        <w:rPr>
          <w:rFonts w:ascii="Times New Roman" w:hAnsi="Times New Roman" w:eastAsia="宋体"/>
          <w:b w:val="0"/>
          <w:bCs w:val="0"/>
          <w:snapToGrid w:val="0"/>
          <w:color w:val="auto"/>
          <w:spacing w:val="-16"/>
          <w:kern w:val="21"/>
          <w:szCs w:val="21"/>
          <w:highlight w:val="none"/>
        </w:rPr>
        <w:fldChar w:fldCharType="separate"/>
      </w:r>
      <w:r>
        <w:rPr>
          <w:rFonts w:ascii="Times New Roman" w:hAnsi="Times New Roman" w:eastAsia="宋体"/>
          <w:b w:val="0"/>
          <w:bCs w:val="0"/>
          <w:color w:val="auto"/>
          <w:szCs w:val="21"/>
          <w:highlight w:val="none"/>
        </w:rPr>
        <w:t>⑥</w:t>
      </w:r>
      <w:r>
        <w:rPr>
          <w:rFonts w:ascii="Times New Roman" w:hAnsi="Times New Roman" w:eastAsia="宋体"/>
          <w:b w:val="0"/>
          <w:bCs w:val="0"/>
          <w:snapToGrid w:val="0"/>
          <w:color w:val="auto"/>
          <w:spacing w:val="-16"/>
          <w:kern w:val="21"/>
          <w:szCs w:val="21"/>
          <w:highlight w:val="none"/>
        </w:rPr>
        <w:fldChar w:fldCharType="end"/>
      </w:r>
      <w:r>
        <w:rPr>
          <w:rFonts w:ascii="Times New Roman" w:hAnsi="Times New Roman" w:eastAsia="宋体"/>
          <w:b w:val="0"/>
          <w:bCs w:val="0"/>
          <w:snapToGrid w:val="0"/>
          <w:color w:val="auto"/>
          <w:spacing w:val="-16"/>
          <w:kern w:val="21"/>
          <w:szCs w:val="21"/>
          <w:highlight w:val="none"/>
        </w:rPr>
        <w:t>=</w:t>
      </w:r>
      <w:r>
        <w:rPr>
          <w:rFonts w:ascii="Times New Roman" w:hAnsi="Times New Roman" w:eastAsia="宋体"/>
          <w:b w:val="0"/>
          <w:bCs w:val="0"/>
          <w:snapToGrid w:val="0"/>
          <w:color w:val="auto"/>
          <w:spacing w:val="-6"/>
          <w:kern w:val="21"/>
          <w:szCs w:val="21"/>
          <w:highlight w:val="none"/>
        </w:rPr>
        <w:fldChar w:fldCharType="begin"/>
      </w:r>
      <w:r>
        <w:rPr>
          <w:rFonts w:ascii="Times New Roman" w:hAnsi="Times New Roman" w:eastAsia="宋体"/>
          <w:b w:val="0"/>
          <w:bCs w:val="0"/>
          <w:snapToGrid w:val="0"/>
          <w:color w:val="auto"/>
          <w:spacing w:val="-6"/>
          <w:kern w:val="21"/>
          <w:szCs w:val="21"/>
          <w:highlight w:val="none"/>
        </w:rPr>
        <w:instrText xml:space="preserve"> = 1 \* GB3 \* MERGEFORMAT </w:instrText>
      </w:r>
      <w:r>
        <w:rPr>
          <w:rFonts w:ascii="Times New Roman" w:hAnsi="Times New Roman" w:eastAsia="宋体"/>
          <w:b w:val="0"/>
          <w:bCs w:val="0"/>
          <w:snapToGrid w:val="0"/>
          <w:color w:val="auto"/>
          <w:spacing w:val="-6"/>
          <w:kern w:val="21"/>
          <w:szCs w:val="21"/>
          <w:highlight w:val="none"/>
        </w:rPr>
        <w:fldChar w:fldCharType="separate"/>
      </w:r>
      <w:r>
        <w:rPr>
          <w:rFonts w:ascii="Times New Roman" w:hAnsi="Times New Roman" w:eastAsia="宋体"/>
          <w:b w:val="0"/>
          <w:bCs w:val="0"/>
          <w:color w:val="auto"/>
          <w:szCs w:val="21"/>
          <w:highlight w:val="none"/>
        </w:rPr>
        <w:t>①</w:t>
      </w:r>
      <w:r>
        <w:rPr>
          <w:rFonts w:ascii="Times New Roman" w:hAnsi="Times New Roman" w:eastAsia="宋体"/>
          <w:b w:val="0"/>
          <w:bCs w:val="0"/>
          <w:snapToGrid w:val="0"/>
          <w:color w:val="auto"/>
          <w:spacing w:val="-6"/>
          <w:kern w:val="21"/>
          <w:szCs w:val="21"/>
          <w:highlight w:val="none"/>
        </w:rPr>
        <w:fldChar w:fldCharType="end"/>
      </w:r>
      <w:r>
        <w:rPr>
          <w:rFonts w:ascii="Times New Roman" w:hAnsi="Times New Roman" w:eastAsia="宋体"/>
          <w:b w:val="0"/>
          <w:bCs w:val="0"/>
          <w:snapToGrid w:val="0"/>
          <w:color w:val="auto"/>
          <w:spacing w:val="-6"/>
          <w:kern w:val="21"/>
          <w:szCs w:val="21"/>
          <w:highlight w:val="none"/>
        </w:rPr>
        <w:t>+</w:t>
      </w:r>
      <w:r>
        <w:rPr>
          <w:rFonts w:ascii="Times New Roman" w:hAnsi="Times New Roman" w:eastAsia="宋体"/>
          <w:b w:val="0"/>
          <w:bCs w:val="0"/>
          <w:snapToGrid w:val="0"/>
          <w:color w:val="auto"/>
          <w:spacing w:val="-6"/>
          <w:kern w:val="21"/>
          <w:szCs w:val="21"/>
          <w:highlight w:val="none"/>
        </w:rPr>
        <w:fldChar w:fldCharType="begin"/>
      </w:r>
      <w:r>
        <w:rPr>
          <w:rFonts w:ascii="Times New Roman" w:hAnsi="Times New Roman" w:eastAsia="宋体"/>
          <w:b w:val="0"/>
          <w:bCs w:val="0"/>
          <w:snapToGrid w:val="0"/>
          <w:color w:val="auto"/>
          <w:spacing w:val="-6"/>
          <w:kern w:val="21"/>
          <w:szCs w:val="21"/>
          <w:highlight w:val="none"/>
        </w:rPr>
        <w:instrText xml:space="preserve"> = 3 \* GB3 \* MERGEFORMAT </w:instrText>
      </w:r>
      <w:r>
        <w:rPr>
          <w:rFonts w:ascii="Times New Roman" w:hAnsi="Times New Roman" w:eastAsia="宋体"/>
          <w:b w:val="0"/>
          <w:bCs w:val="0"/>
          <w:snapToGrid w:val="0"/>
          <w:color w:val="auto"/>
          <w:spacing w:val="-6"/>
          <w:kern w:val="21"/>
          <w:szCs w:val="21"/>
          <w:highlight w:val="none"/>
        </w:rPr>
        <w:fldChar w:fldCharType="separate"/>
      </w:r>
      <w:r>
        <w:rPr>
          <w:rFonts w:ascii="Times New Roman" w:hAnsi="Times New Roman" w:eastAsia="宋体"/>
          <w:b w:val="0"/>
          <w:bCs w:val="0"/>
          <w:color w:val="auto"/>
          <w:szCs w:val="21"/>
          <w:highlight w:val="none"/>
        </w:rPr>
        <w:t>③</w:t>
      </w:r>
      <w:r>
        <w:rPr>
          <w:rFonts w:ascii="Times New Roman" w:hAnsi="Times New Roman" w:eastAsia="宋体"/>
          <w:b w:val="0"/>
          <w:bCs w:val="0"/>
          <w:snapToGrid w:val="0"/>
          <w:color w:val="auto"/>
          <w:spacing w:val="-6"/>
          <w:kern w:val="21"/>
          <w:szCs w:val="21"/>
          <w:highlight w:val="none"/>
        </w:rPr>
        <w:fldChar w:fldCharType="end"/>
      </w:r>
      <w:r>
        <w:rPr>
          <w:rFonts w:ascii="Times New Roman" w:hAnsi="Times New Roman" w:eastAsia="宋体"/>
          <w:b w:val="0"/>
          <w:bCs w:val="0"/>
          <w:snapToGrid w:val="0"/>
          <w:color w:val="auto"/>
          <w:spacing w:val="-6"/>
          <w:kern w:val="21"/>
          <w:szCs w:val="21"/>
          <w:highlight w:val="none"/>
        </w:rPr>
        <w:t>+</w:t>
      </w:r>
      <w:r>
        <w:rPr>
          <w:rFonts w:ascii="Times New Roman" w:hAnsi="Times New Roman" w:eastAsia="宋体"/>
          <w:b w:val="0"/>
          <w:bCs w:val="0"/>
          <w:snapToGrid w:val="0"/>
          <w:color w:val="auto"/>
          <w:spacing w:val="-6"/>
          <w:kern w:val="21"/>
          <w:szCs w:val="21"/>
          <w:highlight w:val="none"/>
        </w:rPr>
        <w:fldChar w:fldCharType="begin"/>
      </w:r>
      <w:r>
        <w:rPr>
          <w:rFonts w:ascii="Times New Roman" w:hAnsi="Times New Roman" w:eastAsia="宋体"/>
          <w:b w:val="0"/>
          <w:bCs w:val="0"/>
          <w:snapToGrid w:val="0"/>
          <w:color w:val="auto"/>
          <w:spacing w:val="-6"/>
          <w:kern w:val="21"/>
          <w:szCs w:val="21"/>
          <w:highlight w:val="none"/>
        </w:rPr>
        <w:instrText xml:space="preserve"> = 4 \* GB3 \* MERGEFORMAT </w:instrText>
      </w:r>
      <w:r>
        <w:rPr>
          <w:rFonts w:ascii="Times New Roman" w:hAnsi="Times New Roman" w:eastAsia="宋体"/>
          <w:b w:val="0"/>
          <w:bCs w:val="0"/>
          <w:snapToGrid w:val="0"/>
          <w:color w:val="auto"/>
          <w:spacing w:val="-6"/>
          <w:kern w:val="21"/>
          <w:szCs w:val="21"/>
          <w:highlight w:val="none"/>
        </w:rPr>
        <w:fldChar w:fldCharType="separate"/>
      </w:r>
      <w:r>
        <w:rPr>
          <w:rFonts w:ascii="Times New Roman" w:hAnsi="Times New Roman" w:eastAsia="宋体"/>
          <w:b w:val="0"/>
          <w:bCs w:val="0"/>
          <w:color w:val="auto"/>
          <w:szCs w:val="21"/>
          <w:highlight w:val="none"/>
        </w:rPr>
        <w:t>④</w:t>
      </w:r>
      <w:r>
        <w:rPr>
          <w:rFonts w:ascii="Times New Roman" w:hAnsi="Times New Roman" w:eastAsia="宋体"/>
          <w:b w:val="0"/>
          <w:bCs w:val="0"/>
          <w:snapToGrid w:val="0"/>
          <w:color w:val="auto"/>
          <w:spacing w:val="-6"/>
          <w:kern w:val="21"/>
          <w:szCs w:val="21"/>
          <w:highlight w:val="none"/>
        </w:rPr>
        <w:fldChar w:fldCharType="end"/>
      </w:r>
      <w:r>
        <w:rPr>
          <w:rFonts w:ascii="Times New Roman" w:hAnsi="Times New Roman" w:eastAsia="宋体"/>
          <w:b w:val="0"/>
          <w:bCs w:val="0"/>
          <w:snapToGrid w:val="0"/>
          <w:color w:val="auto"/>
          <w:spacing w:val="-6"/>
          <w:kern w:val="21"/>
          <w:szCs w:val="21"/>
          <w:highlight w:val="none"/>
        </w:rPr>
        <w:t>-</w:t>
      </w:r>
      <w:r>
        <w:rPr>
          <w:rFonts w:ascii="Times New Roman" w:hAnsi="Times New Roman" w:eastAsia="宋体"/>
          <w:b w:val="0"/>
          <w:bCs w:val="0"/>
          <w:snapToGrid w:val="0"/>
          <w:color w:val="auto"/>
          <w:spacing w:val="-16"/>
          <w:kern w:val="21"/>
          <w:szCs w:val="21"/>
          <w:highlight w:val="none"/>
        </w:rPr>
        <w:fldChar w:fldCharType="begin"/>
      </w:r>
      <w:r>
        <w:rPr>
          <w:rFonts w:ascii="Times New Roman" w:hAnsi="Times New Roman" w:eastAsia="宋体"/>
          <w:b w:val="0"/>
          <w:bCs w:val="0"/>
          <w:snapToGrid w:val="0"/>
          <w:color w:val="auto"/>
          <w:spacing w:val="-16"/>
          <w:kern w:val="21"/>
          <w:szCs w:val="21"/>
          <w:highlight w:val="none"/>
        </w:rPr>
        <w:instrText xml:space="preserve"> = 5 \* GB3 \* MERGEFORMAT </w:instrText>
      </w:r>
      <w:r>
        <w:rPr>
          <w:rFonts w:ascii="Times New Roman" w:hAnsi="Times New Roman" w:eastAsia="宋体"/>
          <w:b w:val="0"/>
          <w:bCs w:val="0"/>
          <w:snapToGrid w:val="0"/>
          <w:color w:val="auto"/>
          <w:spacing w:val="-16"/>
          <w:kern w:val="21"/>
          <w:szCs w:val="21"/>
          <w:highlight w:val="none"/>
        </w:rPr>
        <w:fldChar w:fldCharType="separate"/>
      </w:r>
      <w:r>
        <w:rPr>
          <w:rFonts w:ascii="Times New Roman" w:hAnsi="Times New Roman" w:eastAsia="宋体"/>
          <w:b w:val="0"/>
          <w:bCs w:val="0"/>
          <w:color w:val="auto"/>
          <w:szCs w:val="21"/>
          <w:highlight w:val="none"/>
        </w:rPr>
        <w:t>⑤</w:t>
      </w:r>
      <w:r>
        <w:rPr>
          <w:rFonts w:ascii="Times New Roman" w:hAnsi="Times New Roman" w:eastAsia="宋体"/>
          <w:b w:val="0"/>
          <w:bCs w:val="0"/>
          <w:snapToGrid w:val="0"/>
          <w:color w:val="auto"/>
          <w:spacing w:val="-16"/>
          <w:kern w:val="21"/>
          <w:szCs w:val="21"/>
          <w:highlight w:val="none"/>
        </w:rPr>
        <w:fldChar w:fldCharType="end"/>
      </w:r>
      <w:r>
        <w:rPr>
          <w:rFonts w:ascii="Times New Roman" w:hAnsi="Times New Roman" w:eastAsia="宋体"/>
          <w:b w:val="0"/>
          <w:bCs w:val="0"/>
          <w:snapToGrid w:val="0"/>
          <w:color w:val="auto"/>
          <w:spacing w:val="-16"/>
          <w:kern w:val="21"/>
          <w:szCs w:val="21"/>
          <w:highlight w:val="none"/>
        </w:rPr>
        <w:t>；</w:t>
      </w:r>
      <w:r>
        <w:rPr>
          <w:rFonts w:ascii="Times New Roman" w:hAnsi="Times New Roman" w:eastAsia="宋体"/>
          <w:b w:val="0"/>
          <w:bCs w:val="0"/>
          <w:snapToGrid w:val="0"/>
          <w:color w:val="auto"/>
          <w:spacing w:val="-6"/>
          <w:kern w:val="21"/>
          <w:szCs w:val="21"/>
          <w:highlight w:val="none"/>
        </w:rPr>
        <w:fldChar w:fldCharType="begin"/>
      </w:r>
      <w:r>
        <w:rPr>
          <w:rFonts w:ascii="Times New Roman" w:hAnsi="Times New Roman" w:eastAsia="宋体"/>
          <w:b w:val="0"/>
          <w:bCs w:val="0"/>
          <w:snapToGrid w:val="0"/>
          <w:color w:val="auto"/>
          <w:spacing w:val="-6"/>
          <w:kern w:val="21"/>
          <w:szCs w:val="21"/>
          <w:highlight w:val="none"/>
        </w:rPr>
        <w:instrText xml:space="preserve"> = 7 \* GB3 \* MERGEFORMAT </w:instrText>
      </w:r>
      <w:r>
        <w:rPr>
          <w:rFonts w:ascii="Times New Roman" w:hAnsi="Times New Roman" w:eastAsia="宋体"/>
          <w:b w:val="0"/>
          <w:bCs w:val="0"/>
          <w:snapToGrid w:val="0"/>
          <w:color w:val="auto"/>
          <w:spacing w:val="-6"/>
          <w:kern w:val="21"/>
          <w:szCs w:val="21"/>
          <w:highlight w:val="none"/>
        </w:rPr>
        <w:fldChar w:fldCharType="separate"/>
      </w:r>
      <w:r>
        <w:rPr>
          <w:rFonts w:ascii="Times New Roman" w:hAnsi="Times New Roman" w:eastAsia="宋体"/>
          <w:b w:val="0"/>
          <w:bCs w:val="0"/>
          <w:color w:val="auto"/>
          <w:szCs w:val="21"/>
          <w:highlight w:val="none"/>
        </w:rPr>
        <w:t>⑦</w:t>
      </w:r>
      <w:r>
        <w:rPr>
          <w:rFonts w:ascii="Times New Roman" w:hAnsi="Times New Roman" w:eastAsia="宋体"/>
          <w:b w:val="0"/>
          <w:bCs w:val="0"/>
          <w:snapToGrid w:val="0"/>
          <w:color w:val="auto"/>
          <w:spacing w:val="-6"/>
          <w:kern w:val="21"/>
          <w:szCs w:val="21"/>
          <w:highlight w:val="none"/>
        </w:rPr>
        <w:fldChar w:fldCharType="end"/>
      </w:r>
      <w:r>
        <w:rPr>
          <w:rFonts w:ascii="Times New Roman" w:hAnsi="Times New Roman" w:eastAsia="宋体"/>
          <w:b w:val="0"/>
          <w:bCs w:val="0"/>
          <w:snapToGrid w:val="0"/>
          <w:color w:val="auto"/>
          <w:spacing w:val="-6"/>
          <w:kern w:val="21"/>
          <w:szCs w:val="21"/>
          <w:highlight w:val="none"/>
        </w:rPr>
        <w:t>=</w:t>
      </w:r>
      <w:r>
        <w:rPr>
          <w:rFonts w:ascii="Times New Roman" w:hAnsi="Times New Roman" w:eastAsia="宋体"/>
          <w:b w:val="0"/>
          <w:bCs w:val="0"/>
          <w:snapToGrid w:val="0"/>
          <w:color w:val="auto"/>
          <w:spacing w:val="-16"/>
          <w:kern w:val="21"/>
          <w:szCs w:val="21"/>
          <w:highlight w:val="none"/>
        </w:rPr>
        <w:fldChar w:fldCharType="begin"/>
      </w:r>
      <w:r>
        <w:rPr>
          <w:rFonts w:ascii="Times New Roman" w:hAnsi="Times New Roman" w:eastAsia="宋体"/>
          <w:b w:val="0"/>
          <w:bCs w:val="0"/>
          <w:snapToGrid w:val="0"/>
          <w:color w:val="auto"/>
          <w:spacing w:val="-16"/>
          <w:kern w:val="21"/>
          <w:szCs w:val="21"/>
          <w:highlight w:val="none"/>
        </w:rPr>
        <w:instrText xml:space="preserve"> = 6 \* GB3 \* MERGEFORMAT </w:instrText>
      </w:r>
      <w:r>
        <w:rPr>
          <w:rFonts w:ascii="Times New Roman" w:hAnsi="Times New Roman" w:eastAsia="宋体"/>
          <w:b w:val="0"/>
          <w:bCs w:val="0"/>
          <w:snapToGrid w:val="0"/>
          <w:color w:val="auto"/>
          <w:spacing w:val="-16"/>
          <w:kern w:val="21"/>
          <w:szCs w:val="21"/>
          <w:highlight w:val="none"/>
        </w:rPr>
        <w:fldChar w:fldCharType="separate"/>
      </w:r>
      <w:r>
        <w:rPr>
          <w:rFonts w:ascii="Times New Roman" w:hAnsi="Times New Roman" w:eastAsia="宋体"/>
          <w:b w:val="0"/>
          <w:bCs w:val="0"/>
          <w:color w:val="auto"/>
          <w:szCs w:val="21"/>
          <w:highlight w:val="none"/>
        </w:rPr>
        <w:t>⑥</w:t>
      </w:r>
      <w:r>
        <w:rPr>
          <w:rFonts w:ascii="Times New Roman" w:hAnsi="Times New Roman" w:eastAsia="宋体"/>
          <w:b w:val="0"/>
          <w:bCs w:val="0"/>
          <w:snapToGrid w:val="0"/>
          <w:color w:val="auto"/>
          <w:spacing w:val="-16"/>
          <w:kern w:val="21"/>
          <w:szCs w:val="21"/>
          <w:highlight w:val="none"/>
        </w:rPr>
        <w:fldChar w:fldCharType="end"/>
      </w:r>
      <w:r>
        <w:rPr>
          <w:rFonts w:ascii="Times New Roman" w:hAnsi="Times New Roman" w:eastAsia="宋体"/>
          <w:b w:val="0"/>
          <w:bCs w:val="0"/>
          <w:snapToGrid w:val="0"/>
          <w:color w:val="auto"/>
          <w:spacing w:val="-16"/>
          <w:kern w:val="21"/>
          <w:szCs w:val="21"/>
          <w:highlight w:val="none"/>
        </w:rPr>
        <w:t>-</w:t>
      </w:r>
      <w:r>
        <w:rPr>
          <w:rFonts w:ascii="Times New Roman" w:hAnsi="Times New Roman" w:eastAsia="宋体"/>
          <w:b w:val="0"/>
          <w:bCs w:val="0"/>
          <w:snapToGrid w:val="0"/>
          <w:color w:val="auto"/>
          <w:spacing w:val="-6"/>
          <w:kern w:val="21"/>
          <w:szCs w:val="21"/>
          <w:highlight w:val="none"/>
        </w:rPr>
        <w:fldChar w:fldCharType="begin"/>
      </w:r>
      <w:r>
        <w:rPr>
          <w:rFonts w:ascii="Times New Roman" w:hAnsi="Times New Roman" w:eastAsia="宋体"/>
          <w:b w:val="0"/>
          <w:bCs w:val="0"/>
          <w:snapToGrid w:val="0"/>
          <w:color w:val="auto"/>
          <w:spacing w:val="-6"/>
          <w:kern w:val="21"/>
          <w:szCs w:val="21"/>
          <w:highlight w:val="none"/>
        </w:rPr>
        <w:instrText xml:space="preserve"> = 1 \* GB3 \* MERGEFORMAT </w:instrText>
      </w:r>
      <w:r>
        <w:rPr>
          <w:rFonts w:ascii="Times New Roman" w:hAnsi="Times New Roman" w:eastAsia="宋体"/>
          <w:b w:val="0"/>
          <w:bCs w:val="0"/>
          <w:snapToGrid w:val="0"/>
          <w:color w:val="auto"/>
          <w:spacing w:val="-6"/>
          <w:kern w:val="21"/>
          <w:szCs w:val="21"/>
          <w:highlight w:val="none"/>
        </w:rPr>
        <w:fldChar w:fldCharType="separate"/>
      </w:r>
      <w:r>
        <w:rPr>
          <w:rFonts w:ascii="Times New Roman" w:hAnsi="Times New Roman" w:eastAsia="宋体"/>
          <w:b w:val="0"/>
          <w:bCs w:val="0"/>
          <w:color w:val="auto"/>
          <w:szCs w:val="21"/>
          <w:highlight w:val="none"/>
        </w:rPr>
        <w:t>①</w:t>
      </w:r>
      <w:r>
        <w:rPr>
          <w:rFonts w:ascii="Times New Roman" w:hAnsi="Times New Roman" w:eastAsia="宋体"/>
          <w:b w:val="0"/>
          <w:bCs w:val="0"/>
          <w:snapToGrid w:val="0"/>
          <w:color w:val="auto"/>
          <w:spacing w:val="-6"/>
          <w:kern w:val="21"/>
          <w:szCs w:val="21"/>
          <w:highlight w:val="none"/>
        </w:rPr>
        <w:fldChar w:fldCharType="end"/>
      </w:r>
    </w:p>
    <w:tbl>
      <w:tblPr>
        <w:tblStyle w:val="24"/>
        <w:tblW w:w="5000" w:type="pct"/>
        <w:tblInd w:w="1"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85" w:type="dxa"/>
          <w:bottom w:w="0" w:type="dxa"/>
          <w:right w:w="85" w:type="dxa"/>
        </w:tblCellMar>
      </w:tblPr>
      <w:tblGrid>
        <w:gridCol w:w="8476"/>
      </w:tblGrid>
      <w:tr w14:paraId="2BE2EB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cantSplit/>
          <w:trHeight w:val="6600" w:hRule="exact"/>
        </w:trPr>
        <w:tc>
          <w:tcPr>
            <w:tcW w:w="4982" w:type="pct"/>
            <w:noWrap w:val="0"/>
            <w:vAlign w:val="top"/>
          </w:tcPr>
          <w:p w14:paraId="170A60F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预审意见：</w:t>
            </w:r>
          </w:p>
          <w:p w14:paraId="4DA78D3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7ADAE80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027D0E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61F609B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3A4FBB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49B7030">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36C49B56">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3B2E1850">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210B745D">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1312F09D">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0FEE1B0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1914215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25A6F69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365BA9D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公 章</w:t>
            </w:r>
          </w:p>
          <w:p w14:paraId="7F5F588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1F583EB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经办人：                                   年    月    日</w:t>
            </w:r>
          </w:p>
          <w:p w14:paraId="0121FCB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085963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85" w:type="dxa"/>
            <w:bottom w:w="0" w:type="dxa"/>
            <w:right w:w="85" w:type="dxa"/>
          </w:tblCellMar>
        </w:tblPrEx>
        <w:trPr>
          <w:cantSplit/>
          <w:trHeight w:val="7263" w:hRule="exact"/>
        </w:trPr>
        <w:tc>
          <w:tcPr>
            <w:tcW w:w="4982" w:type="pct"/>
            <w:noWrap w:val="0"/>
            <w:vAlign w:val="top"/>
          </w:tcPr>
          <w:p w14:paraId="0E0FE62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下一级环境保护行政主管部门审查意见：</w:t>
            </w:r>
          </w:p>
          <w:p w14:paraId="3D4C428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3AEADA6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18550F8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709F9B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2AA5C9F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38A0DF9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63E6901C">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6774D928">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3EE0EECC">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05854E8C">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53099F01">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7A1B54A0">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1013F80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CEDF55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68946C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00E8DA6">
            <w:pPr>
              <w:keepNext w:val="0"/>
              <w:keepLines w:val="0"/>
              <w:suppressLineNumbers w:val="0"/>
              <w:spacing w:before="0" w:beforeAutospacing="0" w:after="0" w:afterAutospacing="0"/>
              <w:ind w:left="0" w:right="0"/>
              <w:rPr>
                <w:rFonts w:hint="default" w:ascii="Times New Roman" w:hAnsi="Times New Roman" w:cs="Times New Roman"/>
                <w:color w:val="auto"/>
                <w:spacing w:val="40"/>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spacing w:val="40"/>
                <w:highlight w:val="none"/>
              </w:rPr>
              <w:t xml:space="preserve">  公章</w:t>
            </w:r>
          </w:p>
          <w:p w14:paraId="5E03A67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D9B891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spacing w:val="20"/>
                <w:highlight w:val="none"/>
              </w:rPr>
              <w:t>经办人</w:t>
            </w:r>
            <w:r>
              <w:rPr>
                <w:rFonts w:hint="default" w:ascii="Times New Roman" w:hAnsi="Times New Roman" w:cs="Times New Roman"/>
                <w:color w:val="auto"/>
                <w:highlight w:val="none"/>
              </w:rPr>
              <w:t>：                                   年    月    日</w:t>
            </w:r>
          </w:p>
          <w:p w14:paraId="4F85D63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0B8037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85" w:type="dxa"/>
            <w:bottom w:w="0" w:type="dxa"/>
            <w:right w:w="85" w:type="dxa"/>
          </w:tblCellMar>
        </w:tblPrEx>
        <w:trPr>
          <w:cantSplit/>
          <w:trHeight w:val="13790" w:hRule="exact"/>
        </w:trPr>
        <w:tc>
          <w:tcPr>
            <w:tcW w:w="4982" w:type="pct"/>
            <w:tcBorders>
              <w:bottom w:val="single" w:color="auto" w:sz="4" w:space="0"/>
            </w:tcBorders>
            <w:noWrap w:val="0"/>
            <w:vAlign w:val="top"/>
          </w:tcPr>
          <w:p w14:paraId="266E65F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审批意见：</w:t>
            </w:r>
          </w:p>
          <w:p w14:paraId="2A51E23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64C160B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F7EFD0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61848A9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4EA51D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555B02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79778F7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70A49B4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D177D0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26A2658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7E9D5C0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D86CC1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31F6D90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158C03D">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45A6C58F">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1E34AF21">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5C31807D">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091DA227">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4CA6E42E">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20907BCA">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680042BC">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2C478F1B">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69033214">
            <w:pPr>
              <w:pStyle w:val="15"/>
              <w:keepNext w:val="0"/>
              <w:keepLines w:val="0"/>
              <w:suppressLineNumbers w:val="0"/>
              <w:spacing w:before="0" w:beforeAutospacing="0" w:after="0" w:afterAutospacing="0"/>
              <w:ind w:left="0" w:leftChars="0" w:right="0" w:hanging="240"/>
              <w:rPr>
                <w:rFonts w:hint="default" w:ascii="Times New Roman" w:hAnsi="Times New Roman" w:cs="Times New Roman"/>
                <w:color w:val="auto"/>
                <w:highlight w:val="none"/>
              </w:rPr>
            </w:pPr>
          </w:p>
          <w:p w14:paraId="773CC2A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18EAAA1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C8A945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30E92F3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6FD964C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AB68D3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E7F055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6890217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1DAEB7D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2AD4713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5FF5B8B">
            <w:pPr>
              <w:keepNext w:val="0"/>
              <w:keepLines w:val="0"/>
              <w:suppressLineNumbers w:val="0"/>
              <w:spacing w:before="0" w:beforeAutospacing="0" w:after="0" w:afterAutospacing="0"/>
              <w:ind w:left="0" w:right="0"/>
              <w:rPr>
                <w:rFonts w:hint="default" w:ascii="Times New Roman" w:hAnsi="Times New Roman" w:cs="Times New Roman"/>
                <w:color w:val="auto"/>
                <w:spacing w:val="40"/>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spacing w:val="40"/>
                <w:highlight w:val="none"/>
              </w:rPr>
              <w:t xml:space="preserve">    公章</w:t>
            </w:r>
          </w:p>
          <w:p w14:paraId="6B49F3F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4E8643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spacing w:val="20"/>
                <w:highlight w:val="none"/>
              </w:rPr>
              <w:t xml:space="preserve">经办人：  </w:t>
            </w:r>
            <w:r>
              <w:rPr>
                <w:rFonts w:hint="default" w:ascii="Times New Roman" w:hAnsi="Times New Roman" w:cs="Times New Roman"/>
                <w:color w:val="auto"/>
                <w:highlight w:val="none"/>
              </w:rPr>
              <w:t xml:space="preserve">                                 年    月    日</w:t>
            </w:r>
          </w:p>
          <w:p w14:paraId="3B3ABC7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bl>
    <w:p w14:paraId="7A79B71C">
      <w:pPr>
        <w:adjustRightInd w:val="0"/>
        <w:snapToGrid w:val="0"/>
        <w:spacing w:before="100" w:beforeAutospacing="1" w:after="100" w:afterAutospacing="1" w:line="360" w:lineRule="auto"/>
        <w:jc w:val="center"/>
        <w:rPr>
          <w:rFonts w:ascii="Times New Roman" w:hAnsi="Times New Roman" w:eastAsia="黑体" w:cs="Times New Roman"/>
          <w:snapToGrid w:val="0"/>
          <w:color w:val="auto"/>
          <w:sz w:val="32"/>
          <w:szCs w:val="32"/>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75F08383">
      <w:pPr>
        <w:pStyle w:val="12"/>
        <w:numPr>
          <w:ilvl w:val="0"/>
          <w:numId w:val="0"/>
        </w:numPr>
        <w:tabs>
          <w:tab w:val="clear" w:pos="2040"/>
        </w:tabs>
        <w:rPr>
          <w:rFonts w:ascii="Times New Roman" w:hAnsi="Times New Roman" w:eastAsia="宋体"/>
          <w:color w:val="auto"/>
          <w:highlight w:val="none"/>
        </w:rPr>
      </w:pPr>
    </w:p>
    <w:sectPr>
      <w:footerReference r:id="rId7" w:type="default"/>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Arial Black">
    <w:panose1 w:val="020B0A04020102020204"/>
    <w:charset w:val="00"/>
    <w:family w:val="swiss"/>
    <w:pitch w:val="default"/>
    <w:sig w:usb0="A00002AF" w:usb1="400078FB" w:usb2="00000000" w:usb3="00000000" w:csb0="6000009F" w:csb1="DFD70000"/>
  </w:font>
  <w:font w:name="Segoe UI">
    <w:panose1 w:val="020B0502040204020203"/>
    <w:charset w:val="00"/>
    <w:family w:val="auto"/>
    <w:pitch w:val="default"/>
    <w:sig w:usb0="E4002EFF" w:usb1="C000E47F" w:usb2="00000009" w:usb3="00000000" w:csb0="200001FF" w:csb1="00000000"/>
  </w:font>
  <w:font w:name="TimesNewRomanPSMT">
    <w:altName w:val="Times New Roman"/>
    <w:panose1 w:val="00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6EE3E">
    <w:pPr>
      <w:pStyle w:val="19"/>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65694">
    <w:pPr>
      <w:pStyle w:val="19"/>
      <w:framePr w:wrap="around" w:vAnchor="text" w:hAnchor="margin" w:xAlign="center" w:y="1"/>
      <w:rPr>
        <w:rStyle w:val="28"/>
      </w:rPr>
    </w:pPr>
    <w:r>
      <w:fldChar w:fldCharType="begin"/>
    </w:r>
    <w:r>
      <w:rPr>
        <w:rStyle w:val="28"/>
      </w:rPr>
      <w:instrText xml:space="preserve">PAGE  </w:instrText>
    </w:r>
    <w:r>
      <w:fldChar w:fldCharType="end"/>
    </w:r>
  </w:p>
  <w:p w14:paraId="7C6F255C">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EFDC6">
    <w:pPr>
      <w:pStyle w:val="19"/>
      <w:ind w:right="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1884E">
                          <w:pPr>
                            <w:pStyle w:val="19"/>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DB1884E">
                    <w:pPr>
                      <w:pStyle w:val="19"/>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1138F">
    <w:pPr>
      <w:pStyle w:val="19"/>
      <w:ind w:right="360" w:firstLine="360"/>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A26FB">
                          <w:pPr>
                            <w:pStyle w:val="19"/>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A6A26FB">
                    <w:pPr>
                      <w:pStyle w:val="19"/>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3665C">
    <w:pPr>
      <w:spacing w:before="24" w:after="24"/>
      <w:rPr>
        <w:rFonts w:hint="default" w:ascii="Times New Roman" w:hAnsi="Times New Roman" w:cs="Times New Roman"/>
        <w:sz w:val="21"/>
        <w:szCs w:val="21"/>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BDA861"/>
    <w:multiLevelType w:val="singleLevel"/>
    <w:tmpl w:val="99BDA861"/>
    <w:lvl w:ilvl="0" w:tentative="0">
      <w:start w:val="1"/>
      <w:numFmt w:val="upperLetter"/>
      <w:lvlText w:val="%1."/>
      <w:lvlJc w:val="left"/>
      <w:pPr>
        <w:tabs>
          <w:tab w:val="left" w:pos="312"/>
        </w:tabs>
      </w:pPr>
    </w:lvl>
  </w:abstractNum>
  <w:abstractNum w:abstractNumId="1">
    <w:nsid w:val="B1040B29"/>
    <w:multiLevelType w:val="singleLevel"/>
    <w:tmpl w:val="B1040B29"/>
    <w:lvl w:ilvl="0" w:tentative="0">
      <w:start w:val="1"/>
      <w:numFmt w:val="decimal"/>
      <w:suff w:val="nothing"/>
      <w:lvlText w:val="%1"/>
      <w:lvlJc w:val="left"/>
      <w:pPr>
        <w:ind w:left="425" w:leftChars="0" w:hanging="425" w:firstLineChars="0"/>
      </w:pPr>
      <w:rPr>
        <w:rFonts w:hint="default"/>
      </w:rPr>
    </w:lvl>
  </w:abstractNum>
  <w:abstractNum w:abstractNumId="2">
    <w:nsid w:val="C3B28F52"/>
    <w:multiLevelType w:val="singleLevel"/>
    <w:tmpl w:val="C3B28F52"/>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3">
    <w:nsid w:val="FB30586E"/>
    <w:multiLevelType w:val="singleLevel"/>
    <w:tmpl w:val="FB30586E"/>
    <w:lvl w:ilvl="0" w:tentative="0">
      <w:start w:val="1"/>
      <w:numFmt w:val="chineseCounting"/>
      <w:suff w:val="nothing"/>
      <w:lvlText w:val="（%1）"/>
      <w:lvlJc w:val="left"/>
      <w:rPr>
        <w:rFonts w:hint="eastAsia"/>
      </w:rPr>
    </w:lvl>
  </w:abstractNum>
  <w:abstractNum w:abstractNumId="4">
    <w:nsid w:val="35CD4A3E"/>
    <w:multiLevelType w:val="singleLevel"/>
    <w:tmpl w:val="35CD4A3E"/>
    <w:lvl w:ilvl="0" w:tentative="0">
      <w:start w:val="3"/>
      <w:numFmt w:val="decimal"/>
      <w:suff w:val="nothing"/>
      <w:lvlText w:val="%1、"/>
      <w:lvlJc w:val="left"/>
    </w:lvl>
  </w:abstractNum>
  <w:abstractNum w:abstractNumId="5">
    <w:nsid w:val="38F44406"/>
    <w:multiLevelType w:val="singleLevel"/>
    <w:tmpl w:val="38F44406"/>
    <w:lvl w:ilvl="0" w:tentative="0">
      <w:start w:val="6"/>
      <w:numFmt w:val="decimal"/>
      <w:suff w:val="nothing"/>
      <w:lvlText w:val="%1、"/>
      <w:lvlJc w:val="left"/>
    </w:lvl>
  </w:abstractNum>
  <w:abstractNum w:abstractNumId="6">
    <w:nsid w:val="3C432AAD"/>
    <w:multiLevelType w:val="singleLevel"/>
    <w:tmpl w:val="3C432AAD"/>
    <w:lvl w:ilvl="0" w:tentative="0">
      <w:start w:val="1"/>
      <w:numFmt w:val="chineseCounting"/>
      <w:suff w:val="nothing"/>
      <w:lvlText w:val="（%1）"/>
      <w:lvlJc w:val="left"/>
      <w:rPr>
        <w:rFonts w:hint="eastAsia"/>
      </w:rPr>
    </w:lvl>
  </w:abstractNum>
  <w:num w:numId="1">
    <w:abstractNumId w:val="2"/>
  </w:num>
  <w:num w:numId="2">
    <w:abstractNumId w:val="6"/>
  </w:num>
  <w:num w:numId="3">
    <w:abstractNumId w:val="3"/>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342D4"/>
    <w:rsid w:val="001A64C4"/>
    <w:rsid w:val="001B0E3A"/>
    <w:rsid w:val="001B4ED4"/>
    <w:rsid w:val="001F3ADA"/>
    <w:rsid w:val="002C683F"/>
    <w:rsid w:val="002D58AF"/>
    <w:rsid w:val="003440E5"/>
    <w:rsid w:val="00384B9C"/>
    <w:rsid w:val="00423C6D"/>
    <w:rsid w:val="00460425"/>
    <w:rsid w:val="00471250"/>
    <w:rsid w:val="004B4CF1"/>
    <w:rsid w:val="005214EA"/>
    <w:rsid w:val="005574FC"/>
    <w:rsid w:val="005C27B9"/>
    <w:rsid w:val="005C4D2E"/>
    <w:rsid w:val="0063714C"/>
    <w:rsid w:val="006836D3"/>
    <w:rsid w:val="006F69AF"/>
    <w:rsid w:val="00831AAB"/>
    <w:rsid w:val="00861FAF"/>
    <w:rsid w:val="008D6FFB"/>
    <w:rsid w:val="00951821"/>
    <w:rsid w:val="00973FB8"/>
    <w:rsid w:val="00A432B3"/>
    <w:rsid w:val="00A76CB1"/>
    <w:rsid w:val="00C01385"/>
    <w:rsid w:val="00C14B91"/>
    <w:rsid w:val="00C31E6F"/>
    <w:rsid w:val="00C56800"/>
    <w:rsid w:val="00CB3C62"/>
    <w:rsid w:val="00EA40E8"/>
    <w:rsid w:val="00F44225"/>
    <w:rsid w:val="00FE0429"/>
    <w:rsid w:val="00FE0BA9"/>
    <w:rsid w:val="01057174"/>
    <w:rsid w:val="01065BD1"/>
    <w:rsid w:val="01066A48"/>
    <w:rsid w:val="010F1DA1"/>
    <w:rsid w:val="010F1ED5"/>
    <w:rsid w:val="011D10D8"/>
    <w:rsid w:val="01200D85"/>
    <w:rsid w:val="01213882"/>
    <w:rsid w:val="0122438A"/>
    <w:rsid w:val="012E0108"/>
    <w:rsid w:val="01340E74"/>
    <w:rsid w:val="01347A59"/>
    <w:rsid w:val="013B2063"/>
    <w:rsid w:val="013C1221"/>
    <w:rsid w:val="013D4C4F"/>
    <w:rsid w:val="013E6A70"/>
    <w:rsid w:val="014C4DA3"/>
    <w:rsid w:val="015008B2"/>
    <w:rsid w:val="01590644"/>
    <w:rsid w:val="01601A8E"/>
    <w:rsid w:val="016025FC"/>
    <w:rsid w:val="01675739"/>
    <w:rsid w:val="01810306"/>
    <w:rsid w:val="01877B89"/>
    <w:rsid w:val="01891B53"/>
    <w:rsid w:val="018D077E"/>
    <w:rsid w:val="01947056"/>
    <w:rsid w:val="019D115B"/>
    <w:rsid w:val="01AC75F0"/>
    <w:rsid w:val="01AE64A8"/>
    <w:rsid w:val="01AF1DAC"/>
    <w:rsid w:val="01B01200"/>
    <w:rsid w:val="01B70956"/>
    <w:rsid w:val="01B841E6"/>
    <w:rsid w:val="01BB1483"/>
    <w:rsid w:val="01C2043A"/>
    <w:rsid w:val="01CA5E81"/>
    <w:rsid w:val="01DB2C49"/>
    <w:rsid w:val="01EC5D8D"/>
    <w:rsid w:val="01FB0DFE"/>
    <w:rsid w:val="01FC240C"/>
    <w:rsid w:val="01FC6A11"/>
    <w:rsid w:val="01FE0FA3"/>
    <w:rsid w:val="01FE68D7"/>
    <w:rsid w:val="02003C25"/>
    <w:rsid w:val="0205497B"/>
    <w:rsid w:val="020E2058"/>
    <w:rsid w:val="02117D9A"/>
    <w:rsid w:val="02142FC1"/>
    <w:rsid w:val="021D229B"/>
    <w:rsid w:val="02226277"/>
    <w:rsid w:val="02283016"/>
    <w:rsid w:val="022C260F"/>
    <w:rsid w:val="022C5A34"/>
    <w:rsid w:val="02337D11"/>
    <w:rsid w:val="024A0BB7"/>
    <w:rsid w:val="02555ED9"/>
    <w:rsid w:val="02587A8B"/>
    <w:rsid w:val="025B0D98"/>
    <w:rsid w:val="025E3926"/>
    <w:rsid w:val="02664A4D"/>
    <w:rsid w:val="02681684"/>
    <w:rsid w:val="02781BC8"/>
    <w:rsid w:val="02786099"/>
    <w:rsid w:val="02847F05"/>
    <w:rsid w:val="02876264"/>
    <w:rsid w:val="0289085D"/>
    <w:rsid w:val="028C7C69"/>
    <w:rsid w:val="02902A6D"/>
    <w:rsid w:val="02906F11"/>
    <w:rsid w:val="02923DFE"/>
    <w:rsid w:val="029274C2"/>
    <w:rsid w:val="02941414"/>
    <w:rsid w:val="02991BD7"/>
    <w:rsid w:val="02A913EC"/>
    <w:rsid w:val="02B637D2"/>
    <w:rsid w:val="02B951A6"/>
    <w:rsid w:val="02B978DD"/>
    <w:rsid w:val="02C24BF1"/>
    <w:rsid w:val="02C92423"/>
    <w:rsid w:val="02C941D1"/>
    <w:rsid w:val="02C977DF"/>
    <w:rsid w:val="02CB103F"/>
    <w:rsid w:val="02CE17E8"/>
    <w:rsid w:val="02D25D8F"/>
    <w:rsid w:val="02DA05CB"/>
    <w:rsid w:val="02E54B73"/>
    <w:rsid w:val="02E828A9"/>
    <w:rsid w:val="02E84657"/>
    <w:rsid w:val="02E95F47"/>
    <w:rsid w:val="02EC699B"/>
    <w:rsid w:val="02F456F2"/>
    <w:rsid w:val="02F96FFE"/>
    <w:rsid w:val="03035935"/>
    <w:rsid w:val="03056936"/>
    <w:rsid w:val="030A0A72"/>
    <w:rsid w:val="0316683E"/>
    <w:rsid w:val="03192A63"/>
    <w:rsid w:val="031E2592"/>
    <w:rsid w:val="032338E1"/>
    <w:rsid w:val="03292A9D"/>
    <w:rsid w:val="032A1114"/>
    <w:rsid w:val="032A5089"/>
    <w:rsid w:val="033279B8"/>
    <w:rsid w:val="03367AB9"/>
    <w:rsid w:val="033B73A9"/>
    <w:rsid w:val="034026E5"/>
    <w:rsid w:val="03416159"/>
    <w:rsid w:val="03486EE3"/>
    <w:rsid w:val="034A3564"/>
    <w:rsid w:val="034D4E02"/>
    <w:rsid w:val="035C6226"/>
    <w:rsid w:val="036A59B4"/>
    <w:rsid w:val="036B7036"/>
    <w:rsid w:val="036C15D7"/>
    <w:rsid w:val="036D480B"/>
    <w:rsid w:val="03710AF1"/>
    <w:rsid w:val="03773401"/>
    <w:rsid w:val="03777925"/>
    <w:rsid w:val="03781B77"/>
    <w:rsid w:val="03883137"/>
    <w:rsid w:val="038F541B"/>
    <w:rsid w:val="03A57F3B"/>
    <w:rsid w:val="03B91C06"/>
    <w:rsid w:val="03BC4D98"/>
    <w:rsid w:val="03BE360A"/>
    <w:rsid w:val="03BE6311"/>
    <w:rsid w:val="03C265F6"/>
    <w:rsid w:val="03D41080"/>
    <w:rsid w:val="03D97BA9"/>
    <w:rsid w:val="03DD4D50"/>
    <w:rsid w:val="03E42333"/>
    <w:rsid w:val="03E91499"/>
    <w:rsid w:val="03EE2141"/>
    <w:rsid w:val="03F00E94"/>
    <w:rsid w:val="03F10FDA"/>
    <w:rsid w:val="03F700FE"/>
    <w:rsid w:val="040D5F94"/>
    <w:rsid w:val="04114082"/>
    <w:rsid w:val="041903EE"/>
    <w:rsid w:val="041B280B"/>
    <w:rsid w:val="041D47D5"/>
    <w:rsid w:val="041E22FB"/>
    <w:rsid w:val="041E434C"/>
    <w:rsid w:val="042A3990"/>
    <w:rsid w:val="042C0EBC"/>
    <w:rsid w:val="042C7234"/>
    <w:rsid w:val="04360D71"/>
    <w:rsid w:val="043F523C"/>
    <w:rsid w:val="044A30F0"/>
    <w:rsid w:val="044E2BE0"/>
    <w:rsid w:val="04507DFB"/>
    <w:rsid w:val="04523256"/>
    <w:rsid w:val="04544089"/>
    <w:rsid w:val="045C213B"/>
    <w:rsid w:val="045D1075"/>
    <w:rsid w:val="04604E57"/>
    <w:rsid w:val="04671F7C"/>
    <w:rsid w:val="047F2F94"/>
    <w:rsid w:val="04AE367F"/>
    <w:rsid w:val="04B769D7"/>
    <w:rsid w:val="04B968FF"/>
    <w:rsid w:val="04BA38D0"/>
    <w:rsid w:val="04C30E65"/>
    <w:rsid w:val="04C94873"/>
    <w:rsid w:val="04C9670A"/>
    <w:rsid w:val="04D01847"/>
    <w:rsid w:val="04D85410"/>
    <w:rsid w:val="04DF5F2E"/>
    <w:rsid w:val="04E13A54"/>
    <w:rsid w:val="04E56FAB"/>
    <w:rsid w:val="04EB6681"/>
    <w:rsid w:val="04ED064B"/>
    <w:rsid w:val="04ED2F59"/>
    <w:rsid w:val="04F1321E"/>
    <w:rsid w:val="04F853C7"/>
    <w:rsid w:val="05045994"/>
    <w:rsid w:val="050D40FB"/>
    <w:rsid w:val="050F68A2"/>
    <w:rsid w:val="05114CE6"/>
    <w:rsid w:val="0512093A"/>
    <w:rsid w:val="05143E2A"/>
    <w:rsid w:val="05161624"/>
    <w:rsid w:val="05184F9C"/>
    <w:rsid w:val="0519526F"/>
    <w:rsid w:val="051A0D14"/>
    <w:rsid w:val="051C4A8C"/>
    <w:rsid w:val="05221C94"/>
    <w:rsid w:val="052676B9"/>
    <w:rsid w:val="05404C1F"/>
    <w:rsid w:val="05412745"/>
    <w:rsid w:val="05452997"/>
    <w:rsid w:val="0547596F"/>
    <w:rsid w:val="054B25D4"/>
    <w:rsid w:val="05526700"/>
    <w:rsid w:val="055677A9"/>
    <w:rsid w:val="055B7236"/>
    <w:rsid w:val="055E0168"/>
    <w:rsid w:val="055E32F7"/>
    <w:rsid w:val="056331FE"/>
    <w:rsid w:val="056924FF"/>
    <w:rsid w:val="056B77C2"/>
    <w:rsid w:val="0578144E"/>
    <w:rsid w:val="0580185D"/>
    <w:rsid w:val="058C1AF7"/>
    <w:rsid w:val="05922FA0"/>
    <w:rsid w:val="05A3050F"/>
    <w:rsid w:val="05A537FD"/>
    <w:rsid w:val="05A6467B"/>
    <w:rsid w:val="05AD3936"/>
    <w:rsid w:val="05BC1DCB"/>
    <w:rsid w:val="05BF0808"/>
    <w:rsid w:val="05C84C14"/>
    <w:rsid w:val="05CE06E8"/>
    <w:rsid w:val="05D67331"/>
    <w:rsid w:val="05E03FD0"/>
    <w:rsid w:val="05E36288"/>
    <w:rsid w:val="05E83AE4"/>
    <w:rsid w:val="05ED6E0A"/>
    <w:rsid w:val="05EE62F0"/>
    <w:rsid w:val="06023C82"/>
    <w:rsid w:val="06042C8B"/>
    <w:rsid w:val="0607422C"/>
    <w:rsid w:val="06081A65"/>
    <w:rsid w:val="06096508"/>
    <w:rsid w:val="06133FD9"/>
    <w:rsid w:val="0619721E"/>
    <w:rsid w:val="062322F1"/>
    <w:rsid w:val="0624009C"/>
    <w:rsid w:val="06255BC2"/>
    <w:rsid w:val="062E4A77"/>
    <w:rsid w:val="06450013"/>
    <w:rsid w:val="06462DE7"/>
    <w:rsid w:val="0648365F"/>
    <w:rsid w:val="065700A2"/>
    <w:rsid w:val="065D35AE"/>
    <w:rsid w:val="06611934"/>
    <w:rsid w:val="066252E1"/>
    <w:rsid w:val="066466EB"/>
    <w:rsid w:val="066E7569"/>
    <w:rsid w:val="06701C84"/>
    <w:rsid w:val="06740E4B"/>
    <w:rsid w:val="06774F7B"/>
    <w:rsid w:val="067A7CBC"/>
    <w:rsid w:val="06844E2F"/>
    <w:rsid w:val="068B6266"/>
    <w:rsid w:val="068D4557"/>
    <w:rsid w:val="06905732"/>
    <w:rsid w:val="069476AA"/>
    <w:rsid w:val="06952573"/>
    <w:rsid w:val="06960AE2"/>
    <w:rsid w:val="069D1BFD"/>
    <w:rsid w:val="06A55BF5"/>
    <w:rsid w:val="06A86F66"/>
    <w:rsid w:val="06B06271"/>
    <w:rsid w:val="06BA27AF"/>
    <w:rsid w:val="06BD229F"/>
    <w:rsid w:val="06C75DF5"/>
    <w:rsid w:val="06D870D9"/>
    <w:rsid w:val="06DA69AD"/>
    <w:rsid w:val="06DE29E2"/>
    <w:rsid w:val="06DE31A6"/>
    <w:rsid w:val="06DE5E7B"/>
    <w:rsid w:val="06E240A6"/>
    <w:rsid w:val="06E4288E"/>
    <w:rsid w:val="06E72E78"/>
    <w:rsid w:val="06F53DF8"/>
    <w:rsid w:val="06F55595"/>
    <w:rsid w:val="06F821CF"/>
    <w:rsid w:val="06FD269B"/>
    <w:rsid w:val="071010C3"/>
    <w:rsid w:val="07131CDD"/>
    <w:rsid w:val="071640D9"/>
    <w:rsid w:val="07172148"/>
    <w:rsid w:val="071A149F"/>
    <w:rsid w:val="074327A4"/>
    <w:rsid w:val="07484670"/>
    <w:rsid w:val="074924D2"/>
    <w:rsid w:val="07493558"/>
    <w:rsid w:val="07494305"/>
    <w:rsid w:val="074F4C03"/>
    <w:rsid w:val="07524795"/>
    <w:rsid w:val="07677766"/>
    <w:rsid w:val="07724007"/>
    <w:rsid w:val="0772691D"/>
    <w:rsid w:val="07741E3E"/>
    <w:rsid w:val="077923A8"/>
    <w:rsid w:val="078260C4"/>
    <w:rsid w:val="078828AD"/>
    <w:rsid w:val="07893E75"/>
    <w:rsid w:val="07936671"/>
    <w:rsid w:val="07943000"/>
    <w:rsid w:val="07972AF0"/>
    <w:rsid w:val="07A174CB"/>
    <w:rsid w:val="07A66D44"/>
    <w:rsid w:val="07A7181C"/>
    <w:rsid w:val="07A86AAB"/>
    <w:rsid w:val="07AA45D1"/>
    <w:rsid w:val="07B436A2"/>
    <w:rsid w:val="07B70A9C"/>
    <w:rsid w:val="07BA49ED"/>
    <w:rsid w:val="07BC4B63"/>
    <w:rsid w:val="07BD3982"/>
    <w:rsid w:val="07BF5211"/>
    <w:rsid w:val="07CB4548"/>
    <w:rsid w:val="07D6114F"/>
    <w:rsid w:val="07F12200"/>
    <w:rsid w:val="07F95EB8"/>
    <w:rsid w:val="080263AD"/>
    <w:rsid w:val="08135A2E"/>
    <w:rsid w:val="08167EB9"/>
    <w:rsid w:val="0822221C"/>
    <w:rsid w:val="083825E5"/>
    <w:rsid w:val="08403C42"/>
    <w:rsid w:val="084F0DA9"/>
    <w:rsid w:val="08512C9F"/>
    <w:rsid w:val="08514A4D"/>
    <w:rsid w:val="085A276B"/>
    <w:rsid w:val="085C49DF"/>
    <w:rsid w:val="085E5458"/>
    <w:rsid w:val="08674270"/>
    <w:rsid w:val="086A0F83"/>
    <w:rsid w:val="086A1FB2"/>
    <w:rsid w:val="08705A25"/>
    <w:rsid w:val="08720DBC"/>
    <w:rsid w:val="08732C15"/>
    <w:rsid w:val="087D7E8A"/>
    <w:rsid w:val="08806A6C"/>
    <w:rsid w:val="08844E22"/>
    <w:rsid w:val="08887E73"/>
    <w:rsid w:val="088A5836"/>
    <w:rsid w:val="088E5CA1"/>
    <w:rsid w:val="0891753F"/>
    <w:rsid w:val="089D5EE4"/>
    <w:rsid w:val="08A059D4"/>
    <w:rsid w:val="08A726DC"/>
    <w:rsid w:val="08A8409B"/>
    <w:rsid w:val="08AD58BC"/>
    <w:rsid w:val="08AE1E9F"/>
    <w:rsid w:val="08B123F7"/>
    <w:rsid w:val="08B576D2"/>
    <w:rsid w:val="08B84ACC"/>
    <w:rsid w:val="08C67D8F"/>
    <w:rsid w:val="08D37B58"/>
    <w:rsid w:val="08D51B22"/>
    <w:rsid w:val="08D54A57"/>
    <w:rsid w:val="08DD718D"/>
    <w:rsid w:val="08E25FED"/>
    <w:rsid w:val="08E72291"/>
    <w:rsid w:val="08FB67E3"/>
    <w:rsid w:val="08FF26FB"/>
    <w:rsid w:val="091B54AD"/>
    <w:rsid w:val="091C14FF"/>
    <w:rsid w:val="09216B15"/>
    <w:rsid w:val="09281478"/>
    <w:rsid w:val="0928524B"/>
    <w:rsid w:val="092A7C8A"/>
    <w:rsid w:val="09305BA7"/>
    <w:rsid w:val="0934673D"/>
    <w:rsid w:val="0937357F"/>
    <w:rsid w:val="093D5F3A"/>
    <w:rsid w:val="09402DC9"/>
    <w:rsid w:val="094B3B92"/>
    <w:rsid w:val="094C42CE"/>
    <w:rsid w:val="095276EA"/>
    <w:rsid w:val="095567BF"/>
    <w:rsid w:val="095F2B82"/>
    <w:rsid w:val="0960739D"/>
    <w:rsid w:val="09643646"/>
    <w:rsid w:val="096903AD"/>
    <w:rsid w:val="096F1739"/>
    <w:rsid w:val="09743677"/>
    <w:rsid w:val="097D7547"/>
    <w:rsid w:val="097E5D15"/>
    <w:rsid w:val="09806D6E"/>
    <w:rsid w:val="09896468"/>
    <w:rsid w:val="098F4DB7"/>
    <w:rsid w:val="098F7F23"/>
    <w:rsid w:val="09972880"/>
    <w:rsid w:val="09974510"/>
    <w:rsid w:val="09A60DC8"/>
    <w:rsid w:val="09A612EC"/>
    <w:rsid w:val="09AB5C79"/>
    <w:rsid w:val="09B01C47"/>
    <w:rsid w:val="09B64A6C"/>
    <w:rsid w:val="09B96D4E"/>
    <w:rsid w:val="09BD7EA8"/>
    <w:rsid w:val="09C41DA7"/>
    <w:rsid w:val="09CB6A81"/>
    <w:rsid w:val="09D771D4"/>
    <w:rsid w:val="09DB4F16"/>
    <w:rsid w:val="09E0077E"/>
    <w:rsid w:val="09F00295"/>
    <w:rsid w:val="09F42421"/>
    <w:rsid w:val="09F879EC"/>
    <w:rsid w:val="09F91840"/>
    <w:rsid w:val="0A042E8E"/>
    <w:rsid w:val="0A053C5D"/>
    <w:rsid w:val="0A0F2E11"/>
    <w:rsid w:val="0A1026E6"/>
    <w:rsid w:val="0A1B17B6"/>
    <w:rsid w:val="0A1B5312"/>
    <w:rsid w:val="0A200374"/>
    <w:rsid w:val="0A2A7C4B"/>
    <w:rsid w:val="0A391C3C"/>
    <w:rsid w:val="0A46245A"/>
    <w:rsid w:val="0A483CE4"/>
    <w:rsid w:val="0A4A0FD9"/>
    <w:rsid w:val="0A4A5BF8"/>
    <w:rsid w:val="0A4C7BC2"/>
    <w:rsid w:val="0A4D5A91"/>
    <w:rsid w:val="0A530F50"/>
    <w:rsid w:val="0A55568C"/>
    <w:rsid w:val="0A5B6097"/>
    <w:rsid w:val="0A5E5C25"/>
    <w:rsid w:val="0A6E37A8"/>
    <w:rsid w:val="0A7563A2"/>
    <w:rsid w:val="0A7947E6"/>
    <w:rsid w:val="0A7D421F"/>
    <w:rsid w:val="0A7E6A1A"/>
    <w:rsid w:val="0A80136B"/>
    <w:rsid w:val="0A877179"/>
    <w:rsid w:val="0A8A693C"/>
    <w:rsid w:val="0A951569"/>
    <w:rsid w:val="0A9D7033"/>
    <w:rsid w:val="0AA03A6A"/>
    <w:rsid w:val="0AA74DF8"/>
    <w:rsid w:val="0AAA35A1"/>
    <w:rsid w:val="0AAE0E6D"/>
    <w:rsid w:val="0ABF65E6"/>
    <w:rsid w:val="0AC27AB4"/>
    <w:rsid w:val="0AC34EA8"/>
    <w:rsid w:val="0ADD339A"/>
    <w:rsid w:val="0ADD4CBE"/>
    <w:rsid w:val="0AF02C43"/>
    <w:rsid w:val="0AF53DB5"/>
    <w:rsid w:val="0AF837E1"/>
    <w:rsid w:val="0AFC35D6"/>
    <w:rsid w:val="0AFC73BB"/>
    <w:rsid w:val="0B0B35D9"/>
    <w:rsid w:val="0B13248D"/>
    <w:rsid w:val="0B141D77"/>
    <w:rsid w:val="0B224DC6"/>
    <w:rsid w:val="0B230A0A"/>
    <w:rsid w:val="0B24469B"/>
    <w:rsid w:val="0B285B90"/>
    <w:rsid w:val="0B2E72C7"/>
    <w:rsid w:val="0B2F60B0"/>
    <w:rsid w:val="0B301291"/>
    <w:rsid w:val="0B332B30"/>
    <w:rsid w:val="0B347A47"/>
    <w:rsid w:val="0B354AFA"/>
    <w:rsid w:val="0B3C11A9"/>
    <w:rsid w:val="0B4002FA"/>
    <w:rsid w:val="0B445E0F"/>
    <w:rsid w:val="0B472137"/>
    <w:rsid w:val="0B4B7E79"/>
    <w:rsid w:val="0B5036E2"/>
    <w:rsid w:val="0B566493"/>
    <w:rsid w:val="0B5E5DFE"/>
    <w:rsid w:val="0B61769D"/>
    <w:rsid w:val="0B6319BE"/>
    <w:rsid w:val="0B640F3B"/>
    <w:rsid w:val="0B6727D9"/>
    <w:rsid w:val="0B6E5916"/>
    <w:rsid w:val="0B725845"/>
    <w:rsid w:val="0B776EC0"/>
    <w:rsid w:val="0B7F3FC7"/>
    <w:rsid w:val="0B8D0A07"/>
    <w:rsid w:val="0B940F80"/>
    <w:rsid w:val="0B970FD6"/>
    <w:rsid w:val="0BA80E28"/>
    <w:rsid w:val="0BA96C8F"/>
    <w:rsid w:val="0BB563F5"/>
    <w:rsid w:val="0BB8476F"/>
    <w:rsid w:val="0BBB57BF"/>
    <w:rsid w:val="0BBE4AEF"/>
    <w:rsid w:val="0BBF43C3"/>
    <w:rsid w:val="0BC07B52"/>
    <w:rsid w:val="0BE30377"/>
    <w:rsid w:val="0BE77385"/>
    <w:rsid w:val="0BE8391A"/>
    <w:rsid w:val="0BF00A21"/>
    <w:rsid w:val="0BF56037"/>
    <w:rsid w:val="0BF57DE5"/>
    <w:rsid w:val="0BF94C57"/>
    <w:rsid w:val="0C061FF2"/>
    <w:rsid w:val="0C0F534B"/>
    <w:rsid w:val="0C1404FD"/>
    <w:rsid w:val="0C2801BA"/>
    <w:rsid w:val="0C346B5F"/>
    <w:rsid w:val="0C3758FA"/>
    <w:rsid w:val="0C3856BA"/>
    <w:rsid w:val="0C3B6140"/>
    <w:rsid w:val="0C41799B"/>
    <w:rsid w:val="0C58239B"/>
    <w:rsid w:val="0C670CE3"/>
    <w:rsid w:val="0C6E66F1"/>
    <w:rsid w:val="0C873133"/>
    <w:rsid w:val="0C963A33"/>
    <w:rsid w:val="0C9972AB"/>
    <w:rsid w:val="0CA313D8"/>
    <w:rsid w:val="0CA35A93"/>
    <w:rsid w:val="0CA535B9"/>
    <w:rsid w:val="0CA730CB"/>
    <w:rsid w:val="0CB16402"/>
    <w:rsid w:val="0CB601C2"/>
    <w:rsid w:val="0CB730C5"/>
    <w:rsid w:val="0CBD3065"/>
    <w:rsid w:val="0CC41F2E"/>
    <w:rsid w:val="0CCC4574"/>
    <w:rsid w:val="0CD45858"/>
    <w:rsid w:val="0CD45C4C"/>
    <w:rsid w:val="0CD7730C"/>
    <w:rsid w:val="0CD8050E"/>
    <w:rsid w:val="0CD914B5"/>
    <w:rsid w:val="0CDC5DEF"/>
    <w:rsid w:val="0CDD0FA5"/>
    <w:rsid w:val="0CE00A95"/>
    <w:rsid w:val="0CE2480D"/>
    <w:rsid w:val="0CE91379"/>
    <w:rsid w:val="0CF74077"/>
    <w:rsid w:val="0CFB58CF"/>
    <w:rsid w:val="0CFD5860"/>
    <w:rsid w:val="0D0429D6"/>
    <w:rsid w:val="0D0A78C0"/>
    <w:rsid w:val="0D0E6E52"/>
    <w:rsid w:val="0D10175C"/>
    <w:rsid w:val="0D15073F"/>
    <w:rsid w:val="0D1E3CD2"/>
    <w:rsid w:val="0D2239C4"/>
    <w:rsid w:val="0D337D7B"/>
    <w:rsid w:val="0D3963C9"/>
    <w:rsid w:val="0D423C21"/>
    <w:rsid w:val="0D4A2113"/>
    <w:rsid w:val="0D4F1B22"/>
    <w:rsid w:val="0D505C1B"/>
    <w:rsid w:val="0D524DED"/>
    <w:rsid w:val="0D5530F3"/>
    <w:rsid w:val="0D58187F"/>
    <w:rsid w:val="0D587038"/>
    <w:rsid w:val="0D5C45C0"/>
    <w:rsid w:val="0D5C585E"/>
    <w:rsid w:val="0D5F4219"/>
    <w:rsid w:val="0D6C5EE5"/>
    <w:rsid w:val="0D782A7C"/>
    <w:rsid w:val="0D7B0878"/>
    <w:rsid w:val="0D7F205C"/>
    <w:rsid w:val="0D821B4C"/>
    <w:rsid w:val="0D823F05"/>
    <w:rsid w:val="0D872084"/>
    <w:rsid w:val="0D920DC6"/>
    <w:rsid w:val="0D933D59"/>
    <w:rsid w:val="0DA67783"/>
    <w:rsid w:val="0DA97170"/>
    <w:rsid w:val="0DAA5E3D"/>
    <w:rsid w:val="0DB25F8E"/>
    <w:rsid w:val="0DB5782C"/>
    <w:rsid w:val="0DB611B3"/>
    <w:rsid w:val="0DBA7538"/>
    <w:rsid w:val="0DBD5172"/>
    <w:rsid w:val="0DC12675"/>
    <w:rsid w:val="0DC26BAC"/>
    <w:rsid w:val="0DC911D8"/>
    <w:rsid w:val="0DC932D7"/>
    <w:rsid w:val="0DD34156"/>
    <w:rsid w:val="0DD73C46"/>
    <w:rsid w:val="0DD86C3B"/>
    <w:rsid w:val="0DDC300B"/>
    <w:rsid w:val="0DE819AF"/>
    <w:rsid w:val="0DEE4240"/>
    <w:rsid w:val="0DF20A80"/>
    <w:rsid w:val="0DFC07C5"/>
    <w:rsid w:val="0DFF0090"/>
    <w:rsid w:val="0E0D74EB"/>
    <w:rsid w:val="0E1B17A7"/>
    <w:rsid w:val="0E1C6E84"/>
    <w:rsid w:val="0E285ADE"/>
    <w:rsid w:val="0E290A20"/>
    <w:rsid w:val="0E325320"/>
    <w:rsid w:val="0E356BBF"/>
    <w:rsid w:val="0E360105"/>
    <w:rsid w:val="0E363BF0"/>
    <w:rsid w:val="0E3B2427"/>
    <w:rsid w:val="0E3E7B9F"/>
    <w:rsid w:val="0E493721"/>
    <w:rsid w:val="0E4D5CB6"/>
    <w:rsid w:val="0E4E04CB"/>
    <w:rsid w:val="0E511C4A"/>
    <w:rsid w:val="0E5139F9"/>
    <w:rsid w:val="0E574D87"/>
    <w:rsid w:val="0E5B4877"/>
    <w:rsid w:val="0E65727D"/>
    <w:rsid w:val="0E686F94"/>
    <w:rsid w:val="0E8611C8"/>
    <w:rsid w:val="0E880E50"/>
    <w:rsid w:val="0E8E60D1"/>
    <w:rsid w:val="0E912CC7"/>
    <w:rsid w:val="0E9733D5"/>
    <w:rsid w:val="0E9953A0"/>
    <w:rsid w:val="0EAD7C4E"/>
    <w:rsid w:val="0EAE2BD9"/>
    <w:rsid w:val="0EB53ADF"/>
    <w:rsid w:val="0EB94E27"/>
    <w:rsid w:val="0EBA5ACB"/>
    <w:rsid w:val="0ECD1E77"/>
    <w:rsid w:val="0ECF2B6F"/>
    <w:rsid w:val="0ECF491D"/>
    <w:rsid w:val="0ED711EA"/>
    <w:rsid w:val="0ED87D67"/>
    <w:rsid w:val="0ED96FBA"/>
    <w:rsid w:val="0EDB1A22"/>
    <w:rsid w:val="0EDF667F"/>
    <w:rsid w:val="0EEB185E"/>
    <w:rsid w:val="0EEF2AC6"/>
    <w:rsid w:val="0EFD143D"/>
    <w:rsid w:val="0EFD4B02"/>
    <w:rsid w:val="0EFF46D0"/>
    <w:rsid w:val="0F026AA1"/>
    <w:rsid w:val="0F0439EF"/>
    <w:rsid w:val="0F0919B6"/>
    <w:rsid w:val="0F0D5446"/>
    <w:rsid w:val="0F0F7410"/>
    <w:rsid w:val="0F2033CB"/>
    <w:rsid w:val="0F227143"/>
    <w:rsid w:val="0F246625"/>
    <w:rsid w:val="0F36499C"/>
    <w:rsid w:val="0F3865D0"/>
    <w:rsid w:val="0F3A26DF"/>
    <w:rsid w:val="0F3E06C6"/>
    <w:rsid w:val="0F405DDD"/>
    <w:rsid w:val="0F451083"/>
    <w:rsid w:val="0F4767FA"/>
    <w:rsid w:val="0F4B602A"/>
    <w:rsid w:val="0F502EB3"/>
    <w:rsid w:val="0F515FDF"/>
    <w:rsid w:val="0F5A2BFE"/>
    <w:rsid w:val="0F5A59EB"/>
    <w:rsid w:val="0F6362EF"/>
    <w:rsid w:val="0F637C9A"/>
    <w:rsid w:val="0F661DB2"/>
    <w:rsid w:val="0F6C2A57"/>
    <w:rsid w:val="0F6C5E1D"/>
    <w:rsid w:val="0F704352"/>
    <w:rsid w:val="0F756C74"/>
    <w:rsid w:val="0F766ED1"/>
    <w:rsid w:val="0F772119"/>
    <w:rsid w:val="0F776BBB"/>
    <w:rsid w:val="0F805160"/>
    <w:rsid w:val="0F8131CF"/>
    <w:rsid w:val="0F91695C"/>
    <w:rsid w:val="0F9A13CF"/>
    <w:rsid w:val="0F9F5F5C"/>
    <w:rsid w:val="0FA60380"/>
    <w:rsid w:val="0FAE4E7B"/>
    <w:rsid w:val="0FB93C77"/>
    <w:rsid w:val="0FC018B6"/>
    <w:rsid w:val="0FC36648"/>
    <w:rsid w:val="0FC95811"/>
    <w:rsid w:val="0FCB577D"/>
    <w:rsid w:val="0FD10D9C"/>
    <w:rsid w:val="0FDB1753"/>
    <w:rsid w:val="0FDC19E8"/>
    <w:rsid w:val="0FE43EF2"/>
    <w:rsid w:val="0FFA00C0"/>
    <w:rsid w:val="0FFA637B"/>
    <w:rsid w:val="0FFC5BE6"/>
    <w:rsid w:val="100131FC"/>
    <w:rsid w:val="10105201"/>
    <w:rsid w:val="1025065E"/>
    <w:rsid w:val="10376C1E"/>
    <w:rsid w:val="103831A6"/>
    <w:rsid w:val="10390BE8"/>
    <w:rsid w:val="10417A9D"/>
    <w:rsid w:val="10432D00"/>
    <w:rsid w:val="105A5869"/>
    <w:rsid w:val="105B0B5E"/>
    <w:rsid w:val="106D43EE"/>
    <w:rsid w:val="10735E1F"/>
    <w:rsid w:val="1074577C"/>
    <w:rsid w:val="10795489"/>
    <w:rsid w:val="107E484D"/>
    <w:rsid w:val="108546D5"/>
    <w:rsid w:val="108829DB"/>
    <w:rsid w:val="108C51BC"/>
    <w:rsid w:val="109E4EEF"/>
    <w:rsid w:val="10A1053B"/>
    <w:rsid w:val="10A51DDA"/>
    <w:rsid w:val="10A83D36"/>
    <w:rsid w:val="10AA5642"/>
    <w:rsid w:val="10AC47BA"/>
    <w:rsid w:val="10AC760C"/>
    <w:rsid w:val="10B3726F"/>
    <w:rsid w:val="10B65D95"/>
    <w:rsid w:val="10B93BCF"/>
    <w:rsid w:val="10BA0C81"/>
    <w:rsid w:val="10BA69DA"/>
    <w:rsid w:val="10C7690A"/>
    <w:rsid w:val="10D66437"/>
    <w:rsid w:val="10D95F27"/>
    <w:rsid w:val="10E91940"/>
    <w:rsid w:val="11017AD2"/>
    <w:rsid w:val="11050ACA"/>
    <w:rsid w:val="1111121D"/>
    <w:rsid w:val="1111746F"/>
    <w:rsid w:val="111451B1"/>
    <w:rsid w:val="11206312"/>
    <w:rsid w:val="11382C4E"/>
    <w:rsid w:val="11385A9E"/>
    <w:rsid w:val="113D64B6"/>
    <w:rsid w:val="11425F95"/>
    <w:rsid w:val="11441C25"/>
    <w:rsid w:val="114809B7"/>
    <w:rsid w:val="11496C09"/>
    <w:rsid w:val="114A0BD3"/>
    <w:rsid w:val="114D7BB1"/>
    <w:rsid w:val="114E2471"/>
    <w:rsid w:val="115D5051"/>
    <w:rsid w:val="116F23E8"/>
    <w:rsid w:val="11787460"/>
    <w:rsid w:val="117E55AC"/>
    <w:rsid w:val="118A7DBE"/>
    <w:rsid w:val="118C2F9A"/>
    <w:rsid w:val="119500A0"/>
    <w:rsid w:val="119F34BD"/>
    <w:rsid w:val="11A17F51"/>
    <w:rsid w:val="11A50FAD"/>
    <w:rsid w:val="11A55E09"/>
    <w:rsid w:val="11B30526"/>
    <w:rsid w:val="11B65008"/>
    <w:rsid w:val="11BD13A5"/>
    <w:rsid w:val="11C52008"/>
    <w:rsid w:val="11C6025A"/>
    <w:rsid w:val="11C95F9C"/>
    <w:rsid w:val="11CC15E8"/>
    <w:rsid w:val="11CD001D"/>
    <w:rsid w:val="11D63897"/>
    <w:rsid w:val="11DB33B7"/>
    <w:rsid w:val="11DC229F"/>
    <w:rsid w:val="11DC260A"/>
    <w:rsid w:val="11E54A08"/>
    <w:rsid w:val="11E84674"/>
    <w:rsid w:val="11ED1C8A"/>
    <w:rsid w:val="11FC011F"/>
    <w:rsid w:val="12040D82"/>
    <w:rsid w:val="12042B30"/>
    <w:rsid w:val="120A740E"/>
    <w:rsid w:val="12110B1B"/>
    <w:rsid w:val="12121331"/>
    <w:rsid w:val="121216F1"/>
    <w:rsid w:val="12166C60"/>
    <w:rsid w:val="12260CF8"/>
    <w:rsid w:val="122A4187"/>
    <w:rsid w:val="122B27B2"/>
    <w:rsid w:val="122C3D05"/>
    <w:rsid w:val="122F18D1"/>
    <w:rsid w:val="123C1FCF"/>
    <w:rsid w:val="123C49C0"/>
    <w:rsid w:val="124219DB"/>
    <w:rsid w:val="12445622"/>
    <w:rsid w:val="124B69B1"/>
    <w:rsid w:val="124F64A1"/>
    <w:rsid w:val="125E00D9"/>
    <w:rsid w:val="125E4936"/>
    <w:rsid w:val="127001C5"/>
    <w:rsid w:val="12802AFE"/>
    <w:rsid w:val="128D0D77"/>
    <w:rsid w:val="1293001F"/>
    <w:rsid w:val="12940358"/>
    <w:rsid w:val="129513D3"/>
    <w:rsid w:val="1297742E"/>
    <w:rsid w:val="12A56A47"/>
    <w:rsid w:val="12C30C3D"/>
    <w:rsid w:val="12C66037"/>
    <w:rsid w:val="12C80001"/>
    <w:rsid w:val="12C81DAF"/>
    <w:rsid w:val="12CD7C39"/>
    <w:rsid w:val="12D9025C"/>
    <w:rsid w:val="12DA0B44"/>
    <w:rsid w:val="12E32A09"/>
    <w:rsid w:val="12E806A4"/>
    <w:rsid w:val="12EC15C7"/>
    <w:rsid w:val="12FC0201"/>
    <w:rsid w:val="1300779B"/>
    <w:rsid w:val="1302191C"/>
    <w:rsid w:val="13024F2E"/>
    <w:rsid w:val="13037A14"/>
    <w:rsid w:val="13051255"/>
    <w:rsid w:val="130628D8"/>
    <w:rsid w:val="131119A8"/>
    <w:rsid w:val="13174AE5"/>
    <w:rsid w:val="131E5E73"/>
    <w:rsid w:val="13223BB5"/>
    <w:rsid w:val="1323348A"/>
    <w:rsid w:val="13281DD8"/>
    <w:rsid w:val="132A7D5E"/>
    <w:rsid w:val="132D4308"/>
    <w:rsid w:val="132D60B6"/>
    <w:rsid w:val="1332191F"/>
    <w:rsid w:val="13345697"/>
    <w:rsid w:val="13347445"/>
    <w:rsid w:val="1339201A"/>
    <w:rsid w:val="133B4C77"/>
    <w:rsid w:val="13477178"/>
    <w:rsid w:val="134F2888"/>
    <w:rsid w:val="135917E9"/>
    <w:rsid w:val="135A1732"/>
    <w:rsid w:val="1370543F"/>
    <w:rsid w:val="13781A98"/>
    <w:rsid w:val="13946DF0"/>
    <w:rsid w:val="139B3968"/>
    <w:rsid w:val="13A22600"/>
    <w:rsid w:val="13A40B67"/>
    <w:rsid w:val="13A9118F"/>
    <w:rsid w:val="13AD4FA0"/>
    <w:rsid w:val="13C749D7"/>
    <w:rsid w:val="13CE5AEB"/>
    <w:rsid w:val="13D4535A"/>
    <w:rsid w:val="13D65D70"/>
    <w:rsid w:val="13D749A0"/>
    <w:rsid w:val="13DE5A11"/>
    <w:rsid w:val="13E96AF2"/>
    <w:rsid w:val="13EE5846"/>
    <w:rsid w:val="13F033EC"/>
    <w:rsid w:val="13F5187B"/>
    <w:rsid w:val="14157701"/>
    <w:rsid w:val="14327E28"/>
    <w:rsid w:val="14340B01"/>
    <w:rsid w:val="143B7FF8"/>
    <w:rsid w:val="143E449F"/>
    <w:rsid w:val="144C7508"/>
    <w:rsid w:val="14506D40"/>
    <w:rsid w:val="14744FF2"/>
    <w:rsid w:val="14763522"/>
    <w:rsid w:val="14794EA4"/>
    <w:rsid w:val="147A6BB3"/>
    <w:rsid w:val="147E0924"/>
    <w:rsid w:val="148458D3"/>
    <w:rsid w:val="14850066"/>
    <w:rsid w:val="1491260D"/>
    <w:rsid w:val="149843B4"/>
    <w:rsid w:val="149A3C1F"/>
    <w:rsid w:val="149C1746"/>
    <w:rsid w:val="149E7F66"/>
    <w:rsid w:val="14A676A3"/>
    <w:rsid w:val="14A8633C"/>
    <w:rsid w:val="14AD3BD1"/>
    <w:rsid w:val="14AE3227"/>
    <w:rsid w:val="14B60A59"/>
    <w:rsid w:val="14B720DC"/>
    <w:rsid w:val="14CA379A"/>
    <w:rsid w:val="14D02A6D"/>
    <w:rsid w:val="14D02BF1"/>
    <w:rsid w:val="14D64EEC"/>
    <w:rsid w:val="14DE1D5E"/>
    <w:rsid w:val="14EF207A"/>
    <w:rsid w:val="14F44513"/>
    <w:rsid w:val="15001CD4"/>
    <w:rsid w:val="1505553D"/>
    <w:rsid w:val="15082937"/>
    <w:rsid w:val="153B2D0D"/>
    <w:rsid w:val="153D4CD7"/>
    <w:rsid w:val="15406E6B"/>
    <w:rsid w:val="15455FC4"/>
    <w:rsid w:val="154E2DFB"/>
    <w:rsid w:val="15510782"/>
    <w:rsid w:val="15603C4A"/>
    <w:rsid w:val="156264EB"/>
    <w:rsid w:val="15677583"/>
    <w:rsid w:val="15693F0C"/>
    <w:rsid w:val="157306F8"/>
    <w:rsid w:val="1573165A"/>
    <w:rsid w:val="1574621E"/>
    <w:rsid w:val="157C2C73"/>
    <w:rsid w:val="15806971"/>
    <w:rsid w:val="15893DF8"/>
    <w:rsid w:val="158C7B46"/>
    <w:rsid w:val="158F4E06"/>
    <w:rsid w:val="158F6B4C"/>
    <w:rsid w:val="159348F7"/>
    <w:rsid w:val="159468C1"/>
    <w:rsid w:val="15966195"/>
    <w:rsid w:val="15980968"/>
    <w:rsid w:val="159C2C56"/>
    <w:rsid w:val="15A050F7"/>
    <w:rsid w:val="15A96F18"/>
    <w:rsid w:val="15B036FB"/>
    <w:rsid w:val="15BB209F"/>
    <w:rsid w:val="15CB45DA"/>
    <w:rsid w:val="15CE7BDD"/>
    <w:rsid w:val="15CF16A7"/>
    <w:rsid w:val="15D32F45"/>
    <w:rsid w:val="15DB49C8"/>
    <w:rsid w:val="15DE18EA"/>
    <w:rsid w:val="15E870D0"/>
    <w:rsid w:val="15EC64DD"/>
    <w:rsid w:val="15EE3FD0"/>
    <w:rsid w:val="15EF76B0"/>
    <w:rsid w:val="15F01D49"/>
    <w:rsid w:val="15F22551"/>
    <w:rsid w:val="15F33C85"/>
    <w:rsid w:val="15F630D7"/>
    <w:rsid w:val="16115843"/>
    <w:rsid w:val="161C28E0"/>
    <w:rsid w:val="161E7F60"/>
    <w:rsid w:val="16225C7A"/>
    <w:rsid w:val="16337E88"/>
    <w:rsid w:val="163976E4"/>
    <w:rsid w:val="163C4469"/>
    <w:rsid w:val="163F4A7E"/>
    <w:rsid w:val="164A3EE5"/>
    <w:rsid w:val="16546C3D"/>
    <w:rsid w:val="16551BAC"/>
    <w:rsid w:val="165A5414"/>
    <w:rsid w:val="166167A3"/>
    <w:rsid w:val="1663076D"/>
    <w:rsid w:val="166603FD"/>
    <w:rsid w:val="166777E0"/>
    <w:rsid w:val="16783AEC"/>
    <w:rsid w:val="168E50BE"/>
    <w:rsid w:val="169C5A2D"/>
    <w:rsid w:val="169D0491"/>
    <w:rsid w:val="169E385A"/>
    <w:rsid w:val="16AB7707"/>
    <w:rsid w:val="16B30C23"/>
    <w:rsid w:val="16B72917"/>
    <w:rsid w:val="16C36211"/>
    <w:rsid w:val="16C44F84"/>
    <w:rsid w:val="16D03928"/>
    <w:rsid w:val="16D3103C"/>
    <w:rsid w:val="16D74CB7"/>
    <w:rsid w:val="16D8458B"/>
    <w:rsid w:val="16E42F30"/>
    <w:rsid w:val="16E80C72"/>
    <w:rsid w:val="16EB42BE"/>
    <w:rsid w:val="16F72C63"/>
    <w:rsid w:val="17075B7B"/>
    <w:rsid w:val="17081314"/>
    <w:rsid w:val="170E6A85"/>
    <w:rsid w:val="17125CEF"/>
    <w:rsid w:val="17151105"/>
    <w:rsid w:val="171548AE"/>
    <w:rsid w:val="1720040C"/>
    <w:rsid w:val="172016ED"/>
    <w:rsid w:val="172872C1"/>
    <w:rsid w:val="17306175"/>
    <w:rsid w:val="17391103"/>
    <w:rsid w:val="17396B4A"/>
    <w:rsid w:val="17416EF8"/>
    <w:rsid w:val="174A116E"/>
    <w:rsid w:val="174A246D"/>
    <w:rsid w:val="174F2A9F"/>
    <w:rsid w:val="17577BA6"/>
    <w:rsid w:val="1758293B"/>
    <w:rsid w:val="175E0F34"/>
    <w:rsid w:val="17622036"/>
    <w:rsid w:val="176233E5"/>
    <w:rsid w:val="176820FF"/>
    <w:rsid w:val="176A76CB"/>
    <w:rsid w:val="176D73C9"/>
    <w:rsid w:val="176E2C4A"/>
    <w:rsid w:val="176E561B"/>
    <w:rsid w:val="17710C68"/>
    <w:rsid w:val="1776514E"/>
    <w:rsid w:val="1779265B"/>
    <w:rsid w:val="177B5642"/>
    <w:rsid w:val="1789687A"/>
    <w:rsid w:val="178C03AA"/>
    <w:rsid w:val="178D1819"/>
    <w:rsid w:val="178E7A6B"/>
    <w:rsid w:val="1796247C"/>
    <w:rsid w:val="17A518D1"/>
    <w:rsid w:val="17A600E3"/>
    <w:rsid w:val="17A74E1F"/>
    <w:rsid w:val="17A76135"/>
    <w:rsid w:val="17A86BC6"/>
    <w:rsid w:val="17B31280"/>
    <w:rsid w:val="17B374D2"/>
    <w:rsid w:val="17C4348D"/>
    <w:rsid w:val="17CC2342"/>
    <w:rsid w:val="17D25EBC"/>
    <w:rsid w:val="17E01460"/>
    <w:rsid w:val="17E06C0C"/>
    <w:rsid w:val="17E4768B"/>
    <w:rsid w:val="17E71CCD"/>
    <w:rsid w:val="17EE050A"/>
    <w:rsid w:val="17EE22B8"/>
    <w:rsid w:val="17F90C5D"/>
    <w:rsid w:val="180C273E"/>
    <w:rsid w:val="180F222F"/>
    <w:rsid w:val="181326B7"/>
    <w:rsid w:val="18153CE9"/>
    <w:rsid w:val="181B4F9E"/>
    <w:rsid w:val="182B17CD"/>
    <w:rsid w:val="183028D1"/>
    <w:rsid w:val="183A54FD"/>
    <w:rsid w:val="183B4201"/>
    <w:rsid w:val="184053F5"/>
    <w:rsid w:val="18475E6C"/>
    <w:rsid w:val="18477C1A"/>
    <w:rsid w:val="18544FDE"/>
    <w:rsid w:val="18567E5D"/>
    <w:rsid w:val="18645AAB"/>
    <w:rsid w:val="18664544"/>
    <w:rsid w:val="186F7D3C"/>
    <w:rsid w:val="187B24D3"/>
    <w:rsid w:val="18864640"/>
    <w:rsid w:val="188E10D5"/>
    <w:rsid w:val="188F55AE"/>
    <w:rsid w:val="188F5919"/>
    <w:rsid w:val="189B219C"/>
    <w:rsid w:val="189B5AA1"/>
    <w:rsid w:val="18AB22F9"/>
    <w:rsid w:val="18AE0A99"/>
    <w:rsid w:val="18AE1A47"/>
    <w:rsid w:val="18AE7C99"/>
    <w:rsid w:val="18C965C0"/>
    <w:rsid w:val="18D05E62"/>
    <w:rsid w:val="18D21BDA"/>
    <w:rsid w:val="18D71994"/>
    <w:rsid w:val="18D86AC4"/>
    <w:rsid w:val="18E40145"/>
    <w:rsid w:val="18ED6A14"/>
    <w:rsid w:val="18F6044E"/>
    <w:rsid w:val="18F966A8"/>
    <w:rsid w:val="18FE652B"/>
    <w:rsid w:val="19017DC9"/>
    <w:rsid w:val="19045B0B"/>
    <w:rsid w:val="19047787"/>
    <w:rsid w:val="19066B43"/>
    <w:rsid w:val="190B5BA5"/>
    <w:rsid w:val="19105CD2"/>
    <w:rsid w:val="191B2724"/>
    <w:rsid w:val="191C2E55"/>
    <w:rsid w:val="1921046B"/>
    <w:rsid w:val="19262F0B"/>
    <w:rsid w:val="192B3F53"/>
    <w:rsid w:val="193E101D"/>
    <w:rsid w:val="19524AC9"/>
    <w:rsid w:val="19566367"/>
    <w:rsid w:val="195720DF"/>
    <w:rsid w:val="195B19B9"/>
    <w:rsid w:val="195B1D00"/>
    <w:rsid w:val="19621AEC"/>
    <w:rsid w:val="19622F5E"/>
    <w:rsid w:val="1965023A"/>
    <w:rsid w:val="197131A1"/>
    <w:rsid w:val="19713556"/>
    <w:rsid w:val="19772F9A"/>
    <w:rsid w:val="19781B17"/>
    <w:rsid w:val="19810F0A"/>
    <w:rsid w:val="19813C37"/>
    <w:rsid w:val="198509FA"/>
    <w:rsid w:val="19876E02"/>
    <w:rsid w:val="19886E22"/>
    <w:rsid w:val="19904B9B"/>
    <w:rsid w:val="19996254"/>
    <w:rsid w:val="19A4350C"/>
    <w:rsid w:val="19B80DD0"/>
    <w:rsid w:val="19BB08C0"/>
    <w:rsid w:val="19BC47A3"/>
    <w:rsid w:val="19C05ED6"/>
    <w:rsid w:val="19C06489"/>
    <w:rsid w:val="19C26506"/>
    <w:rsid w:val="19D2736C"/>
    <w:rsid w:val="19D91C69"/>
    <w:rsid w:val="19DE5E98"/>
    <w:rsid w:val="19EF056A"/>
    <w:rsid w:val="19F3005A"/>
    <w:rsid w:val="19F7110D"/>
    <w:rsid w:val="19FD4A34"/>
    <w:rsid w:val="1A002777"/>
    <w:rsid w:val="1A044015"/>
    <w:rsid w:val="1A1B2562"/>
    <w:rsid w:val="1A210F4F"/>
    <w:rsid w:val="1A2521DD"/>
    <w:rsid w:val="1A255D39"/>
    <w:rsid w:val="1A283AC8"/>
    <w:rsid w:val="1A2975D8"/>
    <w:rsid w:val="1A2B6265"/>
    <w:rsid w:val="1A32501B"/>
    <w:rsid w:val="1A330456"/>
    <w:rsid w:val="1A404C5B"/>
    <w:rsid w:val="1A443D9C"/>
    <w:rsid w:val="1A472B8C"/>
    <w:rsid w:val="1A495ECC"/>
    <w:rsid w:val="1A4F26A4"/>
    <w:rsid w:val="1A4F431C"/>
    <w:rsid w:val="1A514F25"/>
    <w:rsid w:val="1A534805"/>
    <w:rsid w:val="1A63048D"/>
    <w:rsid w:val="1A670100"/>
    <w:rsid w:val="1A676352"/>
    <w:rsid w:val="1A6F1B2A"/>
    <w:rsid w:val="1A727303"/>
    <w:rsid w:val="1A7867B1"/>
    <w:rsid w:val="1A7A42D7"/>
    <w:rsid w:val="1A7A6036"/>
    <w:rsid w:val="1A8014F0"/>
    <w:rsid w:val="1A8711E9"/>
    <w:rsid w:val="1A9133CF"/>
    <w:rsid w:val="1A9B0BEB"/>
    <w:rsid w:val="1AA11864"/>
    <w:rsid w:val="1AA56FDE"/>
    <w:rsid w:val="1AA650CC"/>
    <w:rsid w:val="1AA84175"/>
    <w:rsid w:val="1AAB623F"/>
    <w:rsid w:val="1AAF7880"/>
    <w:rsid w:val="1AB21997"/>
    <w:rsid w:val="1AB74129"/>
    <w:rsid w:val="1AC94917"/>
    <w:rsid w:val="1ACE3E09"/>
    <w:rsid w:val="1AD31C39"/>
    <w:rsid w:val="1AD339E7"/>
    <w:rsid w:val="1AD63BEC"/>
    <w:rsid w:val="1AD73553"/>
    <w:rsid w:val="1AD867DA"/>
    <w:rsid w:val="1AE41750"/>
    <w:rsid w:val="1AE45BF4"/>
    <w:rsid w:val="1AEF717C"/>
    <w:rsid w:val="1AF07FBF"/>
    <w:rsid w:val="1AF54683"/>
    <w:rsid w:val="1AFA0F74"/>
    <w:rsid w:val="1AFC4CEC"/>
    <w:rsid w:val="1AFC5C92"/>
    <w:rsid w:val="1B083691"/>
    <w:rsid w:val="1B0D514B"/>
    <w:rsid w:val="1B0F05BD"/>
    <w:rsid w:val="1B164DBC"/>
    <w:rsid w:val="1B1F46F8"/>
    <w:rsid w:val="1B261D69"/>
    <w:rsid w:val="1B2E5D3C"/>
    <w:rsid w:val="1B3426D8"/>
    <w:rsid w:val="1B3C333B"/>
    <w:rsid w:val="1B485930"/>
    <w:rsid w:val="1B486183"/>
    <w:rsid w:val="1B4A1593"/>
    <w:rsid w:val="1B4C2B0C"/>
    <w:rsid w:val="1B520A5B"/>
    <w:rsid w:val="1B5763C6"/>
    <w:rsid w:val="1B633F67"/>
    <w:rsid w:val="1B643A72"/>
    <w:rsid w:val="1B650AE3"/>
    <w:rsid w:val="1B6A5160"/>
    <w:rsid w:val="1B6F54BE"/>
    <w:rsid w:val="1B703C88"/>
    <w:rsid w:val="1B79449A"/>
    <w:rsid w:val="1B82162B"/>
    <w:rsid w:val="1B851185"/>
    <w:rsid w:val="1B8D09A8"/>
    <w:rsid w:val="1B8F437C"/>
    <w:rsid w:val="1B917B2A"/>
    <w:rsid w:val="1B9273FE"/>
    <w:rsid w:val="1B9E5DA3"/>
    <w:rsid w:val="1BA3160C"/>
    <w:rsid w:val="1BA47BE0"/>
    <w:rsid w:val="1BA8707E"/>
    <w:rsid w:val="1BAA299A"/>
    <w:rsid w:val="1BB05AD7"/>
    <w:rsid w:val="1BB20E3A"/>
    <w:rsid w:val="1BB325C6"/>
    <w:rsid w:val="1BB73344"/>
    <w:rsid w:val="1BBD7E75"/>
    <w:rsid w:val="1BC10516"/>
    <w:rsid w:val="1BE340FE"/>
    <w:rsid w:val="1BE74617"/>
    <w:rsid w:val="1BEA74D5"/>
    <w:rsid w:val="1BF260EF"/>
    <w:rsid w:val="1BF704FB"/>
    <w:rsid w:val="1BF97D57"/>
    <w:rsid w:val="1BFE2CE6"/>
    <w:rsid w:val="1C0320AA"/>
    <w:rsid w:val="1C04216C"/>
    <w:rsid w:val="1C057BD0"/>
    <w:rsid w:val="1C0628B7"/>
    <w:rsid w:val="1C073948"/>
    <w:rsid w:val="1C0A6AB2"/>
    <w:rsid w:val="1C0E117B"/>
    <w:rsid w:val="1C183DA8"/>
    <w:rsid w:val="1C1A313F"/>
    <w:rsid w:val="1C1D316C"/>
    <w:rsid w:val="1C2269D4"/>
    <w:rsid w:val="1C2F04CC"/>
    <w:rsid w:val="1C441FDC"/>
    <w:rsid w:val="1C4A1A87"/>
    <w:rsid w:val="1C4B5294"/>
    <w:rsid w:val="1C5172BA"/>
    <w:rsid w:val="1C56042C"/>
    <w:rsid w:val="1C6D1D6F"/>
    <w:rsid w:val="1C6D24F4"/>
    <w:rsid w:val="1C744D56"/>
    <w:rsid w:val="1C7A6810"/>
    <w:rsid w:val="1C7D36C7"/>
    <w:rsid w:val="1C80194D"/>
    <w:rsid w:val="1C8036FB"/>
    <w:rsid w:val="1C847089"/>
    <w:rsid w:val="1C872CDB"/>
    <w:rsid w:val="1C996523"/>
    <w:rsid w:val="1C9B5562"/>
    <w:rsid w:val="1C9D241E"/>
    <w:rsid w:val="1C9F1DD3"/>
    <w:rsid w:val="1CA078F9"/>
    <w:rsid w:val="1CA92C52"/>
    <w:rsid w:val="1CAE64BA"/>
    <w:rsid w:val="1CB47F11"/>
    <w:rsid w:val="1CB6711D"/>
    <w:rsid w:val="1CB83CAF"/>
    <w:rsid w:val="1CC10040"/>
    <w:rsid w:val="1CC6551A"/>
    <w:rsid w:val="1CC93433"/>
    <w:rsid w:val="1CD001DE"/>
    <w:rsid w:val="1CD253DE"/>
    <w:rsid w:val="1CDA2E0B"/>
    <w:rsid w:val="1CDF48C5"/>
    <w:rsid w:val="1CE15084"/>
    <w:rsid w:val="1CE428DF"/>
    <w:rsid w:val="1CEB326A"/>
    <w:rsid w:val="1CF06AD2"/>
    <w:rsid w:val="1CF245F9"/>
    <w:rsid w:val="1D063C00"/>
    <w:rsid w:val="1D0742FC"/>
    <w:rsid w:val="1D0C4666"/>
    <w:rsid w:val="1D0D3703"/>
    <w:rsid w:val="1D17405F"/>
    <w:rsid w:val="1D1C3424"/>
    <w:rsid w:val="1D33616F"/>
    <w:rsid w:val="1D381086"/>
    <w:rsid w:val="1D3D0A5D"/>
    <w:rsid w:val="1D3F51A9"/>
    <w:rsid w:val="1D45120A"/>
    <w:rsid w:val="1D48081E"/>
    <w:rsid w:val="1D49213A"/>
    <w:rsid w:val="1D497F91"/>
    <w:rsid w:val="1D527E1C"/>
    <w:rsid w:val="1D562FD5"/>
    <w:rsid w:val="1D5C0E83"/>
    <w:rsid w:val="1D5D57EA"/>
    <w:rsid w:val="1D6E149D"/>
    <w:rsid w:val="1D7B2840"/>
    <w:rsid w:val="1D81597C"/>
    <w:rsid w:val="1D826632"/>
    <w:rsid w:val="1D900790"/>
    <w:rsid w:val="1D966DEE"/>
    <w:rsid w:val="1D986D65"/>
    <w:rsid w:val="1DA67191"/>
    <w:rsid w:val="1DB418AE"/>
    <w:rsid w:val="1DBC69B5"/>
    <w:rsid w:val="1DC415BC"/>
    <w:rsid w:val="1DC51B08"/>
    <w:rsid w:val="1DC67833"/>
    <w:rsid w:val="1DE06B47"/>
    <w:rsid w:val="1DF01A8F"/>
    <w:rsid w:val="1DF42728"/>
    <w:rsid w:val="1E034158"/>
    <w:rsid w:val="1E082C1B"/>
    <w:rsid w:val="1E0F11DA"/>
    <w:rsid w:val="1E105F0A"/>
    <w:rsid w:val="1E137FFF"/>
    <w:rsid w:val="1E1D38F7"/>
    <w:rsid w:val="1E1D7EB3"/>
    <w:rsid w:val="1E1E141D"/>
    <w:rsid w:val="1E2C2D12"/>
    <w:rsid w:val="1E302101"/>
    <w:rsid w:val="1E3B078C"/>
    <w:rsid w:val="1E4075E6"/>
    <w:rsid w:val="1E42344B"/>
    <w:rsid w:val="1E426EBA"/>
    <w:rsid w:val="1E4A258F"/>
    <w:rsid w:val="1E4D16C6"/>
    <w:rsid w:val="1E5310C7"/>
    <w:rsid w:val="1E5A2D1B"/>
    <w:rsid w:val="1E5D4451"/>
    <w:rsid w:val="1E693EC0"/>
    <w:rsid w:val="1E694075"/>
    <w:rsid w:val="1E696B3C"/>
    <w:rsid w:val="1E7A22F1"/>
    <w:rsid w:val="1E8219AC"/>
    <w:rsid w:val="1E831280"/>
    <w:rsid w:val="1E840DEC"/>
    <w:rsid w:val="1E874E4D"/>
    <w:rsid w:val="1E917E41"/>
    <w:rsid w:val="1E956402"/>
    <w:rsid w:val="1E982F7E"/>
    <w:rsid w:val="1EA02A26"/>
    <w:rsid w:val="1EA731C1"/>
    <w:rsid w:val="1EAB0F03"/>
    <w:rsid w:val="1EB12291"/>
    <w:rsid w:val="1EB27BD0"/>
    <w:rsid w:val="1EC92A44"/>
    <w:rsid w:val="1ED03DDD"/>
    <w:rsid w:val="1ED42B97"/>
    <w:rsid w:val="1EE6018D"/>
    <w:rsid w:val="1EEE53EA"/>
    <w:rsid w:val="1EF04B68"/>
    <w:rsid w:val="1EFB0FDF"/>
    <w:rsid w:val="1F10520A"/>
    <w:rsid w:val="1F113BD2"/>
    <w:rsid w:val="1F1828A7"/>
    <w:rsid w:val="1F201DBF"/>
    <w:rsid w:val="1F247E78"/>
    <w:rsid w:val="1F3446D2"/>
    <w:rsid w:val="1F345BBF"/>
    <w:rsid w:val="1F346382"/>
    <w:rsid w:val="1F3F3A42"/>
    <w:rsid w:val="1F501AAA"/>
    <w:rsid w:val="1F5122ED"/>
    <w:rsid w:val="1F5321A4"/>
    <w:rsid w:val="1F5570C1"/>
    <w:rsid w:val="1F564138"/>
    <w:rsid w:val="1F58270D"/>
    <w:rsid w:val="1F5F247E"/>
    <w:rsid w:val="1F686DF4"/>
    <w:rsid w:val="1F703EFB"/>
    <w:rsid w:val="1F794278"/>
    <w:rsid w:val="1F7D7CFC"/>
    <w:rsid w:val="1F7F413E"/>
    <w:rsid w:val="1F8359DC"/>
    <w:rsid w:val="1F8B3D41"/>
    <w:rsid w:val="1F8D0609"/>
    <w:rsid w:val="1F8D21E7"/>
    <w:rsid w:val="1F9D6372"/>
    <w:rsid w:val="1FA55162"/>
    <w:rsid w:val="1FA55824"/>
    <w:rsid w:val="1FA6791C"/>
    <w:rsid w:val="1FAA1CAD"/>
    <w:rsid w:val="1FB40953"/>
    <w:rsid w:val="1FB71A08"/>
    <w:rsid w:val="1FB90D87"/>
    <w:rsid w:val="1FBA5176"/>
    <w:rsid w:val="1FC3227C"/>
    <w:rsid w:val="1FC3402A"/>
    <w:rsid w:val="1FC57DA2"/>
    <w:rsid w:val="1FCB7383"/>
    <w:rsid w:val="1FD56418"/>
    <w:rsid w:val="1FD941DA"/>
    <w:rsid w:val="1FDC333E"/>
    <w:rsid w:val="1FE3647B"/>
    <w:rsid w:val="1FE4256C"/>
    <w:rsid w:val="1FE616FF"/>
    <w:rsid w:val="1FEE3382"/>
    <w:rsid w:val="1FF22625"/>
    <w:rsid w:val="1FF62C35"/>
    <w:rsid w:val="1FF75640"/>
    <w:rsid w:val="1FF97A4C"/>
    <w:rsid w:val="20052895"/>
    <w:rsid w:val="20075332"/>
    <w:rsid w:val="2007660D"/>
    <w:rsid w:val="202251F5"/>
    <w:rsid w:val="202A2B59"/>
    <w:rsid w:val="202C26E9"/>
    <w:rsid w:val="202E2AB2"/>
    <w:rsid w:val="202F346E"/>
    <w:rsid w:val="204131A1"/>
    <w:rsid w:val="204213F3"/>
    <w:rsid w:val="204E0CAA"/>
    <w:rsid w:val="204E514B"/>
    <w:rsid w:val="2052796F"/>
    <w:rsid w:val="20531852"/>
    <w:rsid w:val="205870DA"/>
    <w:rsid w:val="205D447F"/>
    <w:rsid w:val="20607ACB"/>
    <w:rsid w:val="206C2914"/>
    <w:rsid w:val="206F11A9"/>
    <w:rsid w:val="206F285C"/>
    <w:rsid w:val="207E3B11"/>
    <w:rsid w:val="207F2647"/>
    <w:rsid w:val="20894213"/>
    <w:rsid w:val="209675E1"/>
    <w:rsid w:val="209A4B87"/>
    <w:rsid w:val="20B41BC5"/>
    <w:rsid w:val="20B63B8F"/>
    <w:rsid w:val="20CB1E8B"/>
    <w:rsid w:val="20D12669"/>
    <w:rsid w:val="20DE3845"/>
    <w:rsid w:val="20E42618"/>
    <w:rsid w:val="20E524BD"/>
    <w:rsid w:val="20EE50D7"/>
    <w:rsid w:val="20F841A8"/>
    <w:rsid w:val="20FB3307"/>
    <w:rsid w:val="20FE1726"/>
    <w:rsid w:val="210165B1"/>
    <w:rsid w:val="21093CBF"/>
    <w:rsid w:val="210E6D86"/>
    <w:rsid w:val="211054D6"/>
    <w:rsid w:val="2116462E"/>
    <w:rsid w:val="212154AC"/>
    <w:rsid w:val="212A2260"/>
    <w:rsid w:val="213A32E2"/>
    <w:rsid w:val="21423675"/>
    <w:rsid w:val="214E3DC8"/>
    <w:rsid w:val="215018EE"/>
    <w:rsid w:val="21537630"/>
    <w:rsid w:val="215A451A"/>
    <w:rsid w:val="21600249"/>
    <w:rsid w:val="2163669C"/>
    <w:rsid w:val="21731A80"/>
    <w:rsid w:val="21793DC5"/>
    <w:rsid w:val="2180399D"/>
    <w:rsid w:val="2183579A"/>
    <w:rsid w:val="21885277"/>
    <w:rsid w:val="218872DA"/>
    <w:rsid w:val="218D2B42"/>
    <w:rsid w:val="218F68ED"/>
    <w:rsid w:val="21A32365"/>
    <w:rsid w:val="21AD23A2"/>
    <w:rsid w:val="21B31E0D"/>
    <w:rsid w:val="21B52AD4"/>
    <w:rsid w:val="21BE5ADD"/>
    <w:rsid w:val="21C127EB"/>
    <w:rsid w:val="21C44E06"/>
    <w:rsid w:val="21DB7773"/>
    <w:rsid w:val="21E12EE9"/>
    <w:rsid w:val="21E31410"/>
    <w:rsid w:val="21ED538F"/>
    <w:rsid w:val="21F901D7"/>
    <w:rsid w:val="21F91EBA"/>
    <w:rsid w:val="21F941AF"/>
    <w:rsid w:val="21FB5FE2"/>
    <w:rsid w:val="21FD3507"/>
    <w:rsid w:val="22031056"/>
    <w:rsid w:val="220345DE"/>
    <w:rsid w:val="220628F4"/>
    <w:rsid w:val="22077C79"/>
    <w:rsid w:val="220B1FE2"/>
    <w:rsid w:val="221548E5"/>
    <w:rsid w:val="221A3776"/>
    <w:rsid w:val="221B014E"/>
    <w:rsid w:val="22251A94"/>
    <w:rsid w:val="22276411"/>
    <w:rsid w:val="2230760B"/>
    <w:rsid w:val="223207CB"/>
    <w:rsid w:val="22372AAE"/>
    <w:rsid w:val="224C750B"/>
    <w:rsid w:val="22571F8F"/>
    <w:rsid w:val="2259359F"/>
    <w:rsid w:val="22627A44"/>
    <w:rsid w:val="22651D11"/>
    <w:rsid w:val="22696C95"/>
    <w:rsid w:val="226A0FD0"/>
    <w:rsid w:val="226D4721"/>
    <w:rsid w:val="227708A9"/>
    <w:rsid w:val="227A225B"/>
    <w:rsid w:val="227E248B"/>
    <w:rsid w:val="22835B04"/>
    <w:rsid w:val="228C07E7"/>
    <w:rsid w:val="22927D0F"/>
    <w:rsid w:val="22963C78"/>
    <w:rsid w:val="229972C4"/>
    <w:rsid w:val="229C1D23"/>
    <w:rsid w:val="22B10AB2"/>
    <w:rsid w:val="22B9223E"/>
    <w:rsid w:val="22BB548D"/>
    <w:rsid w:val="22C8041B"/>
    <w:rsid w:val="22C81958"/>
    <w:rsid w:val="22CD0732"/>
    <w:rsid w:val="22CF718A"/>
    <w:rsid w:val="22D04D90"/>
    <w:rsid w:val="22D71A68"/>
    <w:rsid w:val="22FB3ADB"/>
    <w:rsid w:val="23051CD4"/>
    <w:rsid w:val="23075381"/>
    <w:rsid w:val="230B6414"/>
    <w:rsid w:val="230C5171"/>
    <w:rsid w:val="23120B9F"/>
    <w:rsid w:val="2315251F"/>
    <w:rsid w:val="232057F5"/>
    <w:rsid w:val="233139A1"/>
    <w:rsid w:val="2338762A"/>
    <w:rsid w:val="233D2211"/>
    <w:rsid w:val="23427BCD"/>
    <w:rsid w:val="23476D20"/>
    <w:rsid w:val="23493CB7"/>
    <w:rsid w:val="2350663F"/>
    <w:rsid w:val="235356C5"/>
    <w:rsid w:val="235E5AA3"/>
    <w:rsid w:val="235F41EA"/>
    <w:rsid w:val="236C49D9"/>
    <w:rsid w:val="237815D0"/>
    <w:rsid w:val="237B69CA"/>
    <w:rsid w:val="23876CAD"/>
    <w:rsid w:val="238A7DBA"/>
    <w:rsid w:val="23931140"/>
    <w:rsid w:val="239347F4"/>
    <w:rsid w:val="239518D2"/>
    <w:rsid w:val="239575E6"/>
    <w:rsid w:val="23977CA8"/>
    <w:rsid w:val="239D69FC"/>
    <w:rsid w:val="23A44173"/>
    <w:rsid w:val="23A841AA"/>
    <w:rsid w:val="23A96694"/>
    <w:rsid w:val="23AA40FE"/>
    <w:rsid w:val="23B337F3"/>
    <w:rsid w:val="23B55F80"/>
    <w:rsid w:val="23BF0FAD"/>
    <w:rsid w:val="23C71C0F"/>
    <w:rsid w:val="23C81A7D"/>
    <w:rsid w:val="23D305B4"/>
    <w:rsid w:val="23D902C0"/>
    <w:rsid w:val="23DF4D07"/>
    <w:rsid w:val="23E3039C"/>
    <w:rsid w:val="23E822B1"/>
    <w:rsid w:val="23ED46EB"/>
    <w:rsid w:val="23F05265"/>
    <w:rsid w:val="23F5677C"/>
    <w:rsid w:val="23F72395"/>
    <w:rsid w:val="24045BCB"/>
    <w:rsid w:val="24054C0B"/>
    <w:rsid w:val="240B41F2"/>
    <w:rsid w:val="241B53D3"/>
    <w:rsid w:val="242332EA"/>
    <w:rsid w:val="242353D5"/>
    <w:rsid w:val="242760A3"/>
    <w:rsid w:val="242B1718"/>
    <w:rsid w:val="243279D1"/>
    <w:rsid w:val="24351FC6"/>
    <w:rsid w:val="24374FE7"/>
    <w:rsid w:val="243816E8"/>
    <w:rsid w:val="243A0633"/>
    <w:rsid w:val="2443398C"/>
    <w:rsid w:val="24455956"/>
    <w:rsid w:val="24495335"/>
    <w:rsid w:val="244C1FE5"/>
    <w:rsid w:val="244F20DA"/>
    <w:rsid w:val="24600A59"/>
    <w:rsid w:val="24677510"/>
    <w:rsid w:val="24694BA5"/>
    <w:rsid w:val="24832A90"/>
    <w:rsid w:val="24841C60"/>
    <w:rsid w:val="248A15BB"/>
    <w:rsid w:val="248C1A8E"/>
    <w:rsid w:val="248E3007"/>
    <w:rsid w:val="248F6BD1"/>
    <w:rsid w:val="249B7324"/>
    <w:rsid w:val="24A129AB"/>
    <w:rsid w:val="24A361D8"/>
    <w:rsid w:val="24A501A2"/>
    <w:rsid w:val="24A85D16"/>
    <w:rsid w:val="24AF2DCF"/>
    <w:rsid w:val="24CC3981"/>
    <w:rsid w:val="24EB7A61"/>
    <w:rsid w:val="24F01070"/>
    <w:rsid w:val="24FE5B05"/>
    <w:rsid w:val="250017D3"/>
    <w:rsid w:val="2502031E"/>
    <w:rsid w:val="250550E5"/>
    <w:rsid w:val="250D57C2"/>
    <w:rsid w:val="251A0B90"/>
    <w:rsid w:val="251C76EF"/>
    <w:rsid w:val="251E0337"/>
    <w:rsid w:val="252437BD"/>
    <w:rsid w:val="252B5EB9"/>
    <w:rsid w:val="25335BE0"/>
    <w:rsid w:val="254B6F9C"/>
    <w:rsid w:val="254C061E"/>
    <w:rsid w:val="25553977"/>
    <w:rsid w:val="25560F8D"/>
    <w:rsid w:val="2556504B"/>
    <w:rsid w:val="255B4D05"/>
    <w:rsid w:val="255B72F6"/>
    <w:rsid w:val="25660888"/>
    <w:rsid w:val="256622E7"/>
    <w:rsid w:val="256911D0"/>
    <w:rsid w:val="256C2A6E"/>
    <w:rsid w:val="25783B09"/>
    <w:rsid w:val="257E35F2"/>
    <w:rsid w:val="258204E4"/>
    <w:rsid w:val="258724D7"/>
    <w:rsid w:val="258C43D3"/>
    <w:rsid w:val="25AE66CE"/>
    <w:rsid w:val="25B74631"/>
    <w:rsid w:val="25C1100C"/>
    <w:rsid w:val="25CC1E99"/>
    <w:rsid w:val="25D95944"/>
    <w:rsid w:val="25DE1752"/>
    <w:rsid w:val="25DE2164"/>
    <w:rsid w:val="25DE48E9"/>
    <w:rsid w:val="25E66B6A"/>
    <w:rsid w:val="25E66CC5"/>
    <w:rsid w:val="25E87DB6"/>
    <w:rsid w:val="25E940BF"/>
    <w:rsid w:val="25ED2B06"/>
    <w:rsid w:val="25F807A6"/>
    <w:rsid w:val="25F92AD5"/>
    <w:rsid w:val="25FA451E"/>
    <w:rsid w:val="25FC2044"/>
    <w:rsid w:val="2600231D"/>
    <w:rsid w:val="260E1D77"/>
    <w:rsid w:val="26107139"/>
    <w:rsid w:val="26151358"/>
    <w:rsid w:val="261E64B2"/>
    <w:rsid w:val="2623001B"/>
    <w:rsid w:val="262306F1"/>
    <w:rsid w:val="262670C1"/>
    <w:rsid w:val="26307F40"/>
    <w:rsid w:val="263346EB"/>
    <w:rsid w:val="2638297B"/>
    <w:rsid w:val="264F6618"/>
    <w:rsid w:val="265010DB"/>
    <w:rsid w:val="265506D5"/>
    <w:rsid w:val="265936BB"/>
    <w:rsid w:val="2660144E"/>
    <w:rsid w:val="266A16A4"/>
    <w:rsid w:val="266D3134"/>
    <w:rsid w:val="2671044C"/>
    <w:rsid w:val="26751385"/>
    <w:rsid w:val="26761685"/>
    <w:rsid w:val="267918E7"/>
    <w:rsid w:val="268564DD"/>
    <w:rsid w:val="26886792"/>
    <w:rsid w:val="269648DF"/>
    <w:rsid w:val="26A47AE2"/>
    <w:rsid w:val="26A56238"/>
    <w:rsid w:val="26AA5F44"/>
    <w:rsid w:val="26AC1A34"/>
    <w:rsid w:val="26B04986"/>
    <w:rsid w:val="26C40874"/>
    <w:rsid w:val="26C54B2C"/>
    <w:rsid w:val="26CA0394"/>
    <w:rsid w:val="26D0702D"/>
    <w:rsid w:val="26D235A6"/>
    <w:rsid w:val="26D27249"/>
    <w:rsid w:val="26D41D72"/>
    <w:rsid w:val="26D57D33"/>
    <w:rsid w:val="26D905D7"/>
    <w:rsid w:val="26F03788"/>
    <w:rsid w:val="270B5A07"/>
    <w:rsid w:val="270B7843"/>
    <w:rsid w:val="270D202F"/>
    <w:rsid w:val="27133AE9"/>
    <w:rsid w:val="27167136"/>
    <w:rsid w:val="27181100"/>
    <w:rsid w:val="27184E29"/>
    <w:rsid w:val="271908BA"/>
    <w:rsid w:val="271F078C"/>
    <w:rsid w:val="2725381D"/>
    <w:rsid w:val="272D3149"/>
    <w:rsid w:val="272E26D1"/>
    <w:rsid w:val="27322F3C"/>
    <w:rsid w:val="2749750B"/>
    <w:rsid w:val="274D65AA"/>
    <w:rsid w:val="274E0EEF"/>
    <w:rsid w:val="27541A0C"/>
    <w:rsid w:val="275A1D28"/>
    <w:rsid w:val="275D0A33"/>
    <w:rsid w:val="275F2CDB"/>
    <w:rsid w:val="27623D3E"/>
    <w:rsid w:val="276854B7"/>
    <w:rsid w:val="27694E3C"/>
    <w:rsid w:val="276A6C21"/>
    <w:rsid w:val="276D2CA2"/>
    <w:rsid w:val="278301EA"/>
    <w:rsid w:val="27846795"/>
    <w:rsid w:val="27877F49"/>
    <w:rsid w:val="2793048E"/>
    <w:rsid w:val="279369D8"/>
    <w:rsid w:val="27A14D96"/>
    <w:rsid w:val="27A609B2"/>
    <w:rsid w:val="27AF30E6"/>
    <w:rsid w:val="27B06884"/>
    <w:rsid w:val="27B30381"/>
    <w:rsid w:val="27B33C90"/>
    <w:rsid w:val="27B44C0E"/>
    <w:rsid w:val="27BB1A8B"/>
    <w:rsid w:val="27C00B51"/>
    <w:rsid w:val="27D22B99"/>
    <w:rsid w:val="27E20E2A"/>
    <w:rsid w:val="27E47234"/>
    <w:rsid w:val="27EA3355"/>
    <w:rsid w:val="27EB411E"/>
    <w:rsid w:val="27EE71B2"/>
    <w:rsid w:val="27F5277D"/>
    <w:rsid w:val="27FE31E6"/>
    <w:rsid w:val="28012E20"/>
    <w:rsid w:val="28060F58"/>
    <w:rsid w:val="28084E1A"/>
    <w:rsid w:val="280D678A"/>
    <w:rsid w:val="28111955"/>
    <w:rsid w:val="281A6228"/>
    <w:rsid w:val="281E2746"/>
    <w:rsid w:val="282D620B"/>
    <w:rsid w:val="283B73C3"/>
    <w:rsid w:val="283F090E"/>
    <w:rsid w:val="284B172A"/>
    <w:rsid w:val="28546167"/>
    <w:rsid w:val="286345FC"/>
    <w:rsid w:val="287700A8"/>
    <w:rsid w:val="28843935"/>
    <w:rsid w:val="288775CB"/>
    <w:rsid w:val="288E0F4E"/>
    <w:rsid w:val="289A5396"/>
    <w:rsid w:val="289A5B44"/>
    <w:rsid w:val="28AA3FD9"/>
    <w:rsid w:val="28B70075"/>
    <w:rsid w:val="28BC3D0D"/>
    <w:rsid w:val="28C0322D"/>
    <w:rsid w:val="28CE6296"/>
    <w:rsid w:val="28D01566"/>
    <w:rsid w:val="28D31009"/>
    <w:rsid w:val="28DC08BE"/>
    <w:rsid w:val="28EC15D0"/>
    <w:rsid w:val="28ED6CB4"/>
    <w:rsid w:val="28FA302E"/>
    <w:rsid w:val="28FB65E3"/>
    <w:rsid w:val="28FD67FF"/>
    <w:rsid w:val="290D24E8"/>
    <w:rsid w:val="2916554F"/>
    <w:rsid w:val="291718D0"/>
    <w:rsid w:val="2927562A"/>
    <w:rsid w:val="293164A9"/>
    <w:rsid w:val="29424212"/>
    <w:rsid w:val="29424742"/>
    <w:rsid w:val="29464110"/>
    <w:rsid w:val="29503844"/>
    <w:rsid w:val="29555B99"/>
    <w:rsid w:val="29567A3B"/>
    <w:rsid w:val="29621D55"/>
    <w:rsid w:val="29623972"/>
    <w:rsid w:val="297F4241"/>
    <w:rsid w:val="298015A5"/>
    <w:rsid w:val="29874870"/>
    <w:rsid w:val="298E7852"/>
    <w:rsid w:val="29A43E1D"/>
    <w:rsid w:val="29AA019E"/>
    <w:rsid w:val="29B733F6"/>
    <w:rsid w:val="29BA168B"/>
    <w:rsid w:val="29BC5386"/>
    <w:rsid w:val="29C76542"/>
    <w:rsid w:val="29C76E0D"/>
    <w:rsid w:val="29D4704A"/>
    <w:rsid w:val="29D56D78"/>
    <w:rsid w:val="29D7234E"/>
    <w:rsid w:val="29E21F96"/>
    <w:rsid w:val="29E76B67"/>
    <w:rsid w:val="29EC357B"/>
    <w:rsid w:val="29F07CB0"/>
    <w:rsid w:val="29F1409D"/>
    <w:rsid w:val="29F86FC6"/>
    <w:rsid w:val="29FD2806"/>
    <w:rsid w:val="29FD7D93"/>
    <w:rsid w:val="29FF3E88"/>
    <w:rsid w:val="2A070FB7"/>
    <w:rsid w:val="2A1640AA"/>
    <w:rsid w:val="2A1B4A63"/>
    <w:rsid w:val="2A2132F4"/>
    <w:rsid w:val="2A232826"/>
    <w:rsid w:val="2A2B2EF8"/>
    <w:rsid w:val="2A2B61C7"/>
    <w:rsid w:val="2A2E6D8F"/>
    <w:rsid w:val="2A3936D6"/>
    <w:rsid w:val="2A443FBA"/>
    <w:rsid w:val="2A461AE0"/>
    <w:rsid w:val="2A4C62BB"/>
    <w:rsid w:val="2A546A75"/>
    <w:rsid w:val="2A5E1C96"/>
    <w:rsid w:val="2A5F234A"/>
    <w:rsid w:val="2A693A20"/>
    <w:rsid w:val="2A742AF1"/>
    <w:rsid w:val="2A783C63"/>
    <w:rsid w:val="2A7D74CC"/>
    <w:rsid w:val="2A8151CF"/>
    <w:rsid w:val="2A81520E"/>
    <w:rsid w:val="2A817B15"/>
    <w:rsid w:val="2A862EDE"/>
    <w:rsid w:val="2A8B7902"/>
    <w:rsid w:val="2A905AE4"/>
    <w:rsid w:val="2A9E11BE"/>
    <w:rsid w:val="2A9F38E6"/>
    <w:rsid w:val="2AA138C8"/>
    <w:rsid w:val="2AA176EB"/>
    <w:rsid w:val="2AA35184"/>
    <w:rsid w:val="2AA36F32"/>
    <w:rsid w:val="2AB27CF0"/>
    <w:rsid w:val="2AB90B04"/>
    <w:rsid w:val="2AB96283"/>
    <w:rsid w:val="2ABA19BE"/>
    <w:rsid w:val="2ABB0720"/>
    <w:rsid w:val="2AC64312"/>
    <w:rsid w:val="2AD10888"/>
    <w:rsid w:val="2AE952F3"/>
    <w:rsid w:val="2AF578DD"/>
    <w:rsid w:val="2AFA045E"/>
    <w:rsid w:val="2AFC1875"/>
    <w:rsid w:val="2B21720B"/>
    <w:rsid w:val="2B256796"/>
    <w:rsid w:val="2B2823EB"/>
    <w:rsid w:val="2B5446D0"/>
    <w:rsid w:val="2B555E65"/>
    <w:rsid w:val="2B570FA2"/>
    <w:rsid w:val="2B5A30BA"/>
    <w:rsid w:val="2B5D3585"/>
    <w:rsid w:val="2B626DED"/>
    <w:rsid w:val="2B6562E1"/>
    <w:rsid w:val="2B681F2A"/>
    <w:rsid w:val="2B7B651D"/>
    <w:rsid w:val="2B7D6336"/>
    <w:rsid w:val="2B820E5B"/>
    <w:rsid w:val="2B87653C"/>
    <w:rsid w:val="2B8925CC"/>
    <w:rsid w:val="2B8A0465"/>
    <w:rsid w:val="2B8E7BE2"/>
    <w:rsid w:val="2B952AA1"/>
    <w:rsid w:val="2B960048"/>
    <w:rsid w:val="2B985FCE"/>
    <w:rsid w:val="2B9920E3"/>
    <w:rsid w:val="2B9B22FF"/>
    <w:rsid w:val="2BAA42F0"/>
    <w:rsid w:val="2BB67139"/>
    <w:rsid w:val="2BBD04C8"/>
    <w:rsid w:val="2BD650E5"/>
    <w:rsid w:val="2BE12049"/>
    <w:rsid w:val="2BE710A1"/>
    <w:rsid w:val="2BEE541D"/>
    <w:rsid w:val="2BF44BDD"/>
    <w:rsid w:val="2BFC0FF0"/>
    <w:rsid w:val="2BFE5184"/>
    <w:rsid w:val="2C023844"/>
    <w:rsid w:val="2C024F0C"/>
    <w:rsid w:val="2C0D6C02"/>
    <w:rsid w:val="2C1005F7"/>
    <w:rsid w:val="2C1027EF"/>
    <w:rsid w:val="2C1A3C72"/>
    <w:rsid w:val="2C23106E"/>
    <w:rsid w:val="2C2772A0"/>
    <w:rsid w:val="2C3047F6"/>
    <w:rsid w:val="2C31056E"/>
    <w:rsid w:val="2C35241D"/>
    <w:rsid w:val="2C364F00"/>
    <w:rsid w:val="2C370C0C"/>
    <w:rsid w:val="2C3C30AD"/>
    <w:rsid w:val="2C3F0EDD"/>
    <w:rsid w:val="2C3F2C8B"/>
    <w:rsid w:val="2C4472B1"/>
    <w:rsid w:val="2C45434C"/>
    <w:rsid w:val="2C4613C9"/>
    <w:rsid w:val="2C462B5E"/>
    <w:rsid w:val="2C4C35F9"/>
    <w:rsid w:val="2C507E91"/>
    <w:rsid w:val="2C532BDA"/>
    <w:rsid w:val="2C611306"/>
    <w:rsid w:val="2C7C78C3"/>
    <w:rsid w:val="2C815051"/>
    <w:rsid w:val="2C817CBB"/>
    <w:rsid w:val="2C844B41"/>
    <w:rsid w:val="2C864381"/>
    <w:rsid w:val="2C8B3F52"/>
    <w:rsid w:val="2C8E70F9"/>
    <w:rsid w:val="2C9A4365"/>
    <w:rsid w:val="2C9F1AFF"/>
    <w:rsid w:val="2CA451E4"/>
    <w:rsid w:val="2CA46F92"/>
    <w:rsid w:val="2CA945A8"/>
    <w:rsid w:val="2CAA206F"/>
    <w:rsid w:val="2CAC2A7B"/>
    <w:rsid w:val="2CAC2DE6"/>
    <w:rsid w:val="2CAD0415"/>
    <w:rsid w:val="2CAD4098"/>
    <w:rsid w:val="2CB31912"/>
    <w:rsid w:val="2CD62E42"/>
    <w:rsid w:val="2CDE1189"/>
    <w:rsid w:val="2CEA42B7"/>
    <w:rsid w:val="2CF478A3"/>
    <w:rsid w:val="2CFF241A"/>
    <w:rsid w:val="2D000EFA"/>
    <w:rsid w:val="2D080026"/>
    <w:rsid w:val="2D1D7812"/>
    <w:rsid w:val="2D1F486A"/>
    <w:rsid w:val="2D1F5D48"/>
    <w:rsid w:val="2D205696"/>
    <w:rsid w:val="2D206443"/>
    <w:rsid w:val="2D2D2C93"/>
    <w:rsid w:val="2D2E0549"/>
    <w:rsid w:val="2D2E4840"/>
    <w:rsid w:val="2D3C541C"/>
    <w:rsid w:val="2D463E79"/>
    <w:rsid w:val="2D5A127B"/>
    <w:rsid w:val="2D6A7474"/>
    <w:rsid w:val="2D6C1689"/>
    <w:rsid w:val="2D782F8C"/>
    <w:rsid w:val="2D7B4196"/>
    <w:rsid w:val="2D834DF9"/>
    <w:rsid w:val="2D835606"/>
    <w:rsid w:val="2D894C87"/>
    <w:rsid w:val="2DA006FE"/>
    <w:rsid w:val="2DAB008F"/>
    <w:rsid w:val="2DB06539"/>
    <w:rsid w:val="2DB44AB6"/>
    <w:rsid w:val="2DC23BAC"/>
    <w:rsid w:val="2DC84F02"/>
    <w:rsid w:val="2DC91C47"/>
    <w:rsid w:val="2DCB1A23"/>
    <w:rsid w:val="2DDF6FC3"/>
    <w:rsid w:val="2DE0494E"/>
    <w:rsid w:val="2DE14545"/>
    <w:rsid w:val="2DE41D3C"/>
    <w:rsid w:val="2DEF3263"/>
    <w:rsid w:val="2DF34667"/>
    <w:rsid w:val="2E064A63"/>
    <w:rsid w:val="2E0A6B39"/>
    <w:rsid w:val="2E162863"/>
    <w:rsid w:val="2E180872"/>
    <w:rsid w:val="2E1D7542"/>
    <w:rsid w:val="2E304F81"/>
    <w:rsid w:val="2E31032F"/>
    <w:rsid w:val="2E331114"/>
    <w:rsid w:val="2E334A71"/>
    <w:rsid w:val="2E3B0643"/>
    <w:rsid w:val="2E3E29AF"/>
    <w:rsid w:val="2E437C7A"/>
    <w:rsid w:val="2E474078"/>
    <w:rsid w:val="2E497A46"/>
    <w:rsid w:val="2E4D76FE"/>
    <w:rsid w:val="2E4E3659"/>
    <w:rsid w:val="2E515CE3"/>
    <w:rsid w:val="2E52619A"/>
    <w:rsid w:val="2E5E24D1"/>
    <w:rsid w:val="2E6115DE"/>
    <w:rsid w:val="2E627104"/>
    <w:rsid w:val="2E635506"/>
    <w:rsid w:val="2E67297A"/>
    <w:rsid w:val="2E692241"/>
    <w:rsid w:val="2E76495E"/>
    <w:rsid w:val="2E7A61FC"/>
    <w:rsid w:val="2E7E481A"/>
    <w:rsid w:val="2E80471D"/>
    <w:rsid w:val="2E810DDA"/>
    <w:rsid w:val="2E83277B"/>
    <w:rsid w:val="2E8519F0"/>
    <w:rsid w:val="2E874D65"/>
    <w:rsid w:val="2E8A0EBB"/>
    <w:rsid w:val="2E8C7362"/>
    <w:rsid w:val="2E905A1F"/>
    <w:rsid w:val="2E943223"/>
    <w:rsid w:val="2E9436D8"/>
    <w:rsid w:val="2EB14001"/>
    <w:rsid w:val="2EB45BB2"/>
    <w:rsid w:val="2EB55486"/>
    <w:rsid w:val="2EB704E6"/>
    <w:rsid w:val="2EC27BA3"/>
    <w:rsid w:val="2EC56EC5"/>
    <w:rsid w:val="2EC658E5"/>
    <w:rsid w:val="2EC76F67"/>
    <w:rsid w:val="2EC81407"/>
    <w:rsid w:val="2ECE479A"/>
    <w:rsid w:val="2ED230E9"/>
    <w:rsid w:val="2ED85DFF"/>
    <w:rsid w:val="2EDF0755"/>
    <w:rsid w:val="2EF266DA"/>
    <w:rsid w:val="2EF316AB"/>
    <w:rsid w:val="2EF37D5C"/>
    <w:rsid w:val="2EF57F78"/>
    <w:rsid w:val="2EFA10EB"/>
    <w:rsid w:val="2F032695"/>
    <w:rsid w:val="2F0F25EC"/>
    <w:rsid w:val="2F1E10E7"/>
    <w:rsid w:val="2F2C13A9"/>
    <w:rsid w:val="2F302D5E"/>
    <w:rsid w:val="2F356775"/>
    <w:rsid w:val="2F397E65"/>
    <w:rsid w:val="2F3F5A8C"/>
    <w:rsid w:val="2F432A92"/>
    <w:rsid w:val="2F455109"/>
    <w:rsid w:val="2F45680A"/>
    <w:rsid w:val="2F476654"/>
    <w:rsid w:val="2F49095D"/>
    <w:rsid w:val="2F494EF4"/>
    <w:rsid w:val="2F4F58DB"/>
    <w:rsid w:val="2F5041F6"/>
    <w:rsid w:val="2F5664D2"/>
    <w:rsid w:val="2F57478F"/>
    <w:rsid w:val="2F575F82"/>
    <w:rsid w:val="2F62316D"/>
    <w:rsid w:val="2F683B53"/>
    <w:rsid w:val="2F715851"/>
    <w:rsid w:val="2F74784C"/>
    <w:rsid w:val="2F9024D5"/>
    <w:rsid w:val="2F990904"/>
    <w:rsid w:val="2F9E26C8"/>
    <w:rsid w:val="2FA554FB"/>
    <w:rsid w:val="2FA9552A"/>
    <w:rsid w:val="2FAE6B0C"/>
    <w:rsid w:val="2FB67708"/>
    <w:rsid w:val="2FBD0387"/>
    <w:rsid w:val="2FBE648A"/>
    <w:rsid w:val="2FBF7029"/>
    <w:rsid w:val="2FC21CDF"/>
    <w:rsid w:val="2FCC2123"/>
    <w:rsid w:val="2FE04785"/>
    <w:rsid w:val="2FE51D9B"/>
    <w:rsid w:val="2FE778C1"/>
    <w:rsid w:val="2FF86323"/>
    <w:rsid w:val="2FF9126C"/>
    <w:rsid w:val="2FFF1096"/>
    <w:rsid w:val="3000523A"/>
    <w:rsid w:val="300F0684"/>
    <w:rsid w:val="30185CCC"/>
    <w:rsid w:val="30194C9A"/>
    <w:rsid w:val="301B0832"/>
    <w:rsid w:val="302B6B90"/>
    <w:rsid w:val="302C1778"/>
    <w:rsid w:val="302F3016"/>
    <w:rsid w:val="30304425"/>
    <w:rsid w:val="30352647"/>
    <w:rsid w:val="303643A5"/>
    <w:rsid w:val="3038315C"/>
    <w:rsid w:val="303F61C1"/>
    <w:rsid w:val="3040577F"/>
    <w:rsid w:val="30433A6D"/>
    <w:rsid w:val="3045283A"/>
    <w:rsid w:val="304A1A07"/>
    <w:rsid w:val="304A7E50"/>
    <w:rsid w:val="305562E6"/>
    <w:rsid w:val="30557069"/>
    <w:rsid w:val="30590093"/>
    <w:rsid w:val="305F38FB"/>
    <w:rsid w:val="306155C2"/>
    <w:rsid w:val="3062249A"/>
    <w:rsid w:val="30705B08"/>
    <w:rsid w:val="307402F7"/>
    <w:rsid w:val="307A0A0D"/>
    <w:rsid w:val="307A6E68"/>
    <w:rsid w:val="307C26FF"/>
    <w:rsid w:val="30840ACC"/>
    <w:rsid w:val="308425BF"/>
    <w:rsid w:val="30847806"/>
    <w:rsid w:val="3087661B"/>
    <w:rsid w:val="30890898"/>
    <w:rsid w:val="30890C03"/>
    <w:rsid w:val="309537C1"/>
    <w:rsid w:val="30A84496"/>
    <w:rsid w:val="30AA0F06"/>
    <w:rsid w:val="30AC4667"/>
    <w:rsid w:val="30AD6A75"/>
    <w:rsid w:val="30B04157"/>
    <w:rsid w:val="30B43136"/>
    <w:rsid w:val="30BA4FD6"/>
    <w:rsid w:val="30C45E54"/>
    <w:rsid w:val="30C543A7"/>
    <w:rsid w:val="30D56A93"/>
    <w:rsid w:val="30D836AE"/>
    <w:rsid w:val="30DD17B8"/>
    <w:rsid w:val="30E21EDC"/>
    <w:rsid w:val="30E81B43"/>
    <w:rsid w:val="30E941BC"/>
    <w:rsid w:val="30EA0F6A"/>
    <w:rsid w:val="30EC2BD0"/>
    <w:rsid w:val="30FA6C7D"/>
    <w:rsid w:val="30FB552D"/>
    <w:rsid w:val="31091AB9"/>
    <w:rsid w:val="310D15A9"/>
    <w:rsid w:val="31207AE6"/>
    <w:rsid w:val="31274439"/>
    <w:rsid w:val="31307046"/>
    <w:rsid w:val="31336B36"/>
    <w:rsid w:val="31410A0E"/>
    <w:rsid w:val="314D19A6"/>
    <w:rsid w:val="315C42DF"/>
    <w:rsid w:val="31681811"/>
    <w:rsid w:val="316B5A8A"/>
    <w:rsid w:val="31701070"/>
    <w:rsid w:val="31723B02"/>
    <w:rsid w:val="31772EC7"/>
    <w:rsid w:val="317F3B29"/>
    <w:rsid w:val="31807BD3"/>
    <w:rsid w:val="31816685"/>
    <w:rsid w:val="3185377D"/>
    <w:rsid w:val="318E35A9"/>
    <w:rsid w:val="318E3D87"/>
    <w:rsid w:val="31994BEB"/>
    <w:rsid w:val="319C494B"/>
    <w:rsid w:val="319D6CD7"/>
    <w:rsid w:val="31A30E4F"/>
    <w:rsid w:val="31A517E2"/>
    <w:rsid w:val="31AA329C"/>
    <w:rsid w:val="31AC176C"/>
    <w:rsid w:val="31B45EC9"/>
    <w:rsid w:val="31B57180"/>
    <w:rsid w:val="31BB1005"/>
    <w:rsid w:val="31BF0628"/>
    <w:rsid w:val="31C33082"/>
    <w:rsid w:val="31CD6F8B"/>
    <w:rsid w:val="31D766C2"/>
    <w:rsid w:val="31DD0182"/>
    <w:rsid w:val="31F3494A"/>
    <w:rsid w:val="31F60C40"/>
    <w:rsid w:val="32026C34"/>
    <w:rsid w:val="32032617"/>
    <w:rsid w:val="32072C40"/>
    <w:rsid w:val="320A5AE9"/>
    <w:rsid w:val="32125FC7"/>
    <w:rsid w:val="32140412"/>
    <w:rsid w:val="321D29AD"/>
    <w:rsid w:val="32222E32"/>
    <w:rsid w:val="322A6639"/>
    <w:rsid w:val="322B431D"/>
    <w:rsid w:val="323572CB"/>
    <w:rsid w:val="323A5BBD"/>
    <w:rsid w:val="323B04A4"/>
    <w:rsid w:val="323D1A1A"/>
    <w:rsid w:val="32450250"/>
    <w:rsid w:val="32452FC5"/>
    <w:rsid w:val="32461303"/>
    <w:rsid w:val="32541C29"/>
    <w:rsid w:val="325A33E4"/>
    <w:rsid w:val="325D20BC"/>
    <w:rsid w:val="325E4A1D"/>
    <w:rsid w:val="32695A0B"/>
    <w:rsid w:val="326F5D34"/>
    <w:rsid w:val="32805DAB"/>
    <w:rsid w:val="32904240"/>
    <w:rsid w:val="329830F5"/>
    <w:rsid w:val="329B0E37"/>
    <w:rsid w:val="32B1036F"/>
    <w:rsid w:val="32B83797"/>
    <w:rsid w:val="32BF771D"/>
    <w:rsid w:val="32C50EEA"/>
    <w:rsid w:val="32CE6B16"/>
    <w:rsid w:val="32D14858"/>
    <w:rsid w:val="32D21D23"/>
    <w:rsid w:val="32D61E6F"/>
    <w:rsid w:val="32D86D49"/>
    <w:rsid w:val="32DA195F"/>
    <w:rsid w:val="32DF6F75"/>
    <w:rsid w:val="32E14A9C"/>
    <w:rsid w:val="32E77BA0"/>
    <w:rsid w:val="32E9317E"/>
    <w:rsid w:val="32F200C1"/>
    <w:rsid w:val="32F22710"/>
    <w:rsid w:val="32F347CF"/>
    <w:rsid w:val="32F55942"/>
    <w:rsid w:val="32FB3DF2"/>
    <w:rsid w:val="33030EB6"/>
    <w:rsid w:val="330E1609"/>
    <w:rsid w:val="331020D6"/>
    <w:rsid w:val="331A61FF"/>
    <w:rsid w:val="332143CC"/>
    <w:rsid w:val="33260700"/>
    <w:rsid w:val="33386B85"/>
    <w:rsid w:val="334868C9"/>
    <w:rsid w:val="33604C72"/>
    <w:rsid w:val="3361623B"/>
    <w:rsid w:val="33636BEA"/>
    <w:rsid w:val="336851BD"/>
    <w:rsid w:val="336B523C"/>
    <w:rsid w:val="336E59FF"/>
    <w:rsid w:val="337B5E5B"/>
    <w:rsid w:val="33831559"/>
    <w:rsid w:val="33843679"/>
    <w:rsid w:val="3384518C"/>
    <w:rsid w:val="339C6C14"/>
    <w:rsid w:val="339F17B8"/>
    <w:rsid w:val="33A87367"/>
    <w:rsid w:val="33AA6517"/>
    <w:rsid w:val="33AA7BD5"/>
    <w:rsid w:val="33AC2F08"/>
    <w:rsid w:val="33B9176C"/>
    <w:rsid w:val="33C14EAE"/>
    <w:rsid w:val="33C63C91"/>
    <w:rsid w:val="33CE0351"/>
    <w:rsid w:val="33E81E5A"/>
    <w:rsid w:val="33E947D1"/>
    <w:rsid w:val="33E97D19"/>
    <w:rsid w:val="33ED56C2"/>
    <w:rsid w:val="33EF7F96"/>
    <w:rsid w:val="33F85C46"/>
    <w:rsid w:val="33F9276F"/>
    <w:rsid w:val="33F97BC3"/>
    <w:rsid w:val="33FB393B"/>
    <w:rsid w:val="3400734B"/>
    <w:rsid w:val="34011DBB"/>
    <w:rsid w:val="34017AAA"/>
    <w:rsid w:val="34052A0C"/>
    <w:rsid w:val="34056568"/>
    <w:rsid w:val="340A0022"/>
    <w:rsid w:val="34180991"/>
    <w:rsid w:val="341B6D99"/>
    <w:rsid w:val="342750AF"/>
    <w:rsid w:val="342B67BB"/>
    <w:rsid w:val="342E1F62"/>
    <w:rsid w:val="343A5228"/>
    <w:rsid w:val="344423B0"/>
    <w:rsid w:val="34524E7E"/>
    <w:rsid w:val="34541E69"/>
    <w:rsid w:val="34546879"/>
    <w:rsid w:val="345B262C"/>
    <w:rsid w:val="345C20C8"/>
    <w:rsid w:val="345E3ECA"/>
    <w:rsid w:val="346E6803"/>
    <w:rsid w:val="34732681"/>
    <w:rsid w:val="34790D04"/>
    <w:rsid w:val="347E5977"/>
    <w:rsid w:val="348A6712"/>
    <w:rsid w:val="348E67B1"/>
    <w:rsid w:val="349A268C"/>
    <w:rsid w:val="349D49F2"/>
    <w:rsid w:val="34AC2E87"/>
    <w:rsid w:val="34B44B59"/>
    <w:rsid w:val="34B561E0"/>
    <w:rsid w:val="34BB2973"/>
    <w:rsid w:val="34BC6733"/>
    <w:rsid w:val="34BD3E87"/>
    <w:rsid w:val="34C77CC1"/>
    <w:rsid w:val="34CB76EB"/>
    <w:rsid w:val="34DB140D"/>
    <w:rsid w:val="34E26732"/>
    <w:rsid w:val="34E72111"/>
    <w:rsid w:val="34EE524E"/>
    <w:rsid w:val="34F5482E"/>
    <w:rsid w:val="34F860CC"/>
    <w:rsid w:val="34FD1935"/>
    <w:rsid w:val="35033A54"/>
    <w:rsid w:val="35041EEB"/>
    <w:rsid w:val="35042CC3"/>
    <w:rsid w:val="35092F1D"/>
    <w:rsid w:val="35101668"/>
    <w:rsid w:val="351466B6"/>
    <w:rsid w:val="351C000D"/>
    <w:rsid w:val="351D1FD7"/>
    <w:rsid w:val="35260FC4"/>
    <w:rsid w:val="35386C3E"/>
    <w:rsid w:val="353F1F4D"/>
    <w:rsid w:val="354111EE"/>
    <w:rsid w:val="3543355E"/>
    <w:rsid w:val="35522D85"/>
    <w:rsid w:val="355569F3"/>
    <w:rsid w:val="355D2B6D"/>
    <w:rsid w:val="356664D9"/>
    <w:rsid w:val="3575771D"/>
    <w:rsid w:val="35777939"/>
    <w:rsid w:val="35807BB3"/>
    <w:rsid w:val="359202CF"/>
    <w:rsid w:val="3592207D"/>
    <w:rsid w:val="3595159F"/>
    <w:rsid w:val="359609A8"/>
    <w:rsid w:val="35A87AF3"/>
    <w:rsid w:val="35B04BF9"/>
    <w:rsid w:val="35B244CD"/>
    <w:rsid w:val="35B30926"/>
    <w:rsid w:val="35B51C3E"/>
    <w:rsid w:val="35B87168"/>
    <w:rsid w:val="35B90C30"/>
    <w:rsid w:val="35BC1C56"/>
    <w:rsid w:val="35C81F43"/>
    <w:rsid w:val="35CB0FBF"/>
    <w:rsid w:val="35D00DF7"/>
    <w:rsid w:val="35D94B0C"/>
    <w:rsid w:val="35E120F0"/>
    <w:rsid w:val="35E127F3"/>
    <w:rsid w:val="35F1149A"/>
    <w:rsid w:val="35F40894"/>
    <w:rsid w:val="35FA5E74"/>
    <w:rsid w:val="3605310B"/>
    <w:rsid w:val="36085CF8"/>
    <w:rsid w:val="36237179"/>
    <w:rsid w:val="362D624A"/>
    <w:rsid w:val="363649F6"/>
    <w:rsid w:val="36393E1A"/>
    <w:rsid w:val="364A5AAB"/>
    <w:rsid w:val="36525CB0"/>
    <w:rsid w:val="36575075"/>
    <w:rsid w:val="365E4F6F"/>
    <w:rsid w:val="3662106F"/>
    <w:rsid w:val="366652B8"/>
    <w:rsid w:val="366817A6"/>
    <w:rsid w:val="366A124C"/>
    <w:rsid w:val="366C6D72"/>
    <w:rsid w:val="36791F96"/>
    <w:rsid w:val="3680281D"/>
    <w:rsid w:val="3687595A"/>
    <w:rsid w:val="368D6CE8"/>
    <w:rsid w:val="368F480F"/>
    <w:rsid w:val="36944FC2"/>
    <w:rsid w:val="36A55DE0"/>
    <w:rsid w:val="36B6732D"/>
    <w:rsid w:val="36BE6EA2"/>
    <w:rsid w:val="36CD2343"/>
    <w:rsid w:val="36CF7301"/>
    <w:rsid w:val="36D347BC"/>
    <w:rsid w:val="36D6068F"/>
    <w:rsid w:val="36D66E21"/>
    <w:rsid w:val="36F079A3"/>
    <w:rsid w:val="36F24D43"/>
    <w:rsid w:val="36F56A14"/>
    <w:rsid w:val="36FD70BD"/>
    <w:rsid w:val="36FF3742"/>
    <w:rsid w:val="3701395E"/>
    <w:rsid w:val="37015819"/>
    <w:rsid w:val="37022309"/>
    <w:rsid w:val="370C013A"/>
    <w:rsid w:val="370E1BD7"/>
    <w:rsid w:val="37180CA8"/>
    <w:rsid w:val="371B0E0B"/>
    <w:rsid w:val="371C6E95"/>
    <w:rsid w:val="372633C5"/>
    <w:rsid w:val="372907BF"/>
    <w:rsid w:val="372D6FE6"/>
    <w:rsid w:val="373331A0"/>
    <w:rsid w:val="37357164"/>
    <w:rsid w:val="37367CBC"/>
    <w:rsid w:val="373D426B"/>
    <w:rsid w:val="37460BE1"/>
    <w:rsid w:val="374E0226"/>
    <w:rsid w:val="37543CF6"/>
    <w:rsid w:val="375453D5"/>
    <w:rsid w:val="375948C0"/>
    <w:rsid w:val="376D5966"/>
    <w:rsid w:val="3772305A"/>
    <w:rsid w:val="377C1237"/>
    <w:rsid w:val="377C2FE5"/>
    <w:rsid w:val="378571EB"/>
    <w:rsid w:val="378575D7"/>
    <w:rsid w:val="378623F8"/>
    <w:rsid w:val="37887BDC"/>
    <w:rsid w:val="378974B0"/>
    <w:rsid w:val="37907BFA"/>
    <w:rsid w:val="37922808"/>
    <w:rsid w:val="37977E1F"/>
    <w:rsid w:val="37A16F96"/>
    <w:rsid w:val="37A60062"/>
    <w:rsid w:val="37A90DE4"/>
    <w:rsid w:val="37B179ED"/>
    <w:rsid w:val="37B24E1E"/>
    <w:rsid w:val="37B26A07"/>
    <w:rsid w:val="37BF7375"/>
    <w:rsid w:val="37C130EE"/>
    <w:rsid w:val="37C27B9C"/>
    <w:rsid w:val="37CD3932"/>
    <w:rsid w:val="37CD3C9D"/>
    <w:rsid w:val="37D22C05"/>
    <w:rsid w:val="37D73E29"/>
    <w:rsid w:val="37DA44B5"/>
    <w:rsid w:val="37DC7F27"/>
    <w:rsid w:val="37DE3C9F"/>
    <w:rsid w:val="37DE4095"/>
    <w:rsid w:val="37E5630E"/>
    <w:rsid w:val="37EC5788"/>
    <w:rsid w:val="37EE37B7"/>
    <w:rsid w:val="37F82BA8"/>
    <w:rsid w:val="37FE50D4"/>
    <w:rsid w:val="38041CE2"/>
    <w:rsid w:val="38066101"/>
    <w:rsid w:val="38066D52"/>
    <w:rsid w:val="38114D9C"/>
    <w:rsid w:val="38127AB6"/>
    <w:rsid w:val="38196A86"/>
    <w:rsid w:val="381B27FE"/>
    <w:rsid w:val="381D4C13"/>
    <w:rsid w:val="38267DA4"/>
    <w:rsid w:val="38287C31"/>
    <w:rsid w:val="382D2531"/>
    <w:rsid w:val="38367638"/>
    <w:rsid w:val="383B2EA0"/>
    <w:rsid w:val="384F7C6E"/>
    <w:rsid w:val="38507C4A"/>
    <w:rsid w:val="38543F62"/>
    <w:rsid w:val="38545D10"/>
    <w:rsid w:val="38563836"/>
    <w:rsid w:val="385823D2"/>
    <w:rsid w:val="386121DB"/>
    <w:rsid w:val="386E795A"/>
    <w:rsid w:val="38715D0E"/>
    <w:rsid w:val="38751A5A"/>
    <w:rsid w:val="38811EE6"/>
    <w:rsid w:val="38883C0B"/>
    <w:rsid w:val="38981553"/>
    <w:rsid w:val="38A547BD"/>
    <w:rsid w:val="38A77BB6"/>
    <w:rsid w:val="38AA3B82"/>
    <w:rsid w:val="38B22D66"/>
    <w:rsid w:val="38BB18EB"/>
    <w:rsid w:val="38C06F01"/>
    <w:rsid w:val="38C5276A"/>
    <w:rsid w:val="38CF183A"/>
    <w:rsid w:val="38D3500A"/>
    <w:rsid w:val="38D43EF2"/>
    <w:rsid w:val="38DA2963"/>
    <w:rsid w:val="38E273AD"/>
    <w:rsid w:val="38E3458B"/>
    <w:rsid w:val="38E36885"/>
    <w:rsid w:val="38E452E6"/>
    <w:rsid w:val="38E828EC"/>
    <w:rsid w:val="38EC6CC4"/>
    <w:rsid w:val="38EE6E18"/>
    <w:rsid w:val="38F73F98"/>
    <w:rsid w:val="38FE5C7B"/>
    <w:rsid w:val="39006985"/>
    <w:rsid w:val="3901717A"/>
    <w:rsid w:val="3902576C"/>
    <w:rsid w:val="390A63CE"/>
    <w:rsid w:val="390B0AC4"/>
    <w:rsid w:val="390D5FA7"/>
    <w:rsid w:val="390D6A5E"/>
    <w:rsid w:val="391B5C68"/>
    <w:rsid w:val="391C643C"/>
    <w:rsid w:val="39202096"/>
    <w:rsid w:val="39205F63"/>
    <w:rsid w:val="392B2D30"/>
    <w:rsid w:val="392E5671"/>
    <w:rsid w:val="392F0EB2"/>
    <w:rsid w:val="39322FCA"/>
    <w:rsid w:val="3942025E"/>
    <w:rsid w:val="39477622"/>
    <w:rsid w:val="39533276"/>
    <w:rsid w:val="39665A43"/>
    <w:rsid w:val="39692E8E"/>
    <w:rsid w:val="396959C3"/>
    <w:rsid w:val="39754190"/>
    <w:rsid w:val="397A1F29"/>
    <w:rsid w:val="397F0098"/>
    <w:rsid w:val="397F500E"/>
    <w:rsid w:val="398C14D9"/>
    <w:rsid w:val="39916AF0"/>
    <w:rsid w:val="39954B62"/>
    <w:rsid w:val="399716DB"/>
    <w:rsid w:val="399E2C66"/>
    <w:rsid w:val="39B67EF7"/>
    <w:rsid w:val="39B822CE"/>
    <w:rsid w:val="39B90520"/>
    <w:rsid w:val="39C61C11"/>
    <w:rsid w:val="39CA501E"/>
    <w:rsid w:val="39D07993"/>
    <w:rsid w:val="39DE1D44"/>
    <w:rsid w:val="39E44E71"/>
    <w:rsid w:val="39E4688A"/>
    <w:rsid w:val="39F02FBE"/>
    <w:rsid w:val="39F07CBA"/>
    <w:rsid w:val="39F5508A"/>
    <w:rsid w:val="39F72AA6"/>
    <w:rsid w:val="3A011DC8"/>
    <w:rsid w:val="3A06258B"/>
    <w:rsid w:val="3A080B60"/>
    <w:rsid w:val="3A126887"/>
    <w:rsid w:val="3A15327D"/>
    <w:rsid w:val="3A1D17A4"/>
    <w:rsid w:val="3A1E4827"/>
    <w:rsid w:val="3A234CF4"/>
    <w:rsid w:val="3A244B12"/>
    <w:rsid w:val="3A293AC2"/>
    <w:rsid w:val="3A2F2590"/>
    <w:rsid w:val="3A331955"/>
    <w:rsid w:val="3A35391F"/>
    <w:rsid w:val="3A361B71"/>
    <w:rsid w:val="3A3C3AC3"/>
    <w:rsid w:val="3A473702"/>
    <w:rsid w:val="3A476627"/>
    <w:rsid w:val="3A5111A7"/>
    <w:rsid w:val="3A59760D"/>
    <w:rsid w:val="3A5D324F"/>
    <w:rsid w:val="3A5F274A"/>
    <w:rsid w:val="3A654204"/>
    <w:rsid w:val="3A6E4DAD"/>
    <w:rsid w:val="3A742699"/>
    <w:rsid w:val="3A7724DE"/>
    <w:rsid w:val="3A7A1AF1"/>
    <w:rsid w:val="3A7E52C6"/>
    <w:rsid w:val="3A862C52"/>
    <w:rsid w:val="3A8D67BD"/>
    <w:rsid w:val="3A992100"/>
    <w:rsid w:val="3A9A30B6"/>
    <w:rsid w:val="3A9E7428"/>
    <w:rsid w:val="3AA35841"/>
    <w:rsid w:val="3AA52853"/>
    <w:rsid w:val="3AA54031"/>
    <w:rsid w:val="3AA576FB"/>
    <w:rsid w:val="3AA6206C"/>
    <w:rsid w:val="3AA765CB"/>
    <w:rsid w:val="3AB17449"/>
    <w:rsid w:val="3AB24F6F"/>
    <w:rsid w:val="3AB807D8"/>
    <w:rsid w:val="3AC224EA"/>
    <w:rsid w:val="3AC23843"/>
    <w:rsid w:val="3ACB0053"/>
    <w:rsid w:val="3ACB3CC4"/>
    <w:rsid w:val="3AD24493"/>
    <w:rsid w:val="3AD60C5E"/>
    <w:rsid w:val="3ADB6274"/>
    <w:rsid w:val="3AE570F3"/>
    <w:rsid w:val="3AEC11B5"/>
    <w:rsid w:val="3AED5FA8"/>
    <w:rsid w:val="3AF15A98"/>
    <w:rsid w:val="3AFC4D75"/>
    <w:rsid w:val="3B007A89"/>
    <w:rsid w:val="3B0965D5"/>
    <w:rsid w:val="3B0A473E"/>
    <w:rsid w:val="3B0A59BF"/>
    <w:rsid w:val="3B0D1C2F"/>
    <w:rsid w:val="3B102C79"/>
    <w:rsid w:val="3B133C60"/>
    <w:rsid w:val="3B181276"/>
    <w:rsid w:val="3B183024"/>
    <w:rsid w:val="3B284357"/>
    <w:rsid w:val="3B2F374B"/>
    <w:rsid w:val="3B3230A5"/>
    <w:rsid w:val="3B3569C5"/>
    <w:rsid w:val="3B3F2CA7"/>
    <w:rsid w:val="3B424545"/>
    <w:rsid w:val="3B476F2C"/>
    <w:rsid w:val="3B544EC3"/>
    <w:rsid w:val="3B550722"/>
    <w:rsid w:val="3B567FF1"/>
    <w:rsid w:val="3B5A2644"/>
    <w:rsid w:val="3B625ABF"/>
    <w:rsid w:val="3B6A0417"/>
    <w:rsid w:val="3B6F60D1"/>
    <w:rsid w:val="3B7B1C49"/>
    <w:rsid w:val="3B8832B4"/>
    <w:rsid w:val="3B893F22"/>
    <w:rsid w:val="3B8A323C"/>
    <w:rsid w:val="3B900379"/>
    <w:rsid w:val="3BAB20EB"/>
    <w:rsid w:val="3BAE5737"/>
    <w:rsid w:val="3BBB1991"/>
    <w:rsid w:val="3BC1190E"/>
    <w:rsid w:val="3BC767F9"/>
    <w:rsid w:val="3BC9431F"/>
    <w:rsid w:val="3BD038FF"/>
    <w:rsid w:val="3BD50B7B"/>
    <w:rsid w:val="3BD5526A"/>
    <w:rsid w:val="3BD75940"/>
    <w:rsid w:val="3BD77542"/>
    <w:rsid w:val="3BEC6BD0"/>
    <w:rsid w:val="3BFC7512"/>
    <w:rsid w:val="3BFD046C"/>
    <w:rsid w:val="3BFD221A"/>
    <w:rsid w:val="3C067D7C"/>
    <w:rsid w:val="3C075FBE"/>
    <w:rsid w:val="3C0812EB"/>
    <w:rsid w:val="3C0B2F57"/>
    <w:rsid w:val="3C0B34FD"/>
    <w:rsid w:val="3C133447"/>
    <w:rsid w:val="3C1A3224"/>
    <w:rsid w:val="3C1A7270"/>
    <w:rsid w:val="3C215FC4"/>
    <w:rsid w:val="3C287EA0"/>
    <w:rsid w:val="3C2E6878"/>
    <w:rsid w:val="3C320116"/>
    <w:rsid w:val="3C33648D"/>
    <w:rsid w:val="3C355E58"/>
    <w:rsid w:val="3C374AD4"/>
    <w:rsid w:val="3C377EA0"/>
    <w:rsid w:val="3C3E6869"/>
    <w:rsid w:val="3C431E39"/>
    <w:rsid w:val="3C4452EA"/>
    <w:rsid w:val="3C4816E7"/>
    <w:rsid w:val="3C4B11D8"/>
    <w:rsid w:val="3C552056"/>
    <w:rsid w:val="3C5A45CF"/>
    <w:rsid w:val="3C5E0BAF"/>
    <w:rsid w:val="3C5E53AF"/>
    <w:rsid w:val="3C5F1072"/>
    <w:rsid w:val="3C664263"/>
    <w:rsid w:val="3C6872CD"/>
    <w:rsid w:val="3C710BC4"/>
    <w:rsid w:val="3C722C08"/>
    <w:rsid w:val="3C74657F"/>
    <w:rsid w:val="3C7544A7"/>
    <w:rsid w:val="3C77121E"/>
    <w:rsid w:val="3C820130"/>
    <w:rsid w:val="3C936C1A"/>
    <w:rsid w:val="3CA37533"/>
    <w:rsid w:val="3CA64660"/>
    <w:rsid w:val="3CAA4150"/>
    <w:rsid w:val="3CAF5C0A"/>
    <w:rsid w:val="3CB90837"/>
    <w:rsid w:val="3CBE7BFC"/>
    <w:rsid w:val="3CC36DFD"/>
    <w:rsid w:val="3CC571DC"/>
    <w:rsid w:val="3CCC306D"/>
    <w:rsid w:val="3CD016DD"/>
    <w:rsid w:val="3CD72A6B"/>
    <w:rsid w:val="3CDA396C"/>
    <w:rsid w:val="3CE358B4"/>
    <w:rsid w:val="3CE93947"/>
    <w:rsid w:val="3CEA11BD"/>
    <w:rsid w:val="3CEB2521"/>
    <w:rsid w:val="3CEC308D"/>
    <w:rsid w:val="3CEF5488"/>
    <w:rsid w:val="3D033860"/>
    <w:rsid w:val="3D042809"/>
    <w:rsid w:val="3D0E2917"/>
    <w:rsid w:val="3D1171D0"/>
    <w:rsid w:val="3D121CF5"/>
    <w:rsid w:val="3D1E257B"/>
    <w:rsid w:val="3D314871"/>
    <w:rsid w:val="3D34084A"/>
    <w:rsid w:val="3D346A31"/>
    <w:rsid w:val="3D3E1FD9"/>
    <w:rsid w:val="3D491BBB"/>
    <w:rsid w:val="3D4933B5"/>
    <w:rsid w:val="3D4A6B6C"/>
    <w:rsid w:val="3D4B5A0B"/>
    <w:rsid w:val="3D58757C"/>
    <w:rsid w:val="3D597924"/>
    <w:rsid w:val="3D606F05"/>
    <w:rsid w:val="3D647B4C"/>
    <w:rsid w:val="3D6A7D83"/>
    <w:rsid w:val="3D7604D6"/>
    <w:rsid w:val="3D76460E"/>
    <w:rsid w:val="3D7D015C"/>
    <w:rsid w:val="3D87344A"/>
    <w:rsid w:val="3D94095C"/>
    <w:rsid w:val="3D970CBA"/>
    <w:rsid w:val="3D997A67"/>
    <w:rsid w:val="3DA823F9"/>
    <w:rsid w:val="3DA908A0"/>
    <w:rsid w:val="3DAA0180"/>
    <w:rsid w:val="3DAC5163"/>
    <w:rsid w:val="3DAC74C2"/>
    <w:rsid w:val="3DAD7631"/>
    <w:rsid w:val="3DBF2893"/>
    <w:rsid w:val="3DBF3C2B"/>
    <w:rsid w:val="3DC548B3"/>
    <w:rsid w:val="3DCC6348"/>
    <w:rsid w:val="3DD376D7"/>
    <w:rsid w:val="3DDA0A65"/>
    <w:rsid w:val="3DDD2303"/>
    <w:rsid w:val="3DE03BA2"/>
    <w:rsid w:val="3DE5087F"/>
    <w:rsid w:val="3DEE1D27"/>
    <w:rsid w:val="3DF24001"/>
    <w:rsid w:val="3DF31B27"/>
    <w:rsid w:val="3DF541A9"/>
    <w:rsid w:val="3DFA2EB5"/>
    <w:rsid w:val="3DFA4C63"/>
    <w:rsid w:val="3E001B2D"/>
    <w:rsid w:val="3E03620E"/>
    <w:rsid w:val="3E0867E5"/>
    <w:rsid w:val="3E0D0E3B"/>
    <w:rsid w:val="3E1675C3"/>
    <w:rsid w:val="3E1E01FB"/>
    <w:rsid w:val="3E2B51B0"/>
    <w:rsid w:val="3E2E3C60"/>
    <w:rsid w:val="3E39158D"/>
    <w:rsid w:val="3E3D2DA2"/>
    <w:rsid w:val="3E42660A"/>
    <w:rsid w:val="3E477D57"/>
    <w:rsid w:val="3E542DA9"/>
    <w:rsid w:val="3E5E754E"/>
    <w:rsid w:val="3E7F3E91"/>
    <w:rsid w:val="3E857D03"/>
    <w:rsid w:val="3E8B6203"/>
    <w:rsid w:val="3E92628C"/>
    <w:rsid w:val="3E9D741A"/>
    <w:rsid w:val="3E9F5B75"/>
    <w:rsid w:val="3EA370A9"/>
    <w:rsid w:val="3EA51E37"/>
    <w:rsid w:val="3EAA6689"/>
    <w:rsid w:val="3EAB1FCD"/>
    <w:rsid w:val="3EAD617A"/>
    <w:rsid w:val="3EB061FC"/>
    <w:rsid w:val="3EB72C41"/>
    <w:rsid w:val="3EB968CD"/>
    <w:rsid w:val="3EBC460F"/>
    <w:rsid w:val="3EC60FE9"/>
    <w:rsid w:val="3ECF7EF5"/>
    <w:rsid w:val="3ED5122D"/>
    <w:rsid w:val="3ED9341F"/>
    <w:rsid w:val="3EDD48AC"/>
    <w:rsid w:val="3EF142B8"/>
    <w:rsid w:val="3EF81DA1"/>
    <w:rsid w:val="3F0044FB"/>
    <w:rsid w:val="3F031FE9"/>
    <w:rsid w:val="3F052628"/>
    <w:rsid w:val="3F08090B"/>
    <w:rsid w:val="3F137FB6"/>
    <w:rsid w:val="3F16033C"/>
    <w:rsid w:val="3F163D1F"/>
    <w:rsid w:val="3F1B0ED2"/>
    <w:rsid w:val="3F235E61"/>
    <w:rsid w:val="3F29335F"/>
    <w:rsid w:val="3F3146B5"/>
    <w:rsid w:val="3F3B19D7"/>
    <w:rsid w:val="3F40258F"/>
    <w:rsid w:val="3F46412E"/>
    <w:rsid w:val="3F4A2145"/>
    <w:rsid w:val="3F4F31A4"/>
    <w:rsid w:val="3F5017C4"/>
    <w:rsid w:val="3F6727CC"/>
    <w:rsid w:val="3F6902F3"/>
    <w:rsid w:val="3F6B1650"/>
    <w:rsid w:val="3F6C7CAA"/>
    <w:rsid w:val="3F710F55"/>
    <w:rsid w:val="3F732F1F"/>
    <w:rsid w:val="3F744EE9"/>
    <w:rsid w:val="3F755A75"/>
    <w:rsid w:val="3F7950FB"/>
    <w:rsid w:val="3F7E18C4"/>
    <w:rsid w:val="3F7F046E"/>
    <w:rsid w:val="3F8C2233"/>
    <w:rsid w:val="3F941947"/>
    <w:rsid w:val="3F9B2476"/>
    <w:rsid w:val="3FA27361"/>
    <w:rsid w:val="3FA36FA7"/>
    <w:rsid w:val="3FA45708"/>
    <w:rsid w:val="3FA94B93"/>
    <w:rsid w:val="3FA95C43"/>
    <w:rsid w:val="3FAF1A7E"/>
    <w:rsid w:val="3FB0631E"/>
    <w:rsid w:val="3FC10AAC"/>
    <w:rsid w:val="3FC419CD"/>
    <w:rsid w:val="3FC46081"/>
    <w:rsid w:val="3FCA6493"/>
    <w:rsid w:val="3FD140EA"/>
    <w:rsid w:val="3FD47688"/>
    <w:rsid w:val="3FE45BCB"/>
    <w:rsid w:val="3FE80830"/>
    <w:rsid w:val="3FE8335F"/>
    <w:rsid w:val="3FFC1167"/>
    <w:rsid w:val="40004487"/>
    <w:rsid w:val="40055B41"/>
    <w:rsid w:val="40063D93"/>
    <w:rsid w:val="40094AB4"/>
    <w:rsid w:val="401069C0"/>
    <w:rsid w:val="40181D19"/>
    <w:rsid w:val="401E2E70"/>
    <w:rsid w:val="402B55A8"/>
    <w:rsid w:val="40302BBE"/>
    <w:rsid w:val="4037219F"/>
    <w:rsid w:val="403B1563"/>
    <w:rsid w:val="40464190"/>
    <w:rsid w:val="40481D0D"/>
    <w:rsid w:val="40500482"/>
    <w:rsid w:val="40505C51"/>
    <w:rsid w:val="40526FD9"/>
    <w:rsid w:val="40534AFF"/>
    <w:rsid w:val="405378C8"/>
    <w:rsid w:val="40656416"/>
    <w:rsid w:val="406A42CC"/>
    <w:rsid w:val="406E3EC8"/>
    <w:rsid w:val="407857B3"/>
    <w:rsid w:val="40796351"/>
    <w:rsid w:val="408B6047"/>
    <w:rsid w:val="408C5D5A"/>
    <w:rsid w:val="4097524F"/>
    <w:rsid w:val="40994C08"/>
    <w:rsid w:val="409F1AF2"/>
    <w:rsid w:val="40A47C83"/>
    <w:rsid w:val="40A94E83"/>
    <w:rsid w:val="40AD06B3"/>
    <w:rsid w:val="40AF61D9"/>
    <w:rsid w:val="40B62C30"/>
    <w:rsid w:val="40BC26A4"/>
    <w:rsid w:val="40BF2194"/>
    <w:rsid w:val="40C1415E"/>
    <w:rsid w:val="40C53DE4"/>
    <w:rsid w:val="40C9055B"/>
    <w:rsid w:val="40C91210"/>
    <w:rsid w:val="40CF0629"/>
    <w:rsid w:val="40CF78DA"/>
    <w:rsid w:val="40D05E19"/>
    <w:rsid w:val="40DA0D7C"/>
    <w:rsid w:val="40F24318"/>
    <w:rsid w:val="40F73BA2"/>
    <w:rsid w:val="40FB7670"/>
    <w:rsid w:val="41004F5C"/>
    <w:rsid w:val="4100750C"/>
    <w:rsid w:val="41021E28"/>
    <w:rsid w:val="41022C69"/>
    <w:rsid w:val="4103208B"/>
    <w:rsid w:val="410E3CD6"/>
    <w:rsid w:val="410F0E53"/>
    <w:rsid w:val="411918A4"/>
    <w:rsid w:val="411E6EBB"/>
    <w:rsid w:val="4125649B"/>
    <w:rsid w:val="41265D6F"/>
    <w:rsid w:val="41313685"/>
    <w:rsid w:val="4132438B"/>
    <w:rsid w:val="413C4BDD"/>
    <w:rsid w:val="41504BE8"/>
    <w:rsid w:val="41526B64"/>
    <w:rsid w:val="415A03A9"/>
    <w:rsid w:val="415A2A24"/>
    <w:rsid w:val="415A3DE3"/>
    <w:rsid w:val="415D5C35"/>
    <w:rsid w:val="415E19AD"/>
    <w:rsid w:val="415E5CCE"/>
    <w:rsid w:val="41650F8E"/>
    <w:rsid w:val="41682B86"/>
    <w:rsid w:val="41686388"/>
    <w:rsid w:val="416E7E42"/>
    <w:rsid w:val="418D5DEE"/>
    <w:rsid w:val="41913ED7"/>
    <w:rsid w:val="41943621"/>
    <w:rsid w:val="419D24D5"/>
    <w:rsid w:val="41A13939"/>
    <w:rsid w:val="41A2189A"/>
    <w:rsid w:val="41AB652E"/>
    <w:rsid w:val="41AE11D8"/>
    <w:rsid w:val="41BD0482"/>
    <w:rsid w:val="41BE244C"/>
    <w:rsid w:val="41C07F72"/>
    <w:rsid w:val="41C35D99"/>
    <w:rsid w:val="41CC2DBB"/>
    <w:rsid w:val="41CE268F"/>
    <w:rsid w:val="41D34149"/>
    <w:rsid w:val="41D91034"/>
    <w:rsid w:val="41E225DE"/>
    <w:rsid w:val="41E53E7C"/>
    <w:rsid w:val="41EE0932"/>
    <w:rsid w:val="41F145CF"/>
    <w:rsid w:val="42044303"/>
    <w:rsid w:val="420A743F"/>
    <w:rsid w:val="421443CB"/>
    <w:rsid w:val="42176969"/>
    <w:rsid w:val="422B3569"/>
    <w:rsid w:val="42446DF5"/>
    <w:rsid w:val="424766D1"/>
    <w:rsid w:val="42515175"/>
    <w:rsid w:val="425169B0"/>
    <w:rsid w:val="42521512"/>
    <w:rsid w:val="42632672"/>
    <w:rsid w:val="42632D24"/>
    <w:rsid w:val="426810D9"/>
    <w:rsid w:val="426F783E"/>
    <w:rsid w:val="427F607F"/>
    <w:rsid w:val="4290203A"/>
    <w:rsid w:val="42926C46"/>
    <w:rsid w:val="42996CD2"/>
    <w:rsid w:val="429C0DE9"/>
    <w:rsid w:val="42A41FED"/>
    <w:rsid w:val="42A95122"/>
    <w:rsid w:val="42AE5D2E"/>
    <w:rsid w:val="42B21FB1"/>
    <w:rsid w:val="42B75819"/>
    <w:rsid w:val="42BB7663"/>
    <w:rsid w:val="42C14D45"/>
    <w:rsid w:val="42C615B8"/>
    <w:rsid w:val="42CB4E20"/>
    <w:rsid w:val="42DC0DDB"/>
    <w:rsid w:val="42DE2DA6"/>
    <w:rsid w:val="42E0016E"/>
    <w:rsid w:val="42E12404"/>
    <w:rsid w:val="42E562CD"/>
    <w:rsid w:val="42E73A82"/>
    <w:rsid w:val="42FE0D52"/>
    <w:rsid w:val="43030A5E"/>
    <w:rsid w:val="43106CD7"/>
    <w:rsid w:val="43140A2D"/>
    <w:rsid w:val="43185DA7"/>
    <w:rsid w:val="43192030"/>
    <w:rsid w:val="432F1853"/>
    <w:rsid w:val="433513BF"/>
    <w:rsid w:val="433C187A"/>
    <w:rsid w:val="433F2195"/>
    <w:rsid w:val="434626F9"/>
    <w:rsid w:val="43497102"/>
    <w:rsid w:val="434B10DD"/>
    <w:rsid w:val="434D5B71"/>
    <w:rsid w:val="43593652"/>
    <w:rsid w:val="43615785"/>
    <w:rsid w:val="436A63E7"/>
    <w:rsid w:val="436F7031"/>
    <w:rsid w:val="437455E8"/>
    <w:rsid w:val="437D5B21"/>
    <w:rsid w:val="437E6337"/>
    <w:rsid w:val="438069A6"/>
    <w:rsid w:val="4382174D"/>
    <w:rsid w:val="43880F63"/>
    <w:rsid w:val="438D20D6"/>
    <w:rsid w:val="43A35D9D"/>
    <w:rsid w:val="43AD109A"/>
    <w:rsid w:val="43B70A87"/>
    <w:rsid w:val="43BD19B2"/>
    <w:rsid w:val="43C51456"/>
    <w:rsid w:val="43C769B7"/>
    <w:rsid w:val="43CA7067"/>
    <w:rsid w:val="43CE47D0"/>
    <w:rsid w:val="43CF28BC"/>
    <w:rsid w:val="43D973AE"/>
    <w:rsid w:val="43E02B4D"/>
    <w:rsid w:val="43E91792"/>
    <w:rsid w:val="43ED0DC6"/>
    <w:rsid w:val="43EE13B2"/>
    <w:rsid w:val="43F14D5A"/>
    <w:rsid w:val="43FE4D82"/>
    <w:rsid w:val="43FF34AC"/>
    <w:rsid w:val="440473D1"/>
    <w:rsid w:val="440B4E92"/>
    <w:rsid w:val="44114AB5"/>
    <w:rsid w:val="441D5B50"/>
    <w:rsid w:val="441D6206"/>
    <w:rsid w:val="441E3688"/>
    <w:rsid w:val="441F5424"/>
    <w:rsid w:val="442073EE"/>
    <w:rsid w:val="44213356"/>
    <w:rsid w:val="442313F8"/>
    <w:rsid w:val="44284660"/>
    <w:rsid w:val="442A3DC9"/>
    <w:rsid w:val="442E5432"/>
    <w:rsid w:val="443720C6"/>
    <w:rsid w:val="44392A6D"/>
    <w:rsid w:val="4441126A"/>
    <w:rsid w:val="444430DC"/>
    <w:rsid w:val="4444415E"/>
    <w:rsid w:val="44454BDC"/>
    <w:rsid w:val="44463B5B"/>
    <w:rsid w:val="444877C4"/>
    <w:rsid w:val="445D419E"/>
    <w:rsid w:val="445F4D0F"/>
    <w:rsid w:val="446505FA"/>
    <w:rsid w:val="44682E92"/>
    <w:rsid w:val="44693BF5"/>
    <w:rsid w:val="44700650"/>
    <w:rsid w:val="447137A5"/>
    <w:rsid w:val="447A0492"/>
    <w:rsid w:val="447B402B"/>
    <w:rsid w:val="44834D15"/>
    <w:rsid w:val="4487121B"/>
    <w:rsid w:val="448E2397"/>
    <w:rsid w:val="44906FD3"/>
    <w:rsid w:val="449239A1"/>
    <w:rsid w:val="449851D6"/>
    <w:rsid w:val="44A40300"/>
    <w:rsid w:val="44A771C7"/>
    <w:rsid w:val="44AE7F21"/>
    <w:rsid w:val="44B35375"/>
    <w:rsid w:val="44C26097"/>
    <w:rsid w:val="44C327C3"/>
    <w:rsid w:val="44CA0ACF"/>
    <w:rsid w:val="44CB1FDB"/>
    <w:rsid w:val="44D07625"/>
    <w:rsid w:val="44DA2B78"/>
    <w:rsid w:val="44E45F67"/>
    <w:rsid w:val="44E86E62"/>
    <w:rsid w:val="44E87F0C"/>
    <w:rsid w:val="44EC0221"/>
    <w:rsid w:val="44EC44AD"/>
    <w:rsid w:val="44F52066"/>
    <w:rsid w:val="44F763A1"/>
    <w:rsid w:val="44F96048"/>
    <w:rsid w:val="450314C8"/>
    <w:rsid w:val="4506156C"/>
    <w:rsid w:val="45105EDB"/>
    <w:rsid w:val="45191FD4"/>
    <w:rsid w:val="45196315"/>
    <w:rsid w:val="451C7473"/>
    <w:rsid w:val="4521341D"/>
    <w:rsid w:val="454809AA"/>
    <w:rsid w:val="45611A6C"/>
    <w:rsid w:val="456344DA"/>
    <w:rsid w:val="456349FB"/>
    <w:rsid w:val="45660E30"/>
    <w:rsid w:val="45682D36"/>
    <w:rsid w:val="45730AF9"/>
    <w:rsid w:val="45772A5A"/>
    <w:rsid w:val="457B2B2E"/>
    <w:rsid w:val="4585575A"/>
    <w:rsid w:val="45886FF9"/>
    <w:rsid w:val="458D460F"/>
    <w:rsid w:val="45A35BE1"/>
    <w:rsid w:val="45A66AAF"/>
    <w:rsid w:val="45B002FD"/>
    <w:rsid w:val="45B278E9"/>
    <w:rsid w:val="45B55914"/>
    <w:rsid w:val="45B82804"/>
    <w:rsid w:val="45CC00D8"/>
    <w:rsid w:val="45CF4C28"/>
    <w:rsid w:val="45DD5596"/>
    <w:rsid w:val="45E4342C"/>
    <w:rsid w:val="45E5267F"/>
    <w:rsid w:val="45E5269D"/>
    <w:rsid w:val="45E559ED"/>
    <w:rsid w:val="45E77993"/>
    <w:rsid w:val="45EE3C7D"/>
    <w:rsid w:val="45F34DBA"/>
    <w:rsid w:val="45F35533"/>
    <w:rsid w:val="45F55107"/>
    <w:rsid w:val="45F60406"/>
    <w:rsid w:val="45F7378E"/>
    <w:rsid w:val="46026F63"/>
    <w:rsid w:val="4603181D"/>
    <w:rsid w:val="460421F7"/>
    <w:rsid w:val="461113D5"/>
    <w:rsid w:val="46234F92"/>
    <w:rsid w:val="46242373"/>
    <w:rsid w:val="462D6DD1"/>
    <w:rsid w:val="46323308"/>
    <w:rsid w:val="463830C3"/>
    <w:rsid w:val="46401681"/>
    <w:rsid w:val="46402205"/>
    <w:rsid w:val="46484442"/>
    <w:rsid w:val="464A2500"/>
    <w:rsid w:val="464C3A49"/>
    <w:rsid w:val="464E4919"/>
    <w:rsid w:val="46500C96"/>
    <w:rsid w:val="46503CE8"/>
    <w:rsid w:val="465A0C11"/>
    <w:rsid w:val="46696960"/>
    <w:rsid w:val="46696E2A"/>
    <w:rsid w:val="46705477"/>
    <w:rsid w:val="4685178A"/>
    <w:rsid w:val="46873754"/>
    <w:rsid w:val="4694649D"/>
    <w:rsid w:val="469D4D26"/>
    <w:rsid w:val="46A21160"/>
    <w:rsid w:val="46A27C73"/>
    <w:rsid w:val="46B856BC"/>
    <w:rsid w:val="46BA1E09"/>
    <w:rsid w:val="46BE708B"/>
    <w:rsid w:val="46C027C2"/>
    <w:rsid w:val="46CB5083"/>
    <w:rsid w:val="46CD5995"/>
    <w:rsid w:val="46CE4EDF"/>
    <w:rsid w:val="46CE7474"/>
    <w:rsid w:val="46DD48F7"/>
    <w:rsid w:val="46DF533E"/>
    <w:rsid w:val="46E86B4F"/>
    <w:rsid w:val="46E932D2"/>
    <w:rsid w:val="46E95A67"/>
    <w:rsid w:val="46F15907"/>
    <w:rsid w:val="46F96F76"/>
    <w:rsid w:val="470628CB"/>
    <w:rsid w:val="47131137"/>
    <w:rsid w:val="471A6804"/>
    <w:rsid w:val="47213261"/>
    <w:rsid w:val="47224A99"/>
    <w:rsid w:val="47226FD9"/>
    <w:rsid w:val="47294EB8"/>
    <w:rsid w:val="4734568A"/>
    <w:rsid w:val="47355FE4"/>
    <w:rsid w:val="47356D0C"/>
    <w:rsid w:val="473A07C7"/>
    <w:rsid w:val="474A7EE1"/>
    <w:rsid w:val="474C39E8"/>
    <w:rsid w:val="47501D98"/>
    <w:rsid w:val="47504F42"/>
    <w:rsid w:val="47556AED"/>
    <w:rsid w:val="475C073D"/>
    <w:rsid w:val="47611C4F"/>
    <w:rsid w:val="47677770"/>
    <w:rsid w:val="476941AA"/>
    <w:rsid w:val="476D0DC0"/>
    <w:rsid w:val="477134FC"/>
    <w:rsid w:val="47765E2F"/>
    <w:rsid w:val="4777325F"/>
    <w:rsid w:val="47780A43"/>
    <w:rsid w:val="47835411"/>
    <w:rsid w:val="478A7058"/>
    <w:rsid w:val="4791488A"/>
    <w:rsid w:val="47972677"/>
    <w:rsid w:val="47974345"/>
    <w:rsid w:val="47990211"/>
    <w:rsid w:val="47A10846"/>
    <w:rsid w:val="47A71315"/>
    <w:rsid w:val="47AF4D11"/>
    <w:rsid w:val="47BE31A6"/>
    <w:rsid w:val="47C54534"/>
    <w:rsid w:val="47D3233B"/>
    <w:rsid w:val="47DB3414"/>
    <w:rsid w:val="47DE73A4"/>
    <w:rsid w:val="47E55D2F"/>
    <w:rsid w:val="47ED5F34"/>
    <w:rsid w:val="47F44E19"/>
    <w:rsid w:val="47FC5A7C"/>
    <w:rsid w:val="47FE17F4"/>
    <w:rsid w:val="48007381"/>
    <w:rsid w:val="4801747A"/>
    <w:rsid w:val="48042BC0"/>
    <w:rsid w:val="481434D1"/>
    <w:rsid w:val="48143533"/>
    <w:rsid w:val="481A32B8"/>
    <w:rsid w:val="481B23A6"/>
    <w:rsid w:val="48217291"/>
    <w:rsid w:val="48311BC9"/>
    <w:rsid w:val="483506D4"/>
    <w:rsid w:val="483A0C1F"/>
    <w:rsid w:val="4847319B"/>
    <w:rsid w:val="484C255F"/>
    <w:rsid w:val="484C6A03"/>
    <w:rsid w:val="484F02A2"/>
    <w:rsid w:val="485C3F8A"/>
    <w:rsid w:val="48603CF3"/>
    <w:rsid w:val="486610FE"/>
    <w:rsid w:val="48711FC6"/>
    <w:rsid w:val="48772FED"/>
    <w:rsid w:val="487B2E45"/>
    <w:rsid w:val="48836A65"/>
    <w:rsid w:val="489A151D"/>
    <w:rsid w:val="489B34E7"/>
    <w:rsid w:val="489E2A01"/>
    <w:rsid w:val="489E2F22"/>
    <w:rsid w:val="48AB1789"/>
    <w:rsid w:val="48AD0AEC"/>
    <w:rsid w:val="48AD4E73"/>
    <w:rsid w:val="48B23078"/>
    <w:rsid w:val="48B40105"/>
    <w:rsid w:val="48B84099"/>
    <w:rsid w:val="48D12A65"/>
    <w:rsid w:val="48E1539E"/>
    <w:rsid w:val="48E46C3C"/>
    <w:rsid w:val="48E761F0"/>
    <w:rsid w:val="48E855F9"/>
    <w:rsid w:val="48F12CB1"/>
    <w:rsid w:val="48F7696F"/>
    <w:rsid w:val="48F826E7"/>
    <w:rsid w:val="49057B0A"/>
    <w:rsid w:val="49057F53"/>
    <w:rsid w:val="490B241B"/>
    <w:rsid w:val="490C7F41"/>
    <w:rsid w:val="490E5A67"/>
    <w:rsid w:val="4928584F"/>
    <w:rsid w:val="49287D31"/>
    <w:rsid w:val="492928A1"/>
    <w:rsid w:val="492A6862"/>
    <w:rsid w:val="49353CB9"/>
    <w:rsid w:val="49373EFA"/>
    <w:rsid w:val="49396E43"/>
    <w:rsid w:val="4941408E"/>
    <w:rsid w:val="49417A8C"/>
    <w:rsid w:val="494E592A"/>
    <w:rsid w:val="495C4A24"/>
    <w:rsid w:val="495D254A"/>
    <w:rsid w:val="495D7CF3"/>
    <w:rsid w:val="495E2F48"/>
    <w:rsid w:val="495F2766"/>
    <w:rsid w:val="49703A09"/>
    <w:rsid w:val="4972249A"/>
    <w:rsid w:val="49836154"/>
    <w:rsid w:val="49845D29"/>
    <w:rsid w:val="4985619D"/>
    <w:rsid w:val="49867CF3"/>
    <w:rsid w:val="498703ED"/>
    <w:rsid w:val="498B3956"/>
    <w:rsid w:val="498E6BA8"/>
    <w:rsid w:val="499E39DA"/>
    <w:rsid w:val="49A14B2D"/>
    <w:rsid w:val="49A308A5"/>
    <w:rsid w:val="49A53A03"/>
    <w:rsid w:val="49B45954"/>
    <w:rsid w:val="49C0138A"/>
    <w:rsid w:val="49C24104"/>
    <w:rsid w:val="49C425C9"/>
    <w:rsid w:val="49C8030C"/>
    <w:rsid w:val="49D00F6E"/>
    <w:rsid w:val="49D942C7"/>
    <w:rsid w:val="49DC5B65"/>
    <w:rsid w:val="49DF3484"/>
    <w:rsid w:val="49E13C41"/>
    <w:rsid w:val="49E54B4B"/>
    <w:rsid w:val="49EC224C"/>
    <w:rsid w:val="49F8358A"/>
    <w:rsid w:val="4A022010"/>
    <w:rsid w:val="4A0550BC"/>
    <w:rsid w:val="4A0D0BC6"/>
    <w:rsid w:val="4A0F18B0"/>
    <w:rsid w:val="4A1470AD"/>
    <w:rsid w:val="4A153553"/>
    <w:rsid w:val="4A1B48DF"/>
    <w:rsid w:val="4A362681"/>
    <w:rsid w:val="4A3868ED"/>
    <w:rsid w:val="4A547DF1"/>
    <w:rsid w:val="4A592213"/>
    <w:rsid w:val="4A697ED8"/>
    <w:rsid w:val="4A76305B"/>
    <w:rsid w:val="4A881849"/>
    <w:rsid w:val="4A8D13EF"/>
    <w:rsid w:val="4A8E1972"/>
    <w:rsid w:val="4A975C7D"/>
    <w:rsid w:val="4A9F40CA"/>
    <w:rsid w:val="4AA46683"/>
    <w:rsid w:val="4AAC4D70"/>
    <w:rsid w:val="4AB20F2B"/>
    <w:rsid w:val="4ABD7744"/>
    <w:rsid w:val="4AC4088C"/>
    <w:rsid w:val="4AC7359A"/>
    <w:rsid w:val="4ACB3EF4"/>
    <w:rsid w:val="4AD351BA"/>
    <w:rsid w:val="4AD37CDA"/>
    <w:rsid w:val="4ADA6548"/>
    <w:rsid w:val="4AE01685"/>
    <w:rsid w:val="4AEB2504"/>
    <w:rsid w:val="4AEF4235"/>
    <w:rsid w:val="4AF2103A"/>
    <w:rsid w:val="4AF40C8C"/>
    <w:rsid w:val="4B004BB8"/>
    <w:rsid w:val="4B0E134F"/>
    <w:rsid w:val="4B0F6C72"/>
    <w:rsid w:val="4B186FF8"/>
    <w:rsid w:val="4B1C45AB"/>
    <w:rsid w:val="4B1D3FC7"/>
    <w:rsid w:val="4B1D4AD0"/>
    <w:rsid w:val="4B20587A"/>
    <w:rsid w:val="4B2772B4"/>
    <w:rsid w:val="4B2F1727"/>
    <w:rsid w:val="4B307DB3"/>
    <w:rsid w:val="4B36681C"/>
    <w:rsid w:val="4B3A0D95"/>
    <w:rsid w:val="4B3A6FE7"/>
    <w:rsid w:val="4B3E3CC2"/>
    <w:rsid w:val="4B3F63AB"/>
    <w:rsid w:val="4B477B5C"/>
    <w:rsid w:val="4B4860F2"/>
    <w:rsid w:val="4B490FD8"/>
    <w:rsid w:val="4B4F1DD5"/>
    <w:rsid w:val="4B533C05"/>
    <w:rsid w:val="4B6C4CC7"/>
    <w:rsid w:val="4B702A09"/>
    <w:rsid w:val="4B773D97"/>
    <w:rsid w:val="4B797C23"/>
    <w:rsid w:val="4B802EAC"/>
    <w:rsid w:val="4B995B21"/>
    <w:rsid w:val="4B9A5CD8"/>
    <w:rsid w:val="4B9E1324"/>
    <w:rsid w:val="4B9F501D"/>
    <w:rsid w:val="4BA10E14"/>
    <w:rsid w:val="4BA25610"/>
    <w:rsid w:val="4BA31329"/>
    <w:rsid w:val="4BA44460"/>
    <w:rsid w:val="4BA6467C"/>
    <w:rsid w:val="4BA803F5"/>
    <w:rsid w:val="4BB5041C"/>
    <w:rsid w:val="4BBB4842"/>
    <w:rsid w:val="4BBC79FC"/>
    <w:rsid w:val="4BBF74EC"/>
    <w:rsid w:val="4BC0107B"/>
    <w:rsid w:val="4BC32732"/>
    <w:rsid w:val="4BC82845"/>
    <w:rsid w:val="4BCC24D0"/>
    <w:rsid w:val="4BCC41F7"/>
    <w:rsid w:val="4BD340D8"/>
    <w:rsid w:val="4BD72E77"/>
    <w:rsid w:val="4BDC3BFA"/>
    <w:rsid w:val="4BE8162B"/>
    <w:rsid w:val="4BEB208F"/>
    <w:rsid w:val="4BF30F0E"/>
    <w:rsid w:val="4BF3700E"/>
    <w:rsid w:val="4BF40E3E"/>
    <w:rsid w:val="4BF4363A"/>
    <w:rsid w:val="4BF93426"/>
    <w:rsid w:val="4BF93947"/>
    <w:rsid w:val="4BFC428E"/>
    <w:rsid w:val="4C0513A3"/>
    <w:rsid w:val="4C0D64AA"/>
    <w:rsid w:val="4C0F2EFA"/>
    <w:rsid w:val="4C102C81"/>
    <w:rsid w:val="4C16343E"/>
    <w:rsid w:val="4C1669E5"/>
    <w:rsid w:val="4C1710D6"/>
    <w:rsid w:val="4C1753ED"/>
    <w:rsid w:val="4C181799"/>
    <w:rsid w:val="4C20684D"/>
    <w:rsid w:val="4C261319"/>
    <w:rsid w:val="4C26756B"/>
    <w:rsid w:val="4C2A0E0A"/>
    <w:rsid w:val="4C2A705C"/>
    <w:rsid w:val="4C2F4672"/>
    <w:rsid w:val="4C35155C"/>
    <w:rsid w:val="4C377B1D"/>
    <w:rsid w:val="4C393C27"/>
    <w:rsid w:val="4C3B7704"/>
    <w:rsid w:val="4C4E7751"/>
    <w:rsid w:val="4C516396"/>
    <w:rsid w:val="4C5D79F9"/>
    <w:rsid w:val="4C5E445B"/>
    <w:rsid w:val="4C5F2FD8"/>
    <w:rsid w:val="4C60482B"/>
    <w:rsid w:val="4C6065D9"/>
    <w:rsid w:val="4C61684E"/>
    <w:rsid w:val="4C687B84"/>
    <w:rsid w:val="4C6D61F7"/>
    <w:rsid w:val="4C714C8A"/>
    <w:rsid w:val="4C7C718B"/>
    <w:rsid w:val="4C9170DB"/>
    <w:rsid w:val="4C942727"/>
    <w:rsid w:val="4CA23096"/>
    <w:rsid w:val="4CA26BF2"/>
    <w:rsid w:val="4CA74986"/>
    <w:rsid w:val="4CA86B33"/>
    <w:rsid w:val="4CB614C5"/>
    <w:rsid w:val="4CB708CE"/>
    <w:rsid w:val="4CC06201"/>
    <w:rsid w:val="4CCE79E7"/>
    <w:rsid w:val="4CD3231D"/>
    <w:rsid w:val="4CD54770"/>
    <w:rsid w:val="4CEC5094"/>
    <w:rsid w:val="4CEF46B1"/>
    <w:rsid w:val="4CF124D7"/>
    <w:rsid w:val="4CF60CEC"/>
    <w:rsid w:val="4CF65190"/>
    <w:rsid w:val="4D001B6A"/>
    <w:rsid w:val="4D072EF9"/>
    <w:rsid w:val="4D0E4287"/>
    <w:rsid w:val="4D0E4E56"/>
    <w:rsid w:val="4D111FCA"/>
    <w:rsid w:val="4D184E9F"/>
    <w:rsid w:val="4D1F45CA"/>
    <w:rsid w:val="4D302450"/>
    <w:rsid w:val="4D3F2693"/>
    <w:rsid w:val="4D4507B1"/>
    <w:rsid w:val="4D471771"/>
    <w:rsid w:val="4D4F0070"/>
    <w:rsid w:val="4D554104"/>
    <w:rsid w:val="4D5F3063"/>
    <w:rsid w:val="4D61085B"/>
    <w:rsid w:val="4D6150D8"/>
    <w:rsid w:val="4D665DA0"/>
    <w:rsid w:val="4D73233C"/>
    <w:rsid w:val="4D751A6D"/>
    <w:rsid w:val="4D7F6F33"/>
    <w:rsid w:val="4D884D70"/>
    <w:rsid w:val="4D906FE3"/>
    <w:rsid w:val="4D9229C5"/>
    <w:rsid w:val="4D956757"/>
    <w:rsid w:val="4D956776"/>
    <w:rsid w:val="4D97427D"/>
    <w:rsid w:val="4D9F646F"/>
    <w:rsid w:val="4DA370C6"/>
    <w:rsid w:val="4DA90454"/>
    <w:rsid w:val="4DAC584E"/>
    <w:rsid w:val="4DAE6043"/>
    <w:rsid w:val="4DAF745E"/>
    <w:rsid w:val="4DB01A4E"/>
    <w:rsid w:val="4DB12E65"/>
    <w:rsid w:val="4DBD215C"/>
    <w:rsid w:val="4DC320B9"/>
    <w:rsid w:val="4DC42B98"/>
    <w:rsid w:val="4DC4401B"/>
    <w:rsid w:val="4DC5500D"/>
    <w:rsid w:val="4DCB5BFA"/>
    <w:rsid w:val="4DDF2965"/>
    <w:rsid w:val="4DDF413C"/>
    <w:rsid w:val="4DE338A7"/>
    <w:rsid w:val="4DE60D60"/>
    <w:rsid w:val="4DE66FB2"/>
    <w:rsid w:val="4DE90850"/>
    <w:rsid w:val="4DEA40C5"/>
    <w:rsid w:val="4DF5539E"/>
    <w:rsid w:val="4DF739FA"/>
    <w:rsid w:val="4DFF5F25"/>
    <w:rsid w:val="4E023BB8"/>
    <w:rsid w:val="4E094A4F"/>
    <w:rsid w:val="4E0A3F56"/>
    <w:rsid w:val="4E16599B"/>
    <w:rsid w:val="4E21448E"/>
    <w:rsid w:val="4E263853"/>
    <w:rsid w:val="4E267F26"/>
    <w:rsid w:val="4E2776C4"/>
    <w:rsid w:val="4E434405"/>
    <w:rsid w:val="4E497D56"/>
    <w:rsid w:val="4E5B34FC"/>
    <w:rsid w:val="4E636855"/>
    <w:rsid w:val="4E7750AF"/>
    <w:rsid w:val="4E816CDB"/>
    <w:rsid w:val="4E9E163B"/>
    <w:rsid w:val="4E9F6F34"/>
    <w:rsid w:val="4EA00746"/>
    <w:rsid w:val="4EA40C60"/>
    <w:rsid w:val="4EA64975"/>
    <w:rsid w:val="4EAB7914"/>
    <w:rsid w:val="4EAF015A"/>
    <w:rsid w:val="4EAF1A9A"/>
    <w:rsid w:val="4EB250E6"/>
    <w:rsid w:val="4EB255E9"/>
    <w:rsid w:val="4EBB043F"/>
    <w:rsid w:val="4EBD4210"/>
    <w:rsid w:val="4EC05A55"/>
    <w:rsid w:val="4EC913BD"/>
    <w:rsid w:val="4ECC69E9"/>
    <w:rsid w:val="4ED239F1"/>
    <w:rsid w:val="4ED46303"/>
    <w:rsid w:val="4EE94FAC"/>
    <w:rsid w:val="4EEC684A"/>
    <w:rsid w:val="4EEF4898"/>
    <w:rsid w:val="4EF876C2"/>
    <w:rsid w:val="4EF9194B"/>
    <w:rsid w:val="4EF95618"/>
    <w:rsid w:val="4EFB4CDF"/>
    <w:rsid w:val="4F02606E"/>
    <w:rsid w:val="4F0516BA"/>
    <w:rsid w:val="4F0A56E7"/>
    <w:rsid w:val="4F11005F"/>
    <w:rsid w:val="4F187946"/>
    <w:rsid w:val="4F230016"/>
    <w:rsid w:val="4F2844FE"/>
    <w:rsid w:val="4F284BD5"/>
    <w:rsid w:val="4F2B762F"/>
    <w:rsid w:val="4F2C3F21"/>
    <w:rsid w:val="4F2E365D"/>
    <w:rsid w:val="4F331259"/>
    <w:rsid w:val="4F351F9F"/>
    <w:rsid w:val="4F35568B"/>
    <w:rsid w:val="4F367AC5"/>
    <w:rsid w:val="4F3D2EEA"/>
    <w:rsid w:val="4F4827F4"/>
    <w:rsid w:val="4F490394"/>
    <w:rsid w:val="4F4928CD"/>
    <w:rsid w:val="4F4A3064"/>
    <w:rsid w:val="4F4E6795"/>
    <w:rsid w:val="4F563CC4"/>
    <w:rsid w:val="4F5D32A4"/>
    <w:rsid w:val="4F63535B"/>
    <w:rsid w:val="4F66685C"/>
    <w:rsid w:val="4F77268E"/>
    <w:rsid w:val="4F7971B7"/>
    <w:rsid w:val="4F7A6BD5"/>
    <w:rsid w:val="4F7D23C8"/>
    <w:rsid w:val="4F870465"/>
    <w:rsid w:val="4F87366D"/>
    <w:rsid w:val="4F8D6993"/>
    <w:rsid w:val="4F9071D6"/>
    <w:rsid w:val="4F9273F2"/>
    <w:rsid w:val="4F996CEF"/>
    <w:rsid w:val="4F9B5B7A"/>
    <w:rsid w:val="4FB44305"/>
    <w:rsid w:val="4FB54E8E"/>
    <w:rsid w:val="4FB77D6C"/>
    <w:rsid w:val="4FC47104"/>
    <w:rsid w:val="4FC861DA"/>
    <w:rsid w:val="4FCB2904"/>
    <w:rsid w:val="4FCE7CFE"/>
    <w:rsid w:val="4FD74E04"/>
    <w:rsid w:val="4FDF5FF5"/>
    <w:rsid w:val="4FE237A9"/>
    <w:rsid w:val="4FE52E29"/>
    <w:rsid w:val="4FE90FDC"/>
    <w:rsid w:val="4FED4628"/>
    <w:rsid w:val="4FFE246B"/>
    <w:rsid w:val="4FFE4A87"/>
    <w:rsid w:val="50056699"/>
    <w:rsid w:val="50096F88"/>
    <w:rsid w:val="500B2729"/>
    <w:rsid w:val="500D4C0D"/>
    <w:rsid w:val="500F5786"/>
    <w:rsid w:val="50106568"/>
    <w:rsid w:val="502A10A5"/>
    <w:rsid w:val="502B6719"/>
    <w:rsid w:val="502D0EC8"/>
    <w:rsid w:val="50321947"/>
    <w:rsid w:val="50355FCF"/>
    <w:rsid w:val="50377F99"/>
    <w:rsid w:val="503B5FA4"/>
    <w:rsid w:val="503E1024"/>
    <w:rsid w:val="504D50C7"/>
    <w:rsid w:val="505422F6"/>
    <w:rsid w:val="50612555"/>
    <w:rsid w:val="50665BE5"/>
    <w:rsid w:val="5076539C"/>
    <w:rsid w:val="5086682B"/>
    <w:rsid w:val="50872697"/>
    <w:rsid w:val="5096168B"/>
    <w:rsid w:val="509947B0"/>
    <w:rsid w:val="5099655E"/>
    <w:rsid w:val="509B0528"/>
    <w:rsid w:val="509D0B1C"/>
    <w:rsid w:val="50A43B2D"/>
    <w:rsid w:val="50AB7D5C"/>
    <w:rsid w:val="50B75092"/>
    <w:rsid w:val="50C120DB"/>
    <w:rsid w:val="50C55B49"/>
    <w:rsid w:val="50CB07C1"/>
    <w:rsid w:val="50D15CF8"/>
    <w:rsid w:val="50DC24A9"/>
    <w:rsid w:val="50DC4E4F"/>
    <w:rsid w:val="50E05F3B"/>
    <w:rsid w:val="50E645A5"/>
    <w:rsid w:val="50E7376D"/>
    <w:rsid w:val="50FB7BED"/>
    <w:rsid w:val="50FC089B"/>
    <w:rsid w:val="50FE39D2"/>
    <w:rsid w:val="51010497"/>
    <w:rsid w:val="510734C7"/>
    <w:rsid w:val="51087240"/>
    <w:rsid w:val="51090C30"/>
    <w:rsid w:val="510A14A2"/>
    <w:rsid w:val="510C6D30"/>
    <w:rsid w:val="510E0CFA"/>
    <w:rsid w:val="51164890"/>
    <w:rsid w:val="51196F78"/>
    <w:rsid w:val="511F2F07"/>
    <w:rsid w:val="5124051D"/>
    <w:rsid w:val="51275918"/>
    <w:rsid w:val="512C73D2"/>
    <w:rsid w:val="512E4EA9"/>
    <w:rsid w:val="512F0C70"/>
    <w:rsid w:val="51312C3A"/>
    <w:rsid w:val="513D4CBA"/>
    <w:rsid w:val="514E7348"/>
    <w:rsid w:val="51586419"/>
    <w:rsid w:val="515E6EA9"/>
    <w:rsid w:val="51600E2A"/>
    <w:rsid w:val="516B3775"/>
    <w:rsid w:val="517338F9"/>
    <w:rsid w:val="51757B43"/>
    <w:rsid w:val="517D19DC"/>
    <w:rsid w:val="517D2FBF"/>
    <w:rsid w:val="518561CB"/>
    <w:rsid w:val="518816A1"/>
    <w:rsid w:val="518A6F8B"/>
    <w:rsid w:val="518D44C7"/>
    <w:rsid w:val="51933489"/>
    <w:rsid w:val="51984A67"/>
    <w:rsid w:val="519C4558"/>
    <w:rsid w:val="51A11B6E"/>
    <w:rsid w:val="51A63CE9"/>
    <w:rsid w:val="51A7627C"/>
    <w:rsid w:val="51AA3354"/>
    <w:rsid w:val="51B41C83"/>
    <w:rsid w:val="51B573C7"/>
    <w:rsid w:val="51B64EEE"/>
    <w:rsid w:val="51BB0BE8"/>
    <w:rsid w:val="51BD766A"/>
    <w:rsid w:val="51BE046A"/>
    <w:rsid w:val="51C17608"/>
    <w:rsid w:val="51C5066C"/>
    <w:rsid w:val="51C63383"/>
    <w:rsid w:val="51CA025F"/>
    <w:rsid w:val="51CF7D67"/>
    <w:rsid w:val="51D3784E"/>
    <w:rsid w:val="51E97071"/>
    <w:rsid w:val="51F31FFB"/>
    <w:rsid w:val="52024883"/>
    <w:rsid w:val="5211682B"/>
    <w:rsid w:val="521D4944"/>
    <w:rsid w:val="522B768A"/>
    <w:rsid w:val="522D783F"/>
    <w:rsid w:val="52344B41"/>
    <w:rsid w:val="523C3645"/>
    <w:rsid w:val="523F184A"/>
    <w:rsid w:val="523F5DA8"/>
    <w:rsid w:val="52420787"/>
    <w:rsid w:val="52527FCE"/>
    <w:rsid w:val="525C3D07"/>
    <w:rsid w:val="52607245"/>
    <w:rsid w:val="52691B97"/>
    <w:rsid w:val="526D1A50"/>
    <w:rsid w:val="5272350A"/>
    <w:rsid w:val="527252B8"/>
    <w:rsid w:val="5281374D"/>
    <w:rsid w:val="52816712"/>
    <w:rsid w:val="528350D9"/>
    <w:rsid w:val="5286166A"/>
    <w:rsid w:val="52867030"/>
    <w:rsid w:val="528D4E0A"/>
    <w:rsid w:val="52962054"/>
    <w:rsid w:val="52971780"/>
    <w:rsid w:val="52974D1F"/>
    <w:rsid w:val="529F262B"/>
    <w:rsid w:val="52B265D2"/>
    <w:rsid w:val="52BA18DC"/>
    <w:rsid w:val="52C51E4C"/>
    <w:rsid w:val="52C8137C"/>
    <w:rsid w:val="52CB118B"/>
    <w:rsid w:val="52DD3360"/>
    <w:rsid w:val="52DD61F2"/>
    <w:rsid w:val="52E76A48"/>
    <w:rsid w:val="52F52966"/>
    <w:rsid w:val="52FB11B3"/>
    <w:rsid w:val="52FB51E1"/>
    <w:rsid w:val="52FE6B41"/>
    <w:rsid w:val="530312CF"/>
    <w:rsid w:val="53125328"/>
    <w:rsid w:val="532365B3"/>
    <w:rsid w:val="534173F9"/>
    <w:rsid w:val="5344256A"/>
    <w:rsid w:val="534D68B8"/>
    <w:rsid w:val="53523DFF"/>
    <w:rsid w:val="535A55E1"/>
    <w:rsid w:val="535A69A3"/>
    <w:rsid w:val="535B1FF7"/>
    <w:rsid w:val="535D7D17"/>
    <w:rsid w:val="536015B5"/>
    <w:rsid w:val="536746F1"/>
    <w:rsid w:val="53694469"/>
    <w:rsid w:val="53696C7A"/>
    <w:rsid w:val="538057B3"/>
    <w:rsid w:val="53837051"/>
    <w:rsid w:val="538C587F"/>
    <w:rsid w:val="53953374"/>
    <w:rsid w:val="539774E2"/>
    <w:rsid w:val="539D0113"/>
    <w:rsid w:val="53A3031B"/>
    <w:rsid w:val="53A96F0F"/>
    <w:rsid w:val="53AB0D63"/>
    <w:rsid w:val="53B92A73"/>
    <w:rsid w:val="53BF77E5"/>
    <w:rsid w:val="53C464A1"/>
    <w:rsid w:val="53C75190"/>
    <w:rsid w:val="53C81AF5"/>
    <w:rsid w:val="53C95A86"/>
    <w:rsid w:val="53D86595"/>
    <w:rsid w:val="53D87451"/>
    <w:rsid w:val="53DC6280"/>
    <w:rsid w:val="53DF1AA5"/>
    <w:rsid w:val="53E61ABA"/>
    <w:rsid w:val="53F87039"/>
    <w:rsid w:val="53FC12DE"/>
    <w:rsid w:val="53FF6C58"/>
    <w:rsid w:val="541C3AAD"/>
    <w:rsid w:val="54213C52"/>
    <w:rsid w:val="54302D35"/>
    <w:rsid w:val="5435497A"/>
    <w:rsid w:val="543569CA"/>
    <w:rsid w:val="54392235"/>
    <w:rsid w:val="54392A48"/>
    <w:rsid w:val="543A601B"/>
    <w:rsid w:val="543C5B7E"/>
    <w:rsid w:val="543F11CA"/>
    <w:rsid w:val="543F3090"/>
    <w:rsid w:val="54464D71"/>
    <w:rsid w:val="544815B0"/>
    <w:rsid w:val="544C4768"/>
    <w:rsid w:val="54505185"/>
    <w:rsid w:val="54540146"/>
    <w:rsid w:val="546F6583"/>
    <w:rsid w:val="5474356A"/>
    <w:rsid w:val="54750427"/>
    <w:rsid w:val="547C020E"/>
    <w:rsid w:val="5480344C"/>
    <w:rsid w:val="54870F0F"/>
    <w:rsid w:val="5487131B"/>
    <w:rsid w:val="548C0427"/>
    <w:rsid w:val="548C272B"/>
    <w:rsid w:val="54982C1D"/>
    <w:rsid w:val="54992125"/>
    <w:rsid w:val="54995E16"/>
    <w:rsid w:val="54A4596D"/>
    <w:rsid w:val="54AC51E5"/>
    <w:rsid w:val="54B22CCC"/>
    <w:rsid w:val="54B5148C"/>
    <w:rsid w:val="54BE6593"/>
    <w:rsid w:val="54C17E31"/>
    <w:rsid w:val="54C42E70"/>
    <w:rsid w:val="54C73281"/>
    <w:rsid w:val="54C74823"/>
    <w:rsid w:val="54D04518"/>
    <w:rsid w:val="54D062C6"/>
    <w:rsid w:val="54D62E39"/>
    <w:rsid w:val="54D65AC9"/>
    <w:rsid w:val="54E212ED"/>
    <w:rsid w:val="54E67898"/>
    <w:rsid w:val="54F012A3"/>
    <w:rsid w:val="54F22A19"/>
    <w:rsid w:val="54FB4E8F"/>
    <w:rsid w:val="54FF4C8C"/>
    <w:rsid w:val="55011829"/>
    <w:rsid w:val="5503669C"/>
    <w:rsid w:val="55067F3A"/>
    <w:rsid w:val="55080E71"/>
    <w:rsid w:val="550A24C0"/>
    <w:rsid w:val="550D3B58"/>
    <w:rsid w:val="55124060"/>
    <w:rsid w:val="551750D6"/>
    <w:rsid w:val="551B749A"/>
    <w:rsid w:val="55216B22"/>
    <w:rsid w:val="5522131D"/>
    <w:rsid w:val="55225AFC"/>
    <w:rsid w:val="55291087"/>
    <w:rsid w:val="55395DB7"/>
    <w:rsid w:val="555F6C5D"/>
    <w:rsid w:val="55675113"/>
    <w:rsid w:val="55696DC3"/>
    <w:rsid w:val="556C6EB2"/>
    <w:rsid w:val="55750332"/>
    <w:rsid w:val="557634A9"/>
    <w:rsid w:val="557650C0"/>
    <w:rsid w:val="557762B7"/>
    <w:rsid w:val="558570B1"/>
    <w:rsid w:val="5592481B"/>
    <w:rsid w:val="559D089E"/>
    <w:rsid w:val="55A75279"/>
    <w:rsid w:val="55B1434A"/>
    <w:rsid w:val="55C97516"/>
    <w:rsid w:val="55DD2C3E"/>
    <w:rsid w:val="55E45E4A"/>
    <w:rsid w:val="55FA184D"/>
    <w:rsid w:val="55FD133D"/>
    <w:rsid w:val="55FD758F"/>
    <w:rsid w:val="55FF3307"/>
    <w:rsid w:val="56085E8D"/>
    <w:rsid w:val="560B1CAC"/>
    <w:rsid w:val="560C77D2"/>
    <w:rsid w:val="5612303A"/>
    <w:rsid w:val="5622727F"/>
    <w:rsid w:val="563034C0"/>
    <w:rsid w:val="563805C7"/>
    <w:rsid w:val="5642624B"/>
    <w:rsid w:val="56464A92"/>
    <w:rsid w:val="564718DC"/>
    <w:rsid w:val="56483697"/>
    <w:rsid w:val="564C7BCE"/>
    <w:rsid w:val="56505B4E"/>
    <w:rsid w:val="565B2F4B"/>
    <w:rsid w:val="56694C24"/>
    <w:rsid w:val="566969D2"/>
    <w:rsid w:val="56775FCC"/>
    <w:rsid w:val="5679152D"/>
    <w:rsid w:val="567C6706"/>
    <w:rsid w:val="56892F26"/>
    <w:rsid w:val="568C1E02"/>
    <w:rsid w:val="568E5C3E"/>
    <w:rsid w:val="56941CA1"/>
    <w:rsid w:val="569533E6"/>
    <w:rsid w:val="56975989"/>
    <w:rsid w:val="569C6DA8"/>
    <w:rsid w:val="56A66A33"/>
    <w:rsid w:val="56AE5195"/>
    <w:rsid w:val="56AE6A56"/>
    <w:rsid w:val="56B24F61"/>
    <w:rsid w:val="56B56CB8"/>
    <w:rsid w:val="56B6734F"/>
    <w:rsid w:val="56B721EF"/>
    <w:rsid w:val="56BC2BC5"/>
    <w:rsid w:val="56C17045"/>
    <w:rsid w:val="56C514EE"/>
    <w:rsid w:val="56DA744F"/>
    <w:rsid w:val="56DC0535"/>
    <w:rsid w:val="56EC4B5D"/>
    <w:rsid w:val="56ED13B1"/>
    <w:rsid w:val="56F03358"/>
    <w:rsid w:val="56F83F68"/>
    <w:rsid w:val="57034358"/>
    <w:rsid w:val="570813E5"/>
    <w:rsid w:val="570D55B0"/>
    <w:rsid w:val="570E7AFD"/>
    <w:rsid w:val="571F22C3"/>
    <w:rsid w:val="571F628C"/>
    <w:rsid w:val="57292966"/>
    <w:rsid w:val="572F3778"/>
    <w:rsid w:val="573152BC"/>
    <w:rsid w:val="573214BA"/>
    <w:rsid w:val="57323268"/>
    <w:rsid w:val="57352C18"/>
    <w:rsid w:val="57435BF8"/>
    <w:rsid w:val="57464C52"/>
    <w:rsid w:val="57490056"/>
    <w:rsid w:val="57496A53"/>
    <w:rsid w:val="574D00A2"/>
    <w:rsid w:val="575C11EB"/>
    <w:rsid w:val="575D1F53"/>
    <w:rsid w:val="57622EA9"/>
    <w:rsid w:val="5763708B"/>
    <w:rsid w:val="576876FD"/>
    <w:rsid w:val="577718C1"/>
    <w:rsid w:val="577D58AB"/>
    <w:rsid w:val="57807FB8"/>
    <w:rsid w:val="578D6F52"/>
    <w:rsid w:val="578E7C24"/>
    <w:rsid w:val="57946834"/>
    <w:rsid w:val="5797131D"/>
    <w:rsid w:val="57A113C2"/>
    <w:rsid w:val="57AC6B77"/>
    <w:rsid w:val="57AE6D93"/>
    <w:rsid w:val="57AF6667"/>
    <w:rsid w:val="57B95737"/>
    <w:rsid w:val="57C97313"/>
    <w:rsid w:val="57D64907"/>
    <w:rsid w:val="57D72CAA"/>
    <w:rsid w:val="57D97DB3"/>
    <w:rsid w:val="57DA7B88"/>
    <w:rsid w:val="57DB7C09"/>
    <w:rsid w:val="57DD2798"/>
    <w:rsid w:val="57E211DF"/>
    <w:rsid w:val="57EE53E1"/>
    <w:rsid w:val="57FA2B09"/>
    <w:rsid w:val="580601E4"/>
    <w:rsid w:val="581B5AAA"/>
    <w:rsid w:val="581D5CC6"/>
    <w:rsid w:val="581D6DE2"/>
    <w:rsid w:val="5822508B"/>
    <w:rsid w:val="58311772"/>
    <w:rsid w:val="58355079"/>
    <w:rsid w:val="58393F9E"/>
    <w:rsid w:val="583A0151"/>
    <w:rsid w:val="583B0A46"/>
    <w:rsid w:val="583F3D28"/>
    <w:rsid w:val="58545046"/>
    <w:rsid w:val="5855720E"/>
    <w:rsid w:val="585B5DD0"/>
    <w:rsid w:val="58605F35"/>
    <w:rsid w:val="586C6306"/>
    <w:rsid w:val="587660A3"/>
    <w:rsid w:val="58816079"/>
    <w:rsid w:val="58906498"/>
    <w:rsid w:val="58A32F63"/>
    <w:rsid w:val="58AA3909"/>
    <w:rsid w:val="58BA73F7"/>
    <w:rsid w:val="58C223CA"/>
    <w:rsid w:val="58DB531F"/>
    <w:rsid w:val="58DC449E"/>
    <w:rsid w:val="58DC761D"/>
    <w:rsid w:val="58DD0FB2"/>
    <w:rsid w:val="58DD1C36"/>
    <w:rsid w:val="58E30CBE"/>
    <w:rsid w:val="58E56AAA"/>
    <w:rsid w:val="58EB1921"/>
    <w:rsid w:val="58F24A5D"/>
    <w:rsid w:val="58F46A27"/>
    <w:rsid w:val="58F630C1"/>
    <w:rsid w:val="58FA7DB6"/>
    <w:rsid w:val="59034B0E"/>
    <w:rsid w:val="59170968"/>
    <w:rsid w:val="591A2681"/>
    <w:rsid w:val="59276782"/>
    <w:rsid w:val="592D0650"/>
    <w:rsid w:val="592F7A5F"/>
    <w:rsid w:val="5937623E"/>
    <w:rsid w:val="59401C6C"/>
    <w:rsid w:val="59464DA9"/>
    <w:rsid w:val="594734CB"/>
    <w:rsid w:val="594B5271"/>
    <w:rsid w:val="59522625"/>
    <w:rsid w:val="595B0481"/>
    <w:rsid w:val="59701AD0"/>
    <w:rsid w:val="59701E26"/>
    <w:rsid w:val="59755D94"/>
    <w:rsid w:val="59793144"/>
    <w:rsid w:val="5979517E"/>
    <w:rsid w:val="597C5E8F"/>
    <w:rsid w:val="59851D75"/>
    <w:rsid w:val="59853B23"/>
    <w:rsid w:val="59864BB0"/>
    <w:rsid w:val="598C17B9"/>
    <w:rsid w:val="59904470"/>
    <w:rsid w:val="599827B6"/>
    <w:rsid w:val="599D3889"/>
    <w:rsid w:val="59A53FC9"/>
    <w:rsid w:val="59A83167"/>
    <w:rsid w:val="59AC5554"/>
    <w:rsid w:val="59B42479"/>
    <w:rsid w:val="59B85EB7"/>
    <w:rsid w:val="59C01D4E"/>
    <w:rsid w:val="59C5308D"/>
    <w:rsid w:val="59C75EEA"/>
    <w:rsid w:val="59CE239D"/>
    <w:rsid w:val="59E43720"/>
    <w:rsid w:val="59EA7015"/>
    <w:rsid w:val="59EE2E30"/>
    <w:rsid w:val="59F45004"/>
    <w:rsid w:val="5A0013FC"/>
    <w:rsid w:val="5A037476"/>
    <w:rsid w:val="5A1629CD"/>
    <w:rsid w:val="5A1F18EA"/>
    <w:rsid w:val="5A2E41BB"/>
    <w:rsid w:val="5A302BC2"/>
    <w:rsid w:val="5A364E1D"/>
    <w:rsid w:val="5A37717F"/>
    <w:rsid w:val="5A380B96"/>
    <w:rsid w:val="5A4124BE"/>
    <w:rsid w:val="5A421A14"/>
    <w:rsid w:val="5A4E59EC"/>
    <w:rsid w:val="5A4F7C8D"/>
    <w:rsid w:val="5A551748"/>
    <w:rsid w:val="5A5A108A"/>
    <w:rsid w:val="5A6019BB"/>
    <w:rsid w:val="5A601E9A"/>
    <w:rsid w:val="5A656A97"/>
    <w:rsid w:val="5A672C25"/>
    <w:rsid w:val="5A6B25F7"/>
    <w:rsid w:val="5A6C60F1"/>
    <w:rsid w:val="5A6D6C90"/>
    <w:rsid w:val="5A6F03CD"/>
    <w:rsid w:val="5A753B98"/>
    <w:rsid w:val="5A754FD7"/>
    <w:rsid w:val="5A7552AB"/>
    <w:rsid w:val="5A795E2E"/>
    <w:rsid w:val="5A805435"/>
    <w:rsid w:val="5A851901"/>
    <w:rsid w:val="5A882BDD"/>
    <w:rsid w:val="5A89319F"/>
    <w:rsid w:val="5A8B5169"/>
    <w:rsid w:val="5A924F28"/>
    <w:rsid w:val="5A963642"/>
    <w:rsid w:val="5A996E62"/>
    <w:rsid w:val="5A9970A6"/>
    <w:rsid w:val="5A9F0C15"/>
    <w:rsid w:val="5AA20705"/>
    <w:rsid w:val="5AA47FD9"/>
    <w:rsid w:val="5AA929C4"/>
    <w:rsid w:val="5ABF6D75"/>
    <w:rsid w:val="5AC468CD"/>
    <w:rsid w:val="5ACA12F3"/>
    <w:rsid w:val="5AD32F0C"/>
    <w:rsid w:val="5AD45CF7"/>
    <w:rsid w:val="5AD50B17"/>
    <w:rsid w:val="5AFA22EF"/>
    <w:rsid w:val="5B00717E"/>
    <w:rsid w:val="5B072BC8"/>
    <w:rsid w:val="5B106CEA"/>
    <w:rsid w:val="5B155711"/>
    <w:rsid w:val="5B163A1C"/>
    <w:rsid w:val="5B2916BE"/>
    <w:rsid w:val="5B3203DE"/>
    <w:rsid w:val="5B3475AF"/>
    <w:rsid w:val="5B3F5F54"/>
    <w:rsid w:val="5B40350A"/>
    <w:rsid w:val="5B434693"/>
    <w:rsid w:val="5B652994"/>
    <w:rsid w:val="5B6C3BFE"/>
    <w:rsid w:val="5B6F6839"/>
    <w:rsid w:val="5B743E4F"/>
    <w:rsid w:val="5B7B3430"/>
    <w:rsid w:val="5B7E7C0D"/>
    <w:rsid w:val="5B8A7AA0"/>
    <w:rsid w:val="5B8C2182"/>
    <w:rsid w:val="5B8F47E5"/>
    <w:rsid w:val="5B9C6E4B"/>
    <w:rsid w:val="5B9F788F"/>
    <w:rsid w:val="5BA11CDC"/>
    <w:rsid w:val="5BA83AF9"/>
    <w:rsid w:val="5BAA5B5F"/>
    <w:rsid w:val="5BAC183B"/>
    <w:rsid w:val="5BAF051A"/>
    <w:rsid w:val="5BAF4251"/>
    <w:rsid w:val="5BB51E86"/>
    <w:rsid w:val="5BB95D06"/>
    <w:rsid w:val="5BC14BBB"/>
    <w:rsid w:val="5BD13050"/>
    <w:rsid w:val="5BD40D92"/>
    <w:rsid w:val="5BDE576D"/>
    <w:rsid w:val="5BF12387"/>
    <w:rsid w:val="5C03111E"/>
    <w:rsid w:val="5C0F21BC"/>
    <w:rsid w:val="5C217E2B"/>
    <w:rsid w:val="5C255F20"/>
    <w:rsid w:val="5C4767BF"/>
    <w:rsid w:val="5C4D55F8"/>
    <w:rsid w:val="5C515F3F"/>
    <w:rsid w:val="5C552929"/>
    <w:rsid w:val="5C5A704B"/>
    <w:rsid w:val="5C615BE0"/>
    <w:rsid w:val="5C642116"/>
    <w:rsid w:val="5C664058"/>
    <w:rsid w:val="5C711886"/>
    <w:rsid w:val="5C787E13"/>
    <w:rsid w:val="5C814A76"/>
    <w:rsid w:val="5C82699B"/>
    <w:rsid w:val="5C970BF4"/>
    <w:rsid w:val="5C9E02EB"/>
    <w:rsid w:val="5CA16953"/>
    <w:rsid w:val="5CAA4869"/>
    <w:rsid w:val="5CB229C5"/>
    <w:rsid w:val="5CB36BF9"/>
    <w:rsid w:val="5CBB05A4"/>
    <w:rsid w:val="5CBC0084"/>
    <w:rsid w:val="5CC1221E"/>
    <w:rsid w:val="5CC613FD"/>
    <w:rsid w:val="5CC826A5"/>
    <w:rsid w:val="5CC93D27"/>
    <w:rsid w:val="5CCD2968"/>
    <w:rsid w:val="5CD033D2"/>
    <w:rsid w:val="5CD739C5"/>
    <w:rsid w:val="5CDA369A"/>
    <w:rsid w:val="5CDA3BBB"/>
    <w:rsid w:val="5CDC0E42"/>
    <w:rsid w:val="5CE46DB3"/>
    <w:rsid w:val="5CE768A3"/>
    <w:rsid w:val="5CEE6E0E"/>
    <w:rsid w:val="5CF07506"/>
    <w:rsid w:val="5CF61401"/>
    <w:rsid w:val="5D027239"/>
    <w:rsid w:val="5D0607CD"/>
    <w:rsid w:val="5D185898"/>
    <w:rsid w:val="5D1F062A"/>
    <w:rsid w:val="5D280FED"/>
    <w:rsid w:val="5D2B730A"/>
    <w:rsid w:val="5D2C1FA6"/>
    <w:rsid w:val="5D2E7801"/>
    <w:rsid w:val="5D35760E"/>
    <w:rsid w:val="5D3941FC"/>
    <w:rsid w:val="5D3E2967"/>
    <w:rsid w:val="5D3F223B"/>
    <w:rsid w:val="5D431D2B"/>
    <w:rsid w:val="5D437F7D"/>
    <w:rsid w:val="5D467A6D"/>
    <w:rsid w:val="5D4D4958"/>
    <w:rsid w:val="5D59154F"/>
    <w:rsid w:val="5D5977A1"/>
    <w:rsid w:val="5D5A52C7"/>
    <w:rsid w:val="5D6677C8"/>
    <w:rsid w:val="5D694C13"/>
    <w:rsid w:val="5D6C666D"/>
    <w:rsid w:val="5D72616D"/>
    <w:rsid w:val="5D83481E"/>
    <w:rsid w:val="5D857883"/>
    <w:rsid w:val="5D885990"/>
    <w:rsid w:val="5DA362FB"/>
    <w:rsid w:val="5DA6111A"/>
    <w:rsid w:val="5DA64068"/>
    <w:rsid w:val="5DAE61D8"/>
    <w:rsid w:val="5DB669A1"/>
    <w:rsid w:val="5DB744C7"/>
    <w:rsid w:val="5DB942C3"/>
    <w:rsid w:val="5DC170F4"/>
    <w:rsid w:val="5DD064DA"/>
    <w:rsid w:val="5DD617DB"/>
    <w:rsid w:val="5DDE6A81"/>
    <w:rsid w:val="5DE84681"/>
    <w:rsid w:val="5DF510DC"/>
    <w:rsid w:val="5DF9688E"/>
    <w:rsid w:val="5E007C1C"/>
    <w:rsid w:val="5E0A0371"/>
    <w:rsid w:val="5E127950"/>
    <w:rsid w:val="5E162F9C"/>
    <w:rsid w:val="5E272CB2"/>
    <w:rsid w:val="5E2935AE"/>
    <w:rsid w:val="5E2F405E"/>
    <w:rsid w:val="5E341674"/>
    <w:rsid w:val="5E36057A"/>
    <w:rsid w:val="5E397A44"/>
    <w:rsid w:val="5E41721D"/>
    <w:rsid w:val="5E4B600F"/>
    <w:rsid w:val="5E5220DE"/>
    <w:rsid w:val="5E554AE4"/>
    <w:rsid w:val="5E587A58"/>
    <w:rsid w:val="5E677C9B"/>
    <w:rsid w:val="5E6A153A"/>
    <w:rsid w:val="5E6D0A32"/>
    <w:rsid w:val="5E6D4B86"/>
    <w:rsid w:val="5E6F724E"/>
    <w:rsid w:val="5E7B7F87"/>
    <w:rsid w:val="5E7F023D"/>
    <w:rsid w:val="5E817D61"/>
    <w:rsid w:val="5E837235"/>
    <w:rsid w:val="5E8566E1"/>
    <w:rsid w:val="5E8A398A"/>
    <w:rsid w:val="5EA261BC"/>
    <w:rsid w:val="5EA410AC"/>
    <w:rsid w:val="5EB50A07"/>
    <w:rsid w:val="5EB64938"/>
    <w:rsid w:val="5EBA601D"/>
    <w:rsid w:val="5EC16571"/>
    <w:rsid w:val="5ECC69D0"/>
    <w:rsid w:val="5ED00D2B"/>
    <w:rsid w:val="5ED12858"/>
    <w:rsid w:val="5ED50712"/>
    <w:rsid w:val="5ED50C07"/>
    <w:rsid w:val="5EDD1D0C"/>
    <w:rsid w:val="5EE5030F"/>
    <w:rsid w:val="5EE50BC0"/>
    <w:rsid w:val="5EEE216B"/>
    <w:rsid w:val="5EEF2F73"/>
    <w:rsid w:val="5EF17565"/>
    <w:rsid w:val="5EF62DCD"/>
    <w:rsid w:val="5F025C16"/>
    <w:rsid w:val="5F061262"/>
    <w:rsid w:val="5F0B7FDB"/>
    <w:rsid w:val="5F0F04E8"/>
    <w:rsid w:val="5F2B2A77"/>
    <w:rsid w:val="5F443B39"/>
    <w:rsid w:val="5F48187B"/>
    <w:rsid w:val="5F4B3119"/>
    <w:rsid w:val="5F4C57A5"/>
    <w:rsid w:val="5F514CE7"/>
    <w:rsid w:val="5F5244A8"/>
    <w:rsid w:val="5F5A66CB"/>
    <w:rsid w:val="5F5C70D4"/>
    <w:rsid w:val="5F64242D"/>
    <w:rsid w:val="5F661D01"/>
    <w:rsid w:val="5F6F4E56"/>
    <w:rsid w:val="5F782A73"/>
    <w:rsid w:val="5F79574A"/>
    <w:rsid w:val="5F7D5071"/>
    <w:rsid w:val="5F7F1015"/>
    <w:rsid w:val="5F8515AA"/>
    <w:rsid w:val="5F860B68"/>
    <w:rsid w:val="5F901BF8"/>
    <w:rsid w:val="5F952560"/>
    <w:rsid w:val="5F97635E"/>
    <w:rsid w:val="5F9A7BFD"/>
    <w:rsid w:val="5FA13920"/>
    <w:rsid w:val="5FA16A85"/>
    <w:rsid w:val="5FAF1783"/>
    <w:rsid w:val="5FB40CBE"/>
    <w:rsid w:val="5FB646AA"/>
    <w:rsid w:val="5FB91BBC"/>
    <w:rsid w:val="5FB9214E"/>
    <w:rsid w:val="5FBD51CE"/>
    <w:rsid w:val="5FC12651"/>
    <w:rsid w:val="5FC627A0"/>
    <w:rsid w:val="5FCD3B8B"/>
    <w:rsid w:val="5FD639CB"/>
    <w:rsid w:val="5FDA1067"/>
    <w:rsid w:val="5FE1243E"/>
    <w:rsid w:val="5FE47529"/>
    <w:rsid w:val="5FE80968"/>
    <w:rsid w:val="5FFB4B3F"/>
    <w:rsid w:val="5FFB68ED"/>
    <w:rsid w:val="600A2571"/>
    <w:rsid w:val="600E33F2"/>
    <w:rsid w:val="601479AF"/>
    <w:rsid w:val="60206354"/>
    <w:rsid w:val="602A2D2E"/>
    <w:rsid w:val="604069F6"/>
    <w:rsid w:val="604D4C6F"/>
    <w:rsid w:val="60570CCE"/>
    <w:rsid w:val="606049A2"/>
    <w:rsid w:val="606A566E"/>
    <w:rsid w:val="607273CA"/>
    <w:rsid w:val="6078689C"/>
    <w:rsid w:val="60787F3E"/>
    <w:rsid w:val="60804D32"/>
    <w:rsid w:val="608531FB"/>
    <w:rsid w:val="60941D9C"/>
    <w:rsid w:val="60963CC5"/>
    <w:rsid w:val="60986A98"/>
    <w:rsid w:val="60AC7DBB"/>
    <w:rsid w:val="60B55EFE"/>
    <w:rsid w:val="60B92304"/>
    <w:rsid w:val="60BF3DBF"/>
    <w:rsid w:val="60C211B9"/>
    <w:rsid w:val="60CC6E0D"/>
    <w:rsid w:val="60D71403"/>
    <w:rsid w:val="60E1243D"/>
    <w:rsid w:val="60E7687B"/>
    <w:rsid w:val="60EF4F85"/>
    <w:rsid w:val="60F12834"/>
    <w:rsid w:val="60F33A68"/>
    <w:rsid w:val="60F5158E"/>
    <w:rsid w:val="60FF5A20"/>
    <w:rsid w:val="61120392"/>
    <w:rsid w:val="611440D5"/>
    <w:rsid w:val="6115578D"/>
    <w:rsid w:val="61184070"/>
    <w:rsid w:val="611B396F"/>
    <w:rsid w:val="612137B0"/>
    <w:rsid w:val="612D43F3"/>
    <w:rsid w:val="612D68E5"/>
    <w:rsid w:val="612E5DA5"/>
    <w:rsid w:val="61472510"/>
    <w:rsid w:val="6149320C"/>
    <w:rsid w:val="61572249"/>
    <w:rsid w:val="615D2428"/>
    <w:rsid w:val="616404C2"/>
    <w:rsid w:val="616418F9"/>
    <w:rsid w:val="6166423A"/>
    <w:rsid w:val="616C7377"/>
    <w:rsid w:val="616F73F2"/>
    <w:rsid w:val="617821BF"/>
    <w:rsid w:val="617D1584"/>
    <w:rsid w:val="617D168B"/>
    <w:rsid w:val="617E5A9B"/>
    <w:rsid w:val="6181336C"/>
    <w:rsid w:val="618B29A6"/>
    <w:rsid w:val="618D481D"/>
    <w:rsid w:val="618D72E5"/>
    <w:rsid w:val="61923281"/>
    <w:rsid w:val="619314C1"/>
    <w:rsid w:val="619B5E52"/>
    <w:rsid w:val="619F6EA3"/>
    <w:rsid w:val="61A86601"/>
    <w:rsid w:val="61BD1E30"/>
    <w:rsid w:val="61BD7BD2"/>
    <w:rsid w:val="61C80701"/>
    <w:rsid w:val="61C96577"/>
    <w:rsid w:val="61D41BE3"/>
    <w:rsid w:val="61D770D4"/>
    <w:rsid w:val="61D93628"/>
    <w:rsid w:val="61F061FA"/>
    <w:rsid w:val="61FE26C5"/>
    <w:rsid w:val="62013F63"/>
    <w:rsid w:val="62037CDB"/>
    <w:rsid w:val="620A5845"/>
    <w:rsid w:val="6212054F"/>
    <w:rsid w:val="621517BC"/>
    <w:rsid w:val="621E4B55"/>
    <w:rsid w:val="621E4F5E"/>
    <w:rsid w:val="6220088D"/>
    <w:rsid w:val="6222104D"/>
    <w:rsid w:val="62331051"/>
    <w:rsid w:val="623E5FD0"/>
    <w:rsid w:val="6240013D"/>
    <w:rsid w:val="624125B1"/>
    <w:rsid w:val="62424314"/>
    <w:rsid w:val="624502F4"/>
    <w:rsid w:val="62456545"/>
    <w:rsid w:val="625978FB"/>
    <w:rsid w:val="625B63C5"/>
    <w:rsid w:val="625B657B"/>
    <w:rsid w:val="626764BC"/>
    <w:rsid w:val="626B48E1"/>
    <w:rsid w:val="627134B1"/>
    <w:rsid w:val="62764951"/>
    <w:rsid w:val="62782028"/>
    <w:rsid w:val="627A3766"/>
    <w:rsid w:val="627E6DF6"/>
    <w:rsid w:val="628C5F22"/>
    <w:rsid w:val="6292105F"/>
    <w:rsid w:val="6295640C"/>
    <w:rsid w:val="62957A30"/>
    <w:rsid w:val="629628FD"/>
    <w:rsid w:val="62966DA1"/>
    <w:rsid w:val="6299419B"/>
    <w:rsid w:val="629944C9"/>
    <w:rsid w:val="629B43B7"/>
    <w:rsid w:val="629E02F8"/>
    <w:rsid w:val="629F2D68"/>
    <w:rsid w:val="62A82630"/>
    <w:rsid w:val="62B334AF"/>
    <w:rsid w:val="62B40FD5"/>
    <w:rsid w:val="62BD60DC"/>
    <w:rsid w:val="62C27E3E"/>
    <w:rsid w:val="62D4425D"/>
    <w:rsid w:val="62DF24F6"/>
    <w:rsid w:val="62E0626E"/>
    <w:rsid w:val="62E73AEA"/>
    <w:rsid w:val="62E80C7F"/>
    <w:rsid w:val="62E93766"/>
    <w:rsid w:val="62EF200D"/>
    <w:rsid w:val="62F221FE"/>
    <w:rsid w:val="62F72908"/>
    <w:rsid w:val="62FA01C2"/>
    <w:rsid w:val="62FD5C58"/>
    <w:rsid w:val="63021136"/>
    <w:rsid w:val="630F224B"/>
    <w:rsid w:val="631847CF"/>
    <w:rsid w:val="632154F3"/>
    <w:rsid w:val="632162B1"/>
    <w:rsid w:val="63251ED3"/>
    <w:rsid w:val="632C67C1"/>
    <w:rsid w:val="632D162B"/>
    <w:rsid w:val="63300E36"/>
    <w:rsid w:val="63301F64"/>
    <w:rsid w:val="6333639E"/>
    <w:rsid w:val="63363B2E"/>
    <w:rsid w:val="633B34A5"/>
    <w:rsid w:val="63402384"/>
    <w:rsid w:val="63414F5F"/>
    <w:rsid w:val="634160AE"/>
    <w:rsid w:val="63424F7E"/>
    <w:rsid w:val="634265E1"/>
    <w:rsid w:val="63452AE3"/>
    <w:rsid w:val="63544514"/>
    <w:rsid w:val="63585E05"/>
    <w:rsid w:val="636C7B02"/>
    <w:rsid w:val="6377202C"/>
    <w:rsid w:val="637B1AF3"/>
    <w:rsid w:val="637F70BC"/>
    <w:rsid w:val="638257FD"/>
    <w:rsid w:val="6384309D"/>
    <w:rsid w:val="638E5CCA"/>
    <w:rsid w:val="6390559E"/>
    <w:rsid w:val="639C14E1"/>
    <w:rsid w:val="639C3F43"/>
    <w:rsid w:val="63A454EE"/>
    <w:rsid w:val="63AE011A"/>
    <w:rsid w:val="63B35731"/>
    <w:rsid w:val="63B55005"/>
    <w:rsid w:val="63B954B9"/>
    <w:rsid w:val="63BC2837"/>
    <w:rsid w:val="63C90AB0"/>
    <w:rsid w:val="63D07143"/>
    <w:rsid w:val="63E24EAE"/>
    <w:rsid w:val="63E4209A"/>
    <w:rsid w:val="63EC2391"/>
    <w:rsid w:val="63ED29F1"/>
    <w:rsid w:val="63F12A17"/>
    <w:rsid w:val="64041DD1"/>
    <w:rsid w:val="640824C9"/>
    <w:rsid w:val="6416019A"/>
    <w:rsid w:val="641937E6"/>
    <w:rsid w:val="641C32D6"/>
    <w:rsid w:val="642A77A1"/>
    <w:rsid w:val="642E473C"/>
    <w:rsid w:val="64403609"/>
    <w:rsid w:val="6441217E"/>
    <w:rsid w:val="644665A5"/>
    <w:rsid w:val="64486942"/>
    <w:rsid w:val="64597225"/>
    <w:rsid w:val="645C7B76"/>
    <w:rsid w:val="645F0A48"/>
    <w:rsid w:val="646A0640"/>
    <w:rsid w:val="64721148"/>
    <w:rsid w:val="647C3834"/>
    <w:rsid w:val="64800B74"/>
    <w:rsid w:val="648439EE"/>
    <w:rsid w:val="648475DB"/>
    <w:rsid w:val="64855DC5"/>
    <w:rsid w:val="648732B5"/>
    <w:rsid w:val="6489157D"/>
    <w:rsid w:val="64925346"/>
    <w:rsid w:val="649A1ADE"/>
    <w:rsid w:val="649B5961"/>
    <w:rsid w:val="64A13A4E"/>
    <w:rsid w:val="64A246BE"/>
    <w:rsid w:val="64B14444"/>
    <w:rsid w:val="64B25D57"/>
    <w:rsid w:val="64C06700"/>
    <w:rsid w:val="64CA4AE0"/>
    <w:rsid w:val="64CD2516"/>
    <w:rsid w:val="64CE648F"/>
    <w:rsid w:val="64E13D87"/>
    <w:rsid w:val="64EE1614"/>
    <w:rsid w:val="650C6EA7"/>
    <w:rsid w:val="650D40D0"/>
    <w:rsid w:val="650E1238"/>
    <w:rsid w:val="65136487"/>
    <w:rsid w:val="65140837"/>
    <w:rsid w:val="651F62A0"/>
    <w:rsid w:val="65217654"/>
    <w:rsid w:val="65393A14"/>
    <w:rsid w:val="653E277C"/>
    <w:rsid w:val="65436640"/>
    <w:rsid w:val="65515A4A"/>
    <w:rsid w:val="655D22F3"/>
    <w:rsid w:val="65631DC6"/>
    <w:rsid w:val="656E5DB3"/>
    <w:rsid w:val="657F1946"/>
    <w:rsid w:val="657F46FE"/>
    <w:rsid w:val="658C0E37"/>
    <w:rsid w:val="658C2796"/>
    <w:rsid w:val="65907AD8"/>
    <w:rsid w:val="6593581A"/>
    <w:rsid w:val="65980C24"/>
    <w:rsid w:val="65B17A4E"/>
    <w:rsid w:val="65B528D9"/>
    <w:rsid w:val="65CD68AF"/>
    <w:rsid w:val="65D11E9E"/>
    <w:rsid w:val="65D643CC"/>
    <w:rsid w:val="65D87E3C"/>
    <w:rsid w:val="65DA0694"/>
    <w:rsid w:val="65E360EC"/>
    <w:rsid w:val="65F238B0"/>
    <w:rsid w:val="65F55B8D"/>
    <w:rsid w:val="65FC6F1B"/>
    <w:rsid w:val="65FF4C5D"/>
    <w:rsid w:val="66061B48"/>
    <w:rsid w:val="661C580F"/>
    <w:rsid w:val="661C6631"/>
    <w:rsid w:val="662B7800"/>
    <w:rsid w:val="663039F6"/>
    <w:rsid w:val="66304E17"/>
    <w:rsid w:val="66373E26"/>
    <w:rsid w:val="66384BB6"/>
    <w:rsid w:val="66536D71"/>
    <w:rsid w:val="66544FA9"/>
    <w:rsid w:val="665470DA"/>
    <w:rsid w:val="66562864"/>
    <w:rsid w:val="66576847"/>
    <w:rsid w:val="665876E7"/>
    <w:rsid w:val="665A1E94"/>
    <w:rsid w:val="665F1585"/>
    <w:rsid w:val="666201DF"/>
    <w:rsid w:val="666920D7"/>
    <w:rsid w:val="667747F4"/>
    <w:rsid w:val="667C7CCE"/>
    <w:rsid w:val="667F055B"/>
    <w:rsid w:val="66833198"/>
    <w:rsid w:val="668A3D3A"/>
    <w:rsid w:val="668C5C28"/>
    <w:rsid w:val="669C24AC"/>
    <w:rsid w:val="66B82083"/>
    <w:rsid w:val="66BB0B84"/>
    <w:rsid w:val="66BC0157"/>
    <w:rsid w:val="66C15CFF"/>
    <w:rsid w:val="66C26334"/>
    <w:rsid w:val="66C35C8B"/>
    <w:rsid w:val="66D02156"/>
    <w:rsid w:val="66D439F4"/>
    <w:rsid w:val="66D63C10"/>
    <w:rsid w:val="66DF449E"/>
    <w:rsid w:val="66E77BCB"/>
    <w:rsid w:val="66E83943"/>
    <w:rsid w:val="66ED5E4D"/>
    <w:rsid w:val="66F25116"/>
    <w:rsid w:val="66F916AD"/>
    <w:rsid w:val="66F9345B"/>
    <w:rsid w:val="67035B76"/>
    <w:rsid w:val="67053791"/>
    <w:rsid w:val="670818F0"/>
    <w:rsid w:val="67191D4F"/>
    <w:rsid w:val="67240173"/>
    <w:rsid w:val="672C1599"/>
    <w:rsid w:val="672C55DE"/>
    <w:rsid w:val="672C57F6"/>
    <w:rsid w:val="672F1585"/>
    <w:rsid w:val="672F50CE"/>
    <w:rsid w:val="67386535"/>
    <w:rsid w:val="6739419F"/>
    <w:rsid w:val="673A6079"/>
    <w:rsid w:val="674566A0"/>
    <w:rsid w:val="674F1921"/>
    <w:rsid w:val="67513297"/>
    <w:rsid w:val="67544B35"/>
    <w:rsid w:val="67583CE2"/>
    <w:rsid w:val="6759214B"/>
    <w:rsid w:val="675A398D"/>
    <w:rsid w:val="675A6747"/>
    <w:rsid w:val="676679E8"/>
    <w:rsid w:val="67672ABA"/>
    <w:rsid w:val="67756368"/>
    <w:rsid w:val="67780823"/>
    <w:rsid w:val="677A5E8B"/>
    <w:rsid w:val="677E1BB2"/>
    <w:rsid w:val="678216A2"/>
    <w:rsid w:val="678A6525"/>
    <w:rsid w:val="678A67A9"/>
    <w:rsid w:val="67917B37"/>
    <w:rsid w:val="679338AF"/>
    <w:rsid w:val="6796339F"/>
    <w:rsid w:val="67A36E11"/>
    <w:rsid w:val="67B64D3E"/>
    <w:rsid w:val="67C41CBB"/>
    <w:rsid w:val="67CA4DF7"/>
    <w:rsid w:val="67D0240D"/>
    <w:rsid w:val="67D40D5C"/>
    <w:rsid w:val="67D46461"/>
    <w:rsid w:val="67D53EC8"/>
    <w:rsid w:val="67D7796D"/>
    <w:rsid w:val="67D77C40"/>
    <w:rsid w:val="67E269A7"/>
    <w:rsid w:val="67EB660D"/>
    <w:rsid w:val="67EF2576"/>
    <w:rsid w:val="67F85E08"/>
    <w:rsid w:val="68014955"/>
    <w:rsid w:val="680254F4"/>
    <w:rsid w:val="68044890"/>
    <w:rsid w:val="680B5B3B"/>
    <w:rsid w:val="680E01C3"/>
    <w:rsid w:val="680F6B7F"/>
    <w:rsid w:val="68224C33"/>
    <w:rsid w:val="682409AB"/>
    <w:rsid w:val="682E68CE"/>
    <w:rsid w:val="6832131A"/>
    <w:rsid w:val="68336E40"/>
    <w:rsid w:val="68373D75"/>
    <w:rsid w:val="683C1C84"/>
    <w:rsid w:val="683D381B"/>
    <w:rsid w:val="6841330B"/>
    <w:rsid w:val="684352D5"/>
    <w:rsid w:val="684C3FAD"/>
    <w:rsid w:val="684E4E1C"/>
    <w:rsid w:val="68540B79"/>
    <w:rsid w:val="68567082"/>
    <w:rsid w:val="68570C3E"/>
    <w:rsid w:val="685951CC"/>
    <w:rsid w:val="685B6B1A"/>
    <w:rsid w:val="68605586"/>
    <w:rsid w:val="686E7FD2"/>
    <w:rsid w:val="687245C9"/>
    <w:rsid w:val="6878306F"/>
    <w:rsid w:val="687A05CB"/>
    <w:rsid w:val="687B6E14"/>
    <w:rsid w:val="687C4343"/>
    <w:rsid w:val="687F5BE1"/>
    <w:rsid w:val="688A78F4"/>
    <w:rsid w:val="68900153"/>
    <w:rsid w:val="68955C45"/>
    <w:rsid w:val="689A4E58"/>
    <w:rsid w:val="68A64EF2"/>
    <w:rsid w:val="68A67612"/>
    <w:rsid w:val="68AB45D5"/>
    <w:rsid w:val="68B01AF4"/>
    <w:rsid w:val="68B910F3"/>
    <w:rsid w:val="68C24086"/>
    <w:rsid w:val="68D777CC"/>
    <w:rsid w:val="68D83467"/>
    <w:rsid w:val="68DA34D0"/>
    <w:rsid w:val="68E24AEE"/>
    <w:rsid w:val="68E278A8"/>
    <w:rsid w:val="68EB3277"/>
    <w:rsid w:val="68EB6230"/>
    <w:rsid w:val="68EE5405"/>
    <w:rsid w:val="68F064A9"/>
    <w:rsid w:val="68F334AB"/>
    <w:rsid w:val="68F440FB"/>
    <w:rsid w:val="68F77E6E"/>
    <w:rsid w:val="68FC5484"/>
    <w:rsid w:val="68FF70FA"/>
    <w:rsid w:val="69074555"/>
    <w:rsid w:val="690F6F65"/>
    <w:rsid w:val="69140A20"/>
    <w:rsid w:val="69166546"/>
    <w:rsid w:val="69272501"/>
    <w:rsid w:val="692C5E02"/>
    <w:rsid w:val="692F7608"/>
    <w:rsid w:val="693540E5"/>
    <w:rsid w:val="69357B65"/>
    <w:rsid w:val="69431305"/>
    <w:rsid w:val="695138EE"/>
    <w:rsid w:val="6953779A"/>
    <w:rsid w:val="695E5E63"/>
    <w:rsid w:val="695F0180"/>
    <w:rsid w:val="696279DD"/>
    <w:rsid w:val="6965153C"/>
    <w:rsid w:val="696C008B"/>
    <w:rsid w:val="696C260A"/>
    <w:rsid w:val="697D4817"/>
    <w:rsid w:val="69821E2D"/>
    <w:rsid w:val="69825989"/>
    <w:rsid w:val="69851D54"/>
    <w:rsid w:val="69872FA0"/>
    <w:rsid w:val="69935DE8"/>
    <w:rsid w:val="69937B96"/>
    <w:rsid w:val="699833FF"/>
    <w:rsid w:val="699B3AEE"/>
    <w:rsid w:val="69B04CDF"/>
    <w:rsid w:val="69B31FE7"/>
    <w:rsid w:val="69B61AD7"/>
    <w:rsid w:val="69B813AB"/>
    <w:rsid w:val="69CD6251"/>
    <w:rsid w:val="69CE5072"/>
    <w:rsid w:val="69EC54F9"/>
    <w:rsid w:val="69F24831"/>
    <w:rsid w:val="69F70959"/>
    <w:rsid w:val="69FD4998"/>
    <w:rsid w:val="6A0A691F"/>
    <w:rsid w:val="6A164324"/>
    <w:rsid w:val="6A170811"/>
    <w:rsid w:val="6A1717BC"/>
    <w:rsid w:val="6A1A2624"/>
    <w:rsid w:val="6A1B0498"/>
    <w:rsid w:val="6A2133F4"/>
    <w:rsid w:val="6A2161CA"/>
    <w:rsid w:val="6A2442BC"/>
    <w:rsid w:val="6A2E78BF"/>
    <w:rsid w:val="6A324C3D"/>
    <w:rsid w:val="6A356EA0"/>
    <w:rsid w:val="6A3D3FA6"/>
    <w:rsid w:val="6A4470E3"/>
    <w:rsid w:val="6A4679CF"/>
    <w:rsid w:val="6A4F3C09"/>
    <w:rsid w:val="6A503CD9"/>
    <w:rsid w:val="6A5120AF"/>
    <w:rsid w:val="6A5303E1"/>
    <w:rsid w:val="6A543FBE"/>
    <w:rsid w:val="6A5C61DA"/>
    <w:rsid w:val="6A5F5CCB"/>
    <w:rsid w:val="6A692012"/>
    <w:rsid w:val="6A6B466F"/>
    <w:rsid w:val="6A6C720F"/>
    <w:rsid w:val="6A7C1326"/>
    <w:rsid w:val="6A8A46FA"/>
    <w:rsid w:val="6A927E4E"/>
    <w:rsid w:val="6A99742E"/>
    <w:rsid w:val="6A9A5533"/>
    <w:rsid w:val="6A9C6F1F"/>
    <w:rsid w:val="6AA17770"/>
    <w:rsid w:val="6AB541FC"/>
    <w:rsid w:val="6ABB171C"/>
    <w:rsid w:val="6ABC136F"/>
    <w:rsid w:val="6AC50223"/>
    <w:rsid w:val="6AD14E1A"/>
    <w:rsid w:val="6AD466B8"/>
    <w:rsid w:val="6AD92249"/>
    <w:rsid w:val="6ADE7D03"/>
    <w:rsid w:val="6ADF6E0B"/>
    <w:rsid w:val="6AE508C6"/>
    <w:rsid w:val="6AE647C0"/>
    <w:rsid w:val="6AE76A24"/>
    <w:rsid w:val="6AF00404"/>
    <w:rsid w:val="6AF91C7B"/>
    <w:rsid w:val="6AFD62AB"/>
    <w:rsid w:val="6AFE7291"/>
    <w:rsid w:val="6B054AC4"/>
    <w:rsid w:val="6B0B19AE"/>
    <w:rsid w:val="6B106BC9"/>
    <w:rsid w:val="6B182772"/>
    <w:rsid w:val="6B1A6C3F"/>
    <w:rsid w:val="6B2F7D93"/>
    <w:rsid w:val="6B333BFB"/>
    <w:rsid w:val="6B3A063C"/>
    <w:rsid w:val="6B3C54B9"/>
    <w:rsid w:val="6B3D6283"/>
    <w:rsid w:val="6B4078AA"/>
    <w:rsid w:val="6B421874"/>
    <w:rsid w:val="6B421E07"/>
    <w:rsid w:val="6B453112"/>
    <w:rsid w:val="6B460C38"/>
    <w:rsid w:val="6B4624D1"/>
    <w:rsid w:val="6B5A3603"/>
    <w:rsid w:val="6B5C045C"/>
    <w:rsid w:val="6B602797"/>
    <w:rsid w:val="6B625A72"/>
    <w:rsid w:val="6B69379A"/>
    <w:rsid w:val="6B765A94"/>
    <w:rsid w:val="6B804A78"/>
    <w:rsid w:val="6B825066"/>
    <w:rsid w:val="6B8C6F93"/>
    <w:rsid w:val="6B8D6867"/>
    <w:rsid w:val="6B970CC9"/>
    <w:rsid w:val="6B99520C"/>
    <w:rsid w:val="6B9958BC"/>
    <w:rsid w:val="6BA128CF"/>
    <w:rsid w:val="6BA4610B"/>
    <w:rsid w:val="6BA77929"/>
    <w:rsid w:val="6BAC3EA4"/>
    <w:rsid w:val="6BAE55D6"/>
    <w:rsid w:val="6BB949CE"/>
    <w:rsid w:val="6BBB107A"/>
    <w:rsid w:val="6BC00603"/>
    <w:rsid w:val="6BC56001"/>
    <w:rsid w:val="6BCE12F9"/>
    <w:rsid w:val="6BD959FF"/>
    <w:rsid w:val="6BE57182"/>
    <w:rsid w:val="6BE91CF0"/>
    <w:rsid w:val="6BF56A9C"/>
    <w:rsid w:val="6BF57173"/>
    <w:rsid w:val="6BF57328"/>
    <w:rsid w:val="6BFB1A23"/>
    <w:rsid w:val="6C0A329D"/>
    <w:rsid w:val="6C186F7E"/>
    <w:rsid w:val="6C1F3963"/>
    <w:rsid w:val="6C2341B9"/>
    <w:rsid w:val="6C303E73"/>
    <w:rsid w:val="6C3A254B"/>
    <w:rsid w:val="6C3D028D"/>
    <w:rsid w:val="6C435C3D"/>
    <w:rsid w:val="6C445178"/>
    <w:rsid w:val="6C520C8E"/>
    <w:rsid w:val="6C657D25"/>
    <w:rsid w:val="6C7052FA"/>
    <w:rsid w:val="6C705B0D"/>
    <w:rsid w:val="6C711CE5"/>
    <w:rsid w:val="6C7E26F9"/>
    <w:rsid w:val="6C81461E"/>
    <w:rsid w:val="6C8430D7"/>
    <w:rsid w:val="6C847C6A"/>
    <w:rsid w:val="6C8859AD"/>
    <w:rsid w:val="6C97340A"/>
    <w:rsid w:val="6C9A748E"/>
    <w:rsid w:val="6CA8083F"/>
    <w:rsid w:val="6CA87DFD"/>
    <w:rsid w:val="6CA958D2"/>
    <w:rsid w:val="6CB81C58"/>
    <w:rsid w:val="6CC8224D"/>
    <w:rsid w:val="6CC9113B"/>
    <w:rsid w:val="6CCC246D"/>
    <w:rsid w:val="6CCF5389"/>
    <w:rsid w:val="6CD12362"/>
    <w:rsid w:val="6CD61EDA"/>
    <w:rsid w:val="6CD9045D"/>
    <w:rsid w:val="6CDB1A5B"/>
    <w:rsid w:val="6CDF1C45"/>
    <w:rsid w:val="6CE54BAD"/>
    <w:rsid w:val="6CE801F9"/>
    <w:rsid w:val="6CE87F8C"/>
    <w:rsid w:val="6CEB3744"/>
    <w:rsid w:val="6CED5D03"/>
    <w:rsid w:val="6CF20998"/>
    <w:rsid w:val="6D0112BB"/>
    <w:rsid w:val="6D0E1A7F"/>
    <w:rsid w:val="6D125E56"/>
    <w:rsid w:val="6D16193B"/>
    <w:rsid w:val="6D246105"/>
    <w:rsid w:val="6D2D20B0"/>
    <w:rsid w:val="6D2E3433"/>
    <w:rsid w:val="6D370745"/>
    <w:rsid w:val="6D3D6686"/>
    <w:rsid w:val="6D3E250F"/>
    <w:rsid w:val="6D401DE3"/>
    <w:rsid w:val="6D4B142B"/>
    <w:rsid w:val="6D5533B5"/>
    <w:rsid w:val="6D5E44CF"/>
    <w:rsid w:val="6D6802E3"/>
    <w:rsid w:val="6D6B0BCD"/>
    <w:rsid w:val="6D6D0BCE"/>
    <w:rsid w:val="6D746C5F"/>
    <w:rsid w:val="6D8617C0"/>
    <w:rsid w:val="6D8A3872"/>
    <w:rsid w:val="6D8F68C7"/>
    <w:rsid w:val="6D9C15C5"/>
    <w:rsid w:val="6D9E6B0A"/>
    <w:rsid w:val="6DA06D26"/>
    <w:rsid w:val="6DA77463"/>
    <w:rsid w:val="6DB225B5"/>
    <w:rsid w:val="6DB35909"/>
    <w:rsid w:val="6DC36570"/>
    <w:rsid w:val="6DC9627D"/>
    <w:rsid w:val="6DD15131"/>
    <w:rsid w:val="6DD80D8D"/>
    <w:rsid w:val="6DDF784E"/>
    <w:rsid w:val="6DE1645F"/>
    <w:rsid w:val="6DE24C48"/>
    <w:rsid w:val="6DE468FB"/>
    <w:rsid w:val="6DF1132F"/>
    <w:rsid w:val="6DF56252"/>
    <w:rsid w:val="6DFC4DE2"/>
    <w:rsid w:val="6DFD5F26"/>
    <w:rsid w:val="6E0948CB"/>
    <w:rsid w:val="6E0F17B6"/>
    <w:rsid w:val="6E144E55"/>
    <w:rsid w:val="6E1C435E"/>
    <w:rsid w:val="6E2004FF"/>
    <w:rsid w:val="6E411B42"/>
    <w:rsid w:val="6E49630A"/>
    <w:rsid w:val="6E5C0E9F"/>
    <w:rsid w:val="6E6B2E90"/>
    <w:rsid w:val="6E6E2980"/>
    <w:rsid w:val="6E71421E"/>
    <w:rsid w:val="6E7241D7"/>
    <w:rsid w:val="6E733E42"/>
    <w:rsid w:val="6E7361E8"/>
    <w:rsid w:val="6E751F61"/>
    <w:rsid w:val="6E7956AF"/>
    <w:rsid w:val="6E804461"/>
    <w:rsid w:val="6E8126B3"/>
    <w:rsid w:val="6E8151DA"/>
    <w:rsid w:val="6E895A0C"/>
    <w:rsid w:val="6E8B52E0"/>
    <w:rsid w:val="6E95617E"/>
    <w:rsid w:val="6E9A3190"/>
    <w:rsid w:val="6EA168B2"/>
    <w:rsid w:val="6EAB3BD4"/>
    <w:rsid w:val="6EAC5256"/>
    <w:rsid w:val="6EB55F62"/>
    <w:rsid w:val="6EB901B3"/>
    <w:rsid w:val="6EBD0A7F"/>
    <w:rsid w:val="6EBF7EC8"/>
    <w:rsid w:val="6EC57260"/>
    <w:rsid w:val="6ECD5223"/>
    <w:rsid w:val="6ECD58F9"/>
    <w:rsid w:val="6ECE183D"/>
    <w:rsid w:val="6ED0363B"/>
    <w:rsid w:val="6ED053E9"/>
    <w:rsid w:val="6EE524A3"/>
    <w:rsid w:val="6EEB5F6B"/>
    <w:rsid w:val="6EF24BD6"/>
    <w:rsid w:val="6EF8454E"/>
    <w:rsid w:val="6EFC7F8C"/>
    <w:rsid w:val="6F0F3F2B"/>
    <w:rsid w:val="6F125A01"/>
    <w:rsid w:val="6F1277AF"/>
    <w:rsid w:val="6F1B2B08"/>
    <w:rsid w:val="6F1D78C7"/>
    <w:rsid w:val="6F2113D1"/>
    <w:rsid w:val="6F212F57"/>
    <w:rsid w:val="6F235519"/>
    <w:rsid w:val="6F241291"/>
    <w:rsid w:val="6F2614AD"/>
    <w:rsid w:val="6F2D6397"/>
    <w:rsid w:val="6F2E19DE"/>
    <w:rsid w:val="6F3516F0"/>
    <w:rsid w:val="6F3B4F58"/>
    <w:rsid w:val="6F411E43"/>
    <w:rsid w:val="6F516715"/>
    <w:rsid w:val="6F5222A2"/>
    <w:rsid w:val="6F5E1AE9"/>
    <w:rsid w:val="6F60676D"/>
    <w:rsid w:val="6F72750E"/>
    <w:rsid w:val="6F771D08"/>
    <w:rsid w:val="6F7C5B41"/>
    <w:rsid w:val="6F7C5CF6"/>
    <w:rsid w:val="6F8A1A3C"/>
    <w:rsid w:val="6F96218E"/>
    <w:rsid w:val="6FA11732"/>
    <w:rsid w:val="6FA712FE"/>
    <w:rsid w:val="6FA7439C"/>
    <w:rsid w:val="6FA846E1"/>
    <w:rsid w:val="6FAD1EDF"/>
    <w:rsid w:val="6FCD090C"/>
    <w:rsid w:val="6FD976B0"/>
    <w:rsid w:val="6FE258A8"/>
    <w:rsid w:val="6FE729EA"/>
    <w:rsid w:val="6FEB7D36"/>
    <w:rsid w:val="6FED3D79"/>
    <w:rsid w:val="6FED5B27"/>
    <w:rsid w:val="6FF173C5"/>
    <w:rsid w:val="6FF61027"/>
    <w:rsid w:val="6FF823FD"/>
    <w:rsid w:val="6FFF24F7"/>
    <w:rsid w:val="700215D2"/>
    <w:rsid w:val="70055242"/>
    <w:rsid w:val="700567B0"/>
    <w:rsid w:val="70090BB2"/>
    <w:rsid w:val="70092234"/>
    <w:rsid w:val="700C2451"/>
    <w:rsid w:val="701A0E55"/>
    <w:rsid w:val="701C6F91"/>
    <w:rsid w:val="7027728A"/>
    <w:rsid w:val="70313C65"/>
    <w:rsid w:val="703802C8"/>
    <w:rsid w:val="70390CB5"/>
    <w:rsid w:val="703B0F88"/>
    <w:rsid w:val="704132D9"/>
    <w:rsid w:val="704867A2"/>
    <w:rsid w:val="70522F16"/>
    <w:rsid w:val="7053424F"/>
    <w:rsid w:val="705A531C"/>
    <w:rsid w:val="70616401"/>
    <w:rsid w:val="706933FF"/>
    <w:rsid w:val="70694748"/>
    <w:rsid w:val="7073427E"/>
    <w:rsid w:val="70735D0A"/>
    <w:rsid w:val="70741DA4"/>
    <w:rsid w:val="70941078"/>
    <w:rsid w:val="70944560"/>
    <w:rsid w:val="709E5464"/>
    <w:rsid w:val="70A64653"/>
    <w:rsid w:val="70B3043E"/>
    <w:rsid w:val="70B623BC"/>
    <w:rsid w:val="70B76860"/>
    <w:rsid w:val="70BC2AAC"/>
    <w:rsid w:val="70BC5C25"/>
    <w:rsid w:val="70BE2E5C"/>
    <w:rsid w:val="70BE3C8A"/>
    <w:rsid w:val="70CA3E8B"/>
    <w:rsid w:val="70D86148"/>
    <w:rsid w:val="70E14278"/>
    <w:rsid w:val="70E60E46"/>
    <w:rsid w:val="70E84C6C"/>
    <w:rsid w:val="70F01D72"/>
    <w:rsid w:val="70F353BF"/>
    <w:rsid w:val="70F52EE5"/>
    <w:rsid w:val="710479A6"/>
    <w:rsid w:val="71053F3B"/>
    <w:rsid w:val="710774B5"/>
    <w:rsid w:val="710812D5"/>
    <w:rsid w:val="710C022E"/>
    <w:rsid w:val="710D5340"/>
    <w:rsid w:val="71136A83"/>
    <w:rsid w:val="7113780F"/>
    <w:rsid w:val="71217854"/>
    <w:rsid w:val="71301831"/>
    <w:rsid w:val="713060AF"/>
    <w:rsid w:val="71357785"/>
    <w:rsid w:val="714E7574"/>
    <w:rsid w:val="715417B2"/>
    <w:rsid w:val="71551BD5"/>
    <w:rsid w:val="715E4F2E"/>
    <w:rsid w:val="71600CA6"/>
    <w:rsid w:val="7164006A"/>
    <w:rsid w:val="71681909"/>
    <w:rsid w:val="716963F3"/>
    <w:rsid w:val="716B1D9A"/>
    <w:rsid w:val="717958C4"/>
    <w:rsid w:val="717A69A0"/>
    <w:rsid w:val="718438CB"/>
    <w:rsid w:val="718C473E"/>
    <w:rsid w:val="718F3339"/>
    <w:rsid w:val="71956476"/>
    <w:rsid w:val="719635EF"/>
    <w:rsid w:val="71AA65CD"/>
    <w:rsid w:val="71CF7614"/>
    <w:rsid w:val="71D260B4"/>
    <w:rsid w:val="71F073CF"/>
    <w:rsid w:val="71F60C84"/>
    <w:rsid w:val="71F75F25"/>
    <w:rsid w:val="71F87130"/>
    <w:rsid w:val="72036975"/>
    <w:rsid w:val="72087D6D"/>
    <w:rsid w:val="720D24B0"/>
    <w:rsid w:val="72110953"/>
    <w:rsid w:val="721D0211"/>
    <w:rsid w:val="721E6358"/>
    <w:rsid w:val="722021E3"/>
    <w:rsid w:val="72255A4C"/>
    <w:rsid w:val="7233543C"/>
    <w:rsid w:val="724539F8"/>
    <w:rsid w:val="724B4260"/>
    <w:rsid w:val="724C14C1"/>
    <w:rsid w:val="724C7C4B"/>
    <w:rsid w:val="724E1389"/>
    <w:rsid w:val="724F2AC9"/>
    <w:rsid w:val="72536115"/>
    <w:rsid w:val="725D50C1"/>
    <w:rsid w:val="72615D03"/>
    <w:rsid w:val="726B73E1"/>
    <w:rsid w:val="7278201F"/>
    <w:rsid w:val="727D13E4"/>
    <w:rsid w:val="727D38B6"/>
    <w:rsid w:val="727E13A6"/>
    <w:rsid w:val="727F0ABA"/>
    <w:rsid w:val="72816D82"/>
    <w:rsid w:val="728409C4"/>
    <w:rsid w:val="728704BD"/>
    <w:rsid w:val="72955527"/>
    <w:rsid w:val="729B1591"/>
    <w:rsid w:val="72A66542"/>
    <w:rsid w:val="72AC1CC9"/>
    <w:rsid w:val="72AC295F"/>
    <w:rsid w:val="72B017B9"/>
    <w:rsid w:val="72B0523F"/>
    <w:rsid w:val="72BC6078"/>
    <w:rsid w:val="72BE0E96"/>
    <w:rsid w:val="72C61B6B"/>
    <w:rsid w:val="72C963D7"/>
    <w:rsid w:val="72D74F98"/>
    <w:rsid w:val="72DC1889"/>
    <w:rsid w:val="72E4155E"/>
    <w:rsid w:val="72ED5B8D"/>
    <w:rsid w:val="72EE22E1"/>
    <w:rsid w:val="72F71196"/>
    <w:rsid w:val="73045661"/>
    <w:rsid w:val="73046E24"/>
    <w:rsid w:val="730B4899"/>
    <w:rsid w:val="73146ED7"/>
    <w:rsid w:val="731A30D6"/>
    <w:rsid w:val="731D4975"/>
    <w:rsid w:val="73206D9A"/>
    <w:rsid w:val="73291D2D"/>
    <w:rsid w:val="732A158F"/>
    <w:rsid w:val="732B207F"/>
    <w:rsid w:val="732E0930"/>
    <w:rsid w:val="733028FA"/>
    <w:rsid w:val="73364A9B"/>
    <w:rsid w:val="7338355D"/>
    <w:rsid w:val="733D0DD5"/>
    <w:rsid w:val="73463ECB"/>
    <w:rsid w:val="734F0FD2"/>
    <w:rsid w:val="735859AD"/>
    <w:rsid w:val="73594350"/>
    <w:rsid w:val="736305DA"/>
    <w:rsid w:val="73685BF0"/>
    <w:rsid w:val="736A2223"/>
    <w:rsid w:val="737554EE"/>
    <w:rsid w:val="737B6715"/>
    <w:rsid w:val="737B671C"/>
    <w:rsid w:val="7381348A"/>
    <w:rsid w:val="73823458"/>
    <w:rsid w:val="738524FE"/>
    <w:rsid w:val="7399224D"/>
    <w:rsid w:val="73A02439"/>
    <w:rsid w:val="73A735A8"/>
    <w:rsid w:val="73A77540"/>
    <w:rsid w:val="73AA26AC"/>
    <w:rsid w:val="73AD7AA7"/>
    <w:rsid w:val="73B928EF"/>
    <w:rsid w:val="73BB4DF4"/>
    <w:rsid w:val="73BD5AAB"/>
    <w:rsid w:val="73C117A4"/>
    <w:rsid w:val="73C31078"/>
    <w:rsid w:val="73C646B0"/>
    <w:rsid w:val="73C6500C"/>
    <w:rsid w:val="73CD6579"/>
    <w:rsid w:val="73D05E63"/>
    <w:rsid w:val="73D50C19"/>
    <w:rsid w:val="73E15955"/>
    <w:rsid w:val="73EB53F9"/>
    <w:rsid w:val="73F34FAD"/>
    <w:rsid w:val="73F82A9F"/>
    <w:rsid w:val="74087ED7"/>
    <w:rsid w:val="740D003F"/>
    <w:rsid w:val="74161AF0"/>
    <w:rsid w:val="74177616"/>
    <w:rsid w:val="742733B9"/>
    <w:rsid w:val="742A7349"/>
    <w:rsid w:val="742E35AD"/>
    <w:rsid w:val="74345DC0"/>
    <w:rsid w:val="74385A05"/>
    <w:rsid w:val="7439758C"/>
    <w:rsid w:val="743E190E"/>
    <w:rsid w:val="744F5002"/>
    <w:rsid w:val="744F6DB0"/>
    <w:rsid w:val="74546174"/>
    <w:rsid w:val="74567D0F"/>
    <w:rsid w:val="746D7236"/>
    <w:rsid w:val="747175ED"/>
    <w:rsid w:val="7487654A"/>
    <w:rsid w:val="748800DE"/>
    <w:rsid w:val="748B36C3"/>
    <w:rsid w:val="74933140"/>
    <w:rsid w:val="74954961"/>
    <w:rsid w:val="749649DF"/>
    <w:rsid w:val="749E593E"/>
    <w:rsid w:val="749E7F14"/>
    <w:rsid w:val="74A302A1"/>
    <w:rsid w:val="74AA048A"/>
    <w:rsid w:val="74AE1D28"/>
    <w:rsid w:val="74AF129E"/>
    <w:rsid w:val="74B6388F"/>
    <w:rsid w:val="74B775BA"/>
    <w:rsid w:val="74C74BEA"/>
    <w:rsid w:val="74CE5FAB"/>
    <w:rsid w:val="74D82379"/>
    <w:rsid w:val="74D84FF7"/>
    <w:rsid w:val="74D925D0"/>
    <w:rsid w:val="74DB6895"/>
    <w:rsid w:val="74E219D2"/>
    <w:rsid w:val="74E523A8"/>
    <w:rsid w:val="74E5567F"/>
    <w:rsid w:val="74ED041F"/>
    <w:rsid w:val="74F71921"/>
    <w:rsid w:val="74FA6BFF"/>
    <w:rsid w:val="74FF4332"/>
    <w:rsid w:val="750452DF"/>
    <w:rsid w:val="7510230A"/>
    <w:rsid w:val="752B15CB"/>
    <w:rsid w:val="752C17D6"/>
    <w:rsid w:val="752C20E3"/>
    <w:rsid w:val="7542408D"/>
    <w:rsid w:val="75481873"/>
    <w:rsid w:val="754B42F4"/>
    <w:rsid w:val="754C32EF"/>
    <w:rsid w:val="754C4B2C"/>
    <w:rsid w:val="754D78E0"/>
    <w:rsid w:val="756A2F68"/>
    <w:rsid w:val="75717B71"/>
    <w:rsid w:val="75742F72"/>
    <w:rsid w:val="75763DA0"/>
    <w:rsid w:val="757F1917"/>
    <w:rsid w:val="757F4438"/>
    <w:rsid w:val="75865E75"/>
    <w:rsid w:val="758F7557"/>
    <w:rsid w:val="75A44ED9"/>
    <w:rsid w:val="75A515CF"/>
    <w:rsid w:val="75AA6994"/>
    <w:rsid w:val="75AE0075"/>
    <w:rsid w:val="75B275F6"/>
    <w:rsid w:val="75B80A9A"/>
    <w:rsid w:val="75BA2A64"/>
    <w:rsid w:val="75BA734C"/>
    <w:rsid w:val="75C8506C"/>
    <w:rsid w:val="75C86E1A"/>
    <w:rsid w:val="75D02172"/>
    <w:rsid w:val="75DF0A95"/>
    <w:rsid w:val="75F25C45"/>
    <w:rsid w:val="75F56923"/>
    <w:rsid w:val="75F95225"/>
    <w:rsid w:val="75FB0102"/>
    <w:rsid w:val="76097604"/>
    <w:rsid w:val="760E69A3"/>
    <w:rsid w:val="7610431D"/>
    <w:rsid w:val="761107C1"/>
    <w:rsid w:val="761B163F"/>
    <w:rsid w:val="761E6E22"/>
    <w:rsid w:val="76222305"/>
    <w:rsid w:val="762F50EB"/>
    <w:rsid w:val="76376399"/>
    <w:rsid w:val="763A6819"/>
    <w:rsid w:val="763D7808"/>
    <w:rsid w:val="7640637E"/>
    <w:rsid w:val="76450D7C"/>
    <w:rsid w:val="764C7A4B"/>
    <w:rsid w:val="764F5CCF"/>
    <w:rsid w:val="76524935"/>
    <w:rsid w:val="76562678"/>
    <w:rsid w:val="765823C0"/>
    <w:rsid w:val="765E777E"/>
    <w:rsid w:val="76610CFB"/>
    <w:rsid w:val="76642E13"/>
    <w:rsid w:val="76657AAF"/>
    <w:rsid w:val="766E5C13"/>
    <w:rsid w:val="766E7745"/>
    <w:rsid w:val="766F7780"/>
    <w:rsid w:val="767073EA"/>
    <w:rsid w:val="76740D50"/>
    <w:rsid w:val="7675342F"/>
    <w:rsid w:val="76763EDD"/>
    <w:rsid w:val="76783389"/>
    <w:rsid w:val="768519CC"/>
    <w:rsid w:val="76866AB1"/>
    <w:rsid w:val="768E03C8"/>
    <w:rsid w:val="768E1E11"/>
    <w:rsid w:val="769255CE"/>
    <w:rsid w:val="76927C51"/>
    <w:rsid w:val="769515F9"/>
    <w:rsid w:val="769C2B79"/>
    <w:rsid w:val="769F6178"/>
    <w:rsid w:val="76A35191"/>
    <w:rsid w:val="76A52BBD"/>
    <w:rsid w:val="76A74C81"/>
    <w:rsid w:val="76AB3EDD"/>
    <w:rsid w:val="76B13D52"/>
    <w:rsid w:val="76BF021D"/>
    <w:rsid w:val="76C415FC"/>
    <w:rsid w:val="76DF3965"/>
    <w:rsid w:val="76E41046"/>
    <w:rsid w:val="76E61C4D"/>
    <w:rsid w:val="76E8442E"/>
    <w:rsid w:val="76EE0B02"/>
    <w:rsid w:val="76F868AE"/>
    <w:rsid w:val="76FD0640"/>
    <w:rsid w:val="770925CB"/>
    <w:rsid w:val="771769F1"/>
    <w:rsid w:val="77176BA7"/>
    <w:rsid w:val="771779CE"/>
    <w:rsid w:val="77183DD1"/>
    <w:rsid w:val="771A42A0"/>
    <w:rsid w:val="771C4AE4"/>
    <w:rsid w:val="772A2051"/>
    <w:rsid w:val="773242E2"/>
    <w:rsid w:val="77370EEF"/>
    <w:rsid w:val="773A3D47"/>
    <w:rsid w:val="774C0A76"/>
    <w:rsid w:val="77580157"/>
    <w:rsid w:val="775A447B"/>
    <w:rsid w:val="776110C8"/>
    <w:rsid w:val="776112D4"/>
    <w:rsid w:val="77617D97"/>
    <w:rsid w:val="77695FAA"/>
    <w:rsid w:val="776D40C1"/>
    <w:rsid w:val="776E6C5C"/>
    <w:rsid w:val="777F364F"/>
    <w:rsid w:val="7782532C"/>
    <w:rsid w:val="77836DB5"/>
    <w:rsid w:val="778A20E5"/>
    <w:rsid w:val="779416A9"/>
    <w:rsid w:val="779C132D"/>
    <w:rsid w:val="77BA4E88"/>
    <w:rsid w:val="77BC475C"/>
    <w:rsid w:val="77C135BE"/>
    <w:rsid w:val="77C80D66"/>
    <w:rsid w:val="77CA50CB"/>
    <w:rsid w:val="77CF40A2"/>
    <w:rsid w:val="77D311C4"/>
    <w:rsid w:val="77D47690"/>
    <w:rsid w:val="77D77515"/>
    <w:rsid w:val="77DA1086"/>
    <w:rsid w:val="77DC5630"/>
    <w:rsid w:val="77DC7346"/>
    <w:rsid w:val="77E178DA"/>
    <w:rsid w:val="77EB6DF0"/>
    <w:rsid w:val="77F30D40"/>
    <w:rsid w:val="77FA107B"/>
    <w:rsid w:val="780221AD"/>
    <w:rsid w:val="78030083"/>
    <w:rsid w:val="780A196C"/>
    <w:rsid w:val="780C5F04"/>
    <w:rsid w:val="78191561"/>
    <w:rsid w:val="78204787"/>
    <w:rsid w:val="78210A63"/>
    <w:rsid w:val="78267E28"/>
    <w:rsid w:val="782B3690"/>
    <w:rsid w:val="782F3180"/>
    <w:rsid w:val="78322C70"/>
    <w:rsid w:val="783A38D3"/>
    <w:rsid w:val="784B788E"/>
    <w:rsid w:val="78511348"/>
    <w:rsid w:val="78520C1D"/>
    <w:rsid w:val="78533DD9"/>
    <w:rsid w:val="785838BF"/>
    <w:rsid w:val="785901FD"/>
    <w:rsid w:val="786077DD"/>
    <w:rsid w:val="78683618"/>
    <w:rsid w:val="786A3915"/>
    <w:rsid w:val="786C3660"/>
    <w:rsid w:val="786D2338"/>
    <w:rsid w:val="787A3DD8"/>
    <w:rsid w:val="78813A88"/>
    <w:rsid w:val="7883171E"/>
    <w:rsid w:val="78852DA0"/>
    <w:rsid w:val="78866B18"/>
    <w:rsid w:val="788F1E71"/>
    <w:rsid w:val="78921F38"/>
    <w:rsid w:val="78931961"/>
    <w:rsid w:val="78996418"/>
    <w:rsid w:val="789A15D4"/>
    <w:rsid w:val="78A25081"/>
    <w:rsid w:val="78A66757"/>
    <w:rsid w:val="78BA7011"/>
    <w:rsid w:val="78BD5BFA"/>
    <w:rsid w:val="78BD69DE"/>
    <w:rsid w:val="78C22246"/>
    <w:rsid w:val="78C733B9"/>
    <w:rsid w:val="78CE4250"/>
    <w:rsid w:val="78D43A03"/>
    <w:rsid w:val="78DE5537"/>
    <w:rsid w:val="78E0091E"/>
    <w:rsid w:val="78E51A91"/>
    <w:rsid w:val="78E73A5B"/>
    <w:rsid w:val="78E81581"/>
    <w:rsid w:val="78E977D3"/>
    <w:rsid w:val="78EC1071"/>
    <w:rsid w:val="78F426B9"/>
    <w:rsid w:val="78F543CA"/>
    <w:rsid w:val="78F57719"/>
    <w:rsid w:val="78FA7669"/>
    <w:rsid w:val="79043B84"/>
    <w:rsid w:val="7904460D"/>
    <w:rsid w:val="79053EE1"/>
    <w:rsid w:val="790751C5"/>
    <w:rsid w:val="790B6163"/>
    <w:rsid w:val="79183C14"/>
    <w:rsid w:val="791F0CC9"/>
    <w:rsid w:val="791F1447"/>
    <w:rsid w:val="7923254F"/>
    <w:rsid w:val="792A22DF"/>
    <w:rsid w:val="792D7A1C"/>
    <w:rsid w:val="792E168A"/>
    <w:rsid w:val="792E3438"/>
    <w:rsid w:val="79301780"/>
    <w:rsid w:val="7938461D"/>
    <w:rsid w:val="79464C25"/>
    <w:rsid w:val="794C2B16"/>
    <w:rsid w:val="795135CA"/>
    <w:rsid w:val="795409C4"/>
    <w:rsid w:val="795D3040"/>
    <w:rsid w:val="795D3561"/>
    <w:rsid w:val="796055D9"/>
    <w:rsid w:val="797057FE"/>
    <w:rsid w:val="79841C0E"/>
    <w:rsid w:val="798B6ADC"/>
    <w:rsid w:val="798C63B0"/>
    <w:rsid w:val="79951709"/>
    <w:rsid w:val="79986B03"/>
    <w:rsid w:val="7999345B"/>
    <w:rsid w:val="79A90D10"/>
    <w:rsid w:val="79AD1C9E"/>
    <w:rsid w:val="79B17048"/>
    <w:rsid w:val="79B543FD"/>
    <w:rsid w:val="79CE2378"/>
    <w:rsid w:val="79CE6167"/>
    <w:rsid w:val="79CF1C65"/>
    <w:rsid w:val="79DD144C"/>
    <w:rsid w:val="79E007A3"/>
    <w:rsid w:val="79E26573"/>
    <w:rsid w:val="79EE2BC7"/>
    <w:rsid w:val="79F857F4"/>
    <w:rsid w:val="79FA156C"/>
    <w:rsid w:val="79FB18D8"/>
    <w:rsid w:val="79FB778C"/>
    <w:rsid w:val="7A046449"/>
    <w:rsid w:val="7A142AEF"/>
    <w:rsid w:val="7A205919"/>
    <w:rsid w:val="7A214D4A"/>
    <w:rsid w:val="7A2911F7"/>
    <w:rsid w:val="7A3563F7"/>
    <w:rsid w:val="7A377F7A"/>
    <w:rsid w:val="7A383A34"/>
    <w:rsid w:val="7A3C725B"/>
    <w:rsid w:val="7A5C270A"/>
    <w:rsid w:val="7A62237E"/>
    <w:rsid w:val="7A6A622C"/>
    <w:rsid w:val="7A6D1D3E"/>
    <w:rsid w:val="7A735F93"/>
    <w:rsid w:val="7A745707"/>
    <w:rsid w:val="7A747E8D"/>
    <w:rsid w:val="7A796935"/>
    <w:rsid w:val="7A7E3F4B"/>
    <w:rsid w:val="7A8B6668"/>
    <w:rsid w:val="7A911A31"/>
    <w:rsid w:val="7A950461"/>
    <w:rsid w:val="7A996FD7"/>
    <w:rsid w:val="7AA65250"/>
    <w:rsid w:val="7AB15C57"/>
    <w:rsid w:val="7AB45BBF"/>
    <w:rsid w:val="7ABC1261"/>
    <w:rsid w:val="7AC3088B"/>
    <w:rsid w:val="7AC56533"/>
    <w:rsid w:val="7ACC7EAD"/>
    <w:rsid w:val="7AD21D63"/>
    <w:rsid w:val="7AD95625"/>
    <w:rsid w:val="7ADA6E1B"/>
    <w:rsid w:val="7AF1296F"/>
    <w:rsid w:val="7AF354FF"/>
    <w:rsid w:val="7B032A3A"/>
    <w:rsid w:val="7B0408F4"/>
    <w:rsid w:val="7B085777"/>
    <w:rsid w:val="7B0C77A9"/>
    <w:rsid w:val="7B136D89"/>
    <w:rsid w:val="7B166879"/>
    <w:rsid w:val="7B220D7A"/>
    <w:rsid w:val="7B30793B"/>
    <w:rsid w:val="7B3135F0"/>
    <w:rsid w:val="7B3938A7"/>
    <w:rsid w:val="7B503B39"/>
    <w:rsid w:val="7B51340D"/>
    <w:rsid w:val="7B551150"/>
    <w:rsid w:val="7B5828F0"/>
    <w:rsid w:val="7B590636"/>
    <w:rsid w:val="7B5B75A6"/>
    <w:rsid w:val="7B5C2BD2"/>
    <w:rsid w:val="7B66335D"/>
    <w:rsid w:val="7B6C0247"/>
    <w:rsid w:val="7B726CF0"/>
    <w:rsid w:val="7B780E3C"/>
    <w:rsid w:val="7B784E3E"/>
    <w:rsid w:val="7B803CF3"/>
    <w:rsid w:val="7B8053BB"/>
    <w:rsid w:val="7B9003DA"/>
    <w:rsid w:val="7B95779E"/>
    <w:rsid w:val="7B9854E0"/>
    <w:rsid w:val="7B9D2AF7"/>
    <w:rsid w:val="7BBC11CF"/>
    <w:rsid w:val="7BBE20CA"/>
    <w:rsid w:val="7BC13C07"/>
    <w:rsid w:val="7BC41E31"/>
    <w:rsid w:val="7BC54E96"/>
    <w:rsid w:val="7BC736D0"/>
    <w:rsid w:val="7BC80CA2"/>
    <w:rsid w:val="7BDB2574"/>
    <w:rsid w:val="7BE2417C"/>
    <w:rsid w:val="7C02295A"/>
    <w:rsid w:val="7C1468AB"/>
    <w:rsid w:val="7C232FFC"/>
    <w:rsid w:val="7C267368"/>
    <w:rsid w:val="7C2B0102"/>
    <w:rsid w:val="7C3C7D33"/>
    <w:rsid w:val="7C4111CA"/>
    <w:rsid w:val="7C431B83"/>
    <w:rsid w:val="7C4E0BFB"/>
    <w:rsid w:val="7C66247F"/>
    <w:rsid w:val="7C6B04FF"/>
    <w:rsid w:val="7C6C2B2C"/>
    <w:rsid w:val="7C7B5A7C"/>
    <w:rsid w:val="7C812849"/>
    <w:rsid w:val="7C865FF3"/>
    <w:rsid w:val="7C8B0BA1"/>
    <w:rsid w:val="7C9A7858"/>
    <w:rsid w:val="7C9C40F9"/>
    <w:rsid w:val="7C9E21A9"/>
    <w:rsid w:val="7CA13F21"/>
    <w:rsid w:val="7CA24505"/>
    <w:rsid w:val="7CA97333"/>
    <w:rsid w:val="7CB243D3"/>
    <w:rsid w:val="7CBB76D8"/>
    <w:rsid w:val="7CC540B3"/>
    <w:rsid w:val="7CC84A54"/>
    <w:rsid w:val="7CD12A58"/>
    <w:rsid w:val="7CD460A4"/>
    <w:rsid w:val="7CE21E58"/>
    <w:rsid w:val="7CE3371D"/>
    <w:rsid w:val="7CF17122"/>
    <w:rsid w:val="7CF3470C"/>
    <w:rsid w:val="7CFB7AD5"/>
    <w:rsid w:val="7CFD4F05"/>
    <w:rsid w:val="7D0E2B49"/>
    <w:rsid w:val="7D1D4A9A"/>
    <w:rsid w:val="7D2749BA"/>
    <w:rsid w:val="7D2F777E"/>
    <w:rsid w:val="7D311748"/>
    <w:rsid w:val="7D474AC8"/>
    <w:rsid w:val="7D4A21B7"/>
    <w:rsid w:val="7D4C0330"/>
    <w:rsid w:val="7D533633"/>
    <w:rsid w:val="7D5764EE"/>
    <w:rsid w:val="7D697134"/>
    <w:rsid w:val="7D6A7C65"/>
    <w:rsid w:val="7D717D97"/>
    <w:rsid w:val="7D733B0F"/>
    <w:rsid w:val="7D756F46"/>
    <w:rsid w:val="7D7653AD"/>
    <w:rsid w:val="7D7704CB"/>
    <w:rsid w:val="7D7B0C16"/>
    <w:rsid w:val="7D821FA4"/>
    <w:rsid w:val="7D8436EA"/>
    <w:rsid w:val="7D8E6B9B"/>
    <w:rsid w:val="7D935F5F"/>
    <w:rsid w:val="7D9514A3"/>
    <w:rsid w:val="7D9558DE"/>
    <w:rsid w:val="7D9615AC"/>
    <w:rsid w:val="7D9F20AA"/>
    <w:rsid w:val="7D9F4904"/>
    <w:rsid w:val="7DC0526F"/>
    <w:rsid w:val="7DC26768"/>
    <w:rsid w:val="7DC832D7"/>
    <w:rsid w:val="7DCC321F"/>
    <w:rsid w:val="7DD6584C"/>
    <w:rsid w:val="7DDA593C"/>
    <w:rsid w:val="7DDB10A1"/>
    <w:rsid w:val="7DDB18E2"/>
    <w:rsid w:val="7DDD367E"/>
    <w:rsid w:val="7DF033B2"/>
    <w:rsid w:val="7DF115D5"/>
    <w:rsid w:val="7DFA7D8C"/>
    <w:rsid w:val="7DFF1847"/>
    <w:rsid w:val="7E002EC9"/>
    <w:rsid w:val="7E06489D"/>
    <w:rsid w:val="7E0D5EFC"/>
    <w:rsid w:val="7E1370A0"/>
    <w:rsid w:val="7E156974"/>
    <w:rsid w:val="7E1626E2"/>
    <w:rsid w:val="7E2533A9"/>
    <w:rsid w:val="7E2D0162"/>
    <w:rsid w:val="7E3152C1"/>
    <w:rsid w:val="7E3C2153"/>
    <w:rsid w:val="7E40731A"/>
    <w:rsid w:val="7E411E5F"/>
    <w:rsid w:val="7E434750"/>
    <w:rsid w:val="7E4E5ABF"/>
    <w:rsid w:val="7E4F507E"/>
    <w:rsid w:val="7E54544D"/>
    <w:rsid w:val="7E5751DF"/>
    <w:rsid w:val="7E6D661C"/>
    <w:rsid w:val="7E6E074D"/>
    <w:rsid w:val="7E6E2FBA"/>
    <w:rsid w:val="7E7654DB"/>
    <w:rsid w:val="7E837D82"/>
    <w:rsid w:val="7E843AFA"/>
    <w:rsid w:val="7E885398"/>
    <w:rsid w:val="7E8A512D"/>
    <w:rsid w:val="7EA128FE"/>
    <w:rsid w:val="7EA830CF"/>
    <w:rsid w:val="7EB2444F"/>
    <w:rsid w:val="7EB268B9"/>
    <w:rsid w:val="7EB34790"/>
    <w:rsid w:val="7EB677F7"/>
    <w:rsid w:val="7EB75C7D"/>
    <w:rsid w:val="7EB86566"/>
    <w:rsid w:val="7EC02D84"/>
    <w:rsid w:val="7EC5039A"/>
    <w:rsid w:val="7EC576BA"/>
    <w:rsid w:val="7ED14F91"/>
    <w:rsid w:val="7ED4682F"/>
    <w:rsid w:val="7ED56104"/>
    <w:rsid w:val="7EEA0AA5"/>
    <w:rsid w:val="7EEC6371"/>
    <w:rsid w:val="7EFC6D2C"/>
    <w:rsid w:val="7EFE7E88"/>
    <w:rsid w:val="7F037115"/>
    <w:rsid w:val="7F06083F"/>
    <w:rsid w:val="7F0B39A9"/>
    <w:rsid w:val="7F0C1437"/>
    <w:rsid w:val="7F1629A4"/>
    <w:rsid w:val="7F17496E"/>
    <w:rsid w:val="7F1A17B8"/>
    <w:rsid w:val="7F1B7FBA"/>
    <w:rsid w:val="7F1D1681"/>
    <w:rsid w:val="7F1E6E78"/>
    <w:rsid w:val="7F1F3CE0"/>
    <w:rsid w:val="7F2344A4"/>
    <w:rsid w:val="7F2B674C"/>
    <w:rsid w:val="7F361298"/>
    <w:rsid w:val="7F3726FE"/>
    <w:rsid w:val="7F402117"/>
    <w:rsid w:val="7F455BAA"/>
    <w:rsid w:val="7F4B7E2D"/>
    <w:rsid w:val="7F4C286A"/>
    <w:rsid w:val="7F504F67"/>
    <w:rsid w:val="7F56028B"/>
    <w:rsid w:val="7F5827B1"/>
    <w:rsid w:val="7F6556D9"/>
    <w:rsid w:val="7F6860B2"/>
    <w:rsid w:val="7F6D7F43"/>
    <w:rsid w:val="7F823ABA"/>
    <w:rsid w:val="7F8C2C66"/>
    <w:rsid w:val="7F981A45"/>
    <w:rsid w:val="7FAA57E2"/>
    <w:rsid w:val="7FAE0E2E"/>
    <w:rsid w:val="7FAE1614"/>
    <w:rsid w:val="7FB21F9B"/>
    <w:rsid w:val="7FB36445"/>
    <w:rsid w:val="7FB759EB"/>
    <w:rsid w:val="7FC411AE"/>
    <w:rsid w:val="7FC73618"/>
    <w:rsid w:val="7FCB7C32"/>
    <w:rsid w:val="7FD50AB1"/>
    <w:rsid w:val="7FD81C48"/>
    <w:rsid w:val="7FE40CF4"/>
    <w:rsid w:val="7FEB20D5"/>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50" w:beforeLines="50" w:after="50" w:afterLines="50" w:line="360" w:lineRule="auto"/>
      <w:jc w:val="center"/>
      <w:outlineLvl w:val="0"/>
    </w:pPr>
    <w:rPr>
      <w:b/>
      <w:bCs/>
      <w:kern w:val="44"/>
      <w:sz w:val="30"/>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0"/>
    <w:pPr>
      <w:ind w:firstLine="200" w:firstLineChars="200"/>
    </w:pPr>
    <w:rPr>
      <w:sz w:val="28"/>
      <w:szCs w:val="20"/>
    </w:rPr>
  </w:style>
  <w:style w:type="paragraph" w:customStyle="1" w:styleId="6">
    <w:name w:val="Default"/>
    <w:basedOn w:val="7"/>
    <w:autoRedefine/>
    <w:qFormat/>
    <w:uiPriority w:val="0"/>
    <w:pPr>
      <w:widowControl w:val="0"/>
      <w:autoSpaceDE w:val="0"/>
      <w:autoSpaceDN w:val="0"/>
      <w:adjustRightInd w:val="0"/>
    </w:pPr>
    <w:rPr>
      <w:rFonts w:ascii="仿宋_GB2312" w:cs="仿宋_GB2312"/>
      <w:color w:val="000000"/>
      <w:sz w:val="24"/>
    </w:rPr>
  </w:style>
  <w:style w:type="paragraph" w:customStyle="1" w:styleId="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8">
    <w:name w:val="caption"/>
    <w:basedOn w:val="1"/>
    <w:next w:val="1"/>
    <w:qFormat/>
    <w:uiPriority w:val="99"/>
    <w:rPr>
      <w:rFonts w:ascii="Arial" w:hAnsi="Arial" w:eastAsia="黑体" w:cs="Arial"/>
      <w:sz w:val="20"/>
    </w:rPr>
  </w:style>
  <w:style w:type="paragraph" w:styleId="9">
    <w:name w:val="annotation text"/>
    <w:basedOn w:val="1"/>
    <w:qFormat/>
    <w:uiPriority w:val="99"/>
    <w:pPr>
      <w:jc w:val="left"/>
    </w:pPr>
    <w:rPr>
      <w:kern w:val="0"/>
      <w:sz w:val="24"/>
      <w:szCs w:val="20"/>
    </w:rPr>
  </w:style>
  <w:style w:type="paragraph" w:styleId="10">
    <w:name w:val="Body Text 3"/>
    <w:basedOn w:val="1"/>
    <w:qFormat/>
    <w:uiPriority w:val="0"/>
    <w:rPr>
      <w:rFonts w:ascii="宋体"/>
    </w:rPr>
  </w:style>
  <w:style w:type="paragraph" w:styleId="11">
    <w:name w:val="Body Text"/>
    <w:basedOn w:val="1"/>
    <w:next w:val="12"/>
    <w:qFormat/>
    <w:uiPriority w:val="0"/>
    <w:pPr>
      <w:widowControl/>
      <w:snapToGrid w:val="0"/>
      <w:spacing w:before="60" w:after="160" w:line="259" w:lineRule="auto"/>
      <w:ind w:right="113"/>
    </w:pPr>
    <w:rPr>
      <w:kern w:val="0"/>
      <w:sz w:val="18"/>
      <w:szCs w:val="20"/>
    </w:rPr>
  </w:style>
  <w:style w:type="paragraph" w:styleId="12">
    <w:name w:val="List Bullet 5"/>
    <w:basedOn w:val="1"/>
    <w:qFormat/>
    <w:uiPriority w:val="0"/>
    <w:pPr>
      <w:numPr>
        <w:ilvl w:val="0"/>
        <w:numId w:val="1"/>
      </w:numPr>
    </w:pPr>
  </w:style>
  <w:style w:type="paragraph" w:styleId="13">
    <w:name w:val="Body Text Indent"/>
    <w:basedOn w:val="1"/>
    <w:next w:val="14"/>
    <w:qFormat/>
    <w:uiPriority w:val="0"/>
    <w:pPr>
      <w:spacing w:after="120"/>
      <w:ind w:left="420" w:leftChars="200"/>
    </w:pPr>
    <w:rPr>
      <w:kern w:val="0"/>
      <w:sz w:val="24"/>
      <w:szCs w:val="20"/>
    </w:rPr>
  </w:style>
  <w:style w:type="paragraph" w:styleId="14">
    <w:name w:val="Body Text Indent 2"/>
    <w:basedOn w:val="1"/>
    <w:next w:val="15"/>
    <w:qFormat/>
    <w:uiPriority w:val="0"/>
    <w:pPr>
      <w:spacing w:line="360" w:lineRule="auto"/>
      <w:ind w:firstLine="480" w:firstLineChars="200"/>
    </w:pPr>
    <w:rPr>
      <w:color w:val="000000"/>
      <w:sz w:val="24"/>
    </w:rPr>
  </w:style>
  <w:style w:type="paragraph" w:styleId="15">
    <w:name w:val="Body Text First Indent 2"/>
    <w:basedOn w:val="13"/>
    <w:next w:val="16"/>
    <w:qFormat/>
    <w:uiPriority w:val="0"/>
    <w:pPr>
      <w:ind w:firstLine="420" w:firstLineChars="200"/>
    </w:pPr>
    <w:rPr>
      <w:kern w:val="2"/>
      <w:sz w:val="21"/>
    </w:rPr>
  </w:style>
  <w:style w:type="paragraph" w:styleId="16">
    <w:name w:val="Body Text First Indent"/>
    <w:basedOn w:val="11"/>
    <w:next w:val="1"/>
    <w:qFormat/>
    <w:uiPriority w:val="0"/>
    <w:pPr>
      <w:widowControl w:val="0"/>
      <w:snapToGrid/>
      <w:spacing w:before="0" w:after="120" w:line="240" w:lineRule="auto"/>
      <w:ind w:right="0" w:firstLine="420" w:firstLineChars="100"/>
    </w:pPr>
    <w:rPr>
      <w:kern w:val="2"/>
      <w:sz w:val="21"/>
    </w:rPr>
  </w:style>
  <w:style w:type="paragraph" w:styleId="17">
    <w:name w:val="Block Text"/>
    <w:basedOn w:val="1"/>
    <w:qFormat/>
    <w:uiPriority w:val="0"/>
    <w:pPr>
      <w:spacing w:after="120"/>
      <w:ind w:left="1440" w:leftChars="700" w:right="1440" w:rightChars="700"/>
    </w:pPr>
  </w:style>
  <w:style w:type="paragraph" w:styleId="18">
    <w:name w:val="Plain Text"/>
    <w:basedOn w:val="1"/>
    <w:qFormat/>
    <w:uiPriority w:val="0"/>
    <w:pPr>
      <w:widowControl/>
      <w:spacing w:before="100" w:beforeAutospacing="1" w:after="100" w:afterAutospacing="1"/>
      <w:jc w:val="left"/>
    </w:pPr>
    <w:rPr>
      <w:rFonts w:ascii="宋体" w:hAnsi="宋体"/>
      <w:kern w:val="0"/>
      <w:sz w:val="24"/>
    </w:rPr>
  </w:style>
  <w:style w:type="paragraph" w:styleId="19">
    <w:name w:val="footer"/>
    <w:basedOn w:val="1"/>
    <w:qFormat/>
    <w:uiPriority w:val="99"/>
    <w:pPr>
      <w:tabs>
        <w:tab w:val="center" w:pos="4153"/>
        <w:tab w:val="right" w:pos="8306"/>
      </w:tabs>
      <w:snapToGrid w:val="0"/>
      <w:jc w:val="left"/>
    </w:pPr>
    <w:rPr>
      <w:kern w:val="0"/>
      <w:sz w:val="18"/>
      <w:szCs w:val="20"/>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toc 1"/>
    <w:basedOn w:val="1"/>
    <w:next w:val="1"/>
    <w:qFormat/>
    <w:uiPriority w:val="0"/>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5">
    <w:name w:val="Table Grid"/>
    <w:basedOn w:val="24"/>
    <w:qFormat/>
    <w:uiPriority w:val="5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annotation reference"/>
    <w:basedOn w:val="26"/>
    <w:qFormat/>
    <w:uiPriority w:val="0"/>
    <w:rPr>
      <w:sz w:val="21"/>
    </w:rPr>
  </w:style>
  <w:style w:type="paragraph" w:customStyle="1" w:styleId="30">
    <w:name w:val="Char Char1 Char"/>
    <w:basedOn w:val="1"/>
    <w:autoRedefine/>
    <w:qFormat/>
    <w:uiPriority w:val="0"/>
    <w:rPr>
      <w:sz w:val="24"/>
      <w:szCs w:val="24"/>
    </w:rPr>
  </w:style>
  <w:style w:type="paragraph" w:customStyle="1" w:styleId="31">
    <w:name w:val="！正文"/>
    <w:basedOn w:val="1"/>
    <w:autoRedefine/>
    <w:qFormat/>
    <w:uiPriority w:val="0"/>
    <w:pPr>
      <w:spacing w:line="500" w:lineRule="exact"/>
      <w:ind w:firstLine="200" w:firstLineChars="200"/>
    </w:pPr>
    <w:rPr>
      <w:rFonts w:ascii="Calibri" w:hAnsi="Calibri" w:eastAsia="宋体" w:cs="Times New Roman"/>
      <w:sz w:val="24"/>
      <w:szCs w:val="22"/>
    </w:rPr>
  </w:style>
  <w:style w:type="paragraph" w:customStyle="1" w:styleId="32">
    <w:name w:val="xl23"/>
    <w:basedOn w:val="1"/>
    <w:autoRedefine/>
    <w:qFormat/>
    <w:uiPriority w:val="0"/>
    <w:pPr>
      <w:widowControl/>
      <w:spacing w:before="100" w:beforeAutospacing="1" w:after="100" w:afterAutospacing="1"/>
      <w:jc w:val="center"/>
    </w:pPr>
    <w:rPr>
      <w:rFonts w:ascii="Arial Unicode MS" w:hAnsi="Arial Unicode MS"/>
      <w:kern w:val="0"/>
      <w:sz w:val="24"/>
    </w:rPr>
  </w:style>
  <w:style w:type="paragraph" w:customStyle="1" w:styleId="33">
    <w:name w:val="Table Text"/>
    <w:basedOn w:val="1"/>
    <w:autoRedefine/>
    <w:semiHidden/>
    <w:qFormat/>
    <w:uiPriority w:val="0"/>
    <w:rPr>
      <w:rFonts w:ascii="宋体" w:hAnsi="宋体" w:eastAsia="宋体" w:cs="宋体"/>
      <w:sz w:val="21"/>
      <w:szCs w:val="21"/>
      <w:lang w:val="en-US" w:eastAsia="en-US" w:bidi="ar-SA"/>
    </w:rPr>
  </w:style>
  <w:style w:type="paragraph" w:styleId="34">
    <w:name w:val="List Paragraph"/>
    <w:basedOn w:val="1"/>
    <w:autoRedefine/>
    <w:qFormat/>
    <w:uiPriority w:val="99"/>
    <w:pPr>
      <w:ind w:firstLine="420" w:firstLineChars="200"/>
    </w:pPr>
  </w:style>
  <w:style w:type="paragraph" w:customStyle="1" w:styleId="35">
    <w:name w:val="No Spacing11"/>
    <w:autoRedefine/>
    <w:qFormat/>
    <w:uiPriority w:val="0"/>
    <w:pPr>
      <w:widowControl w:val="0"/>
      <w:jc w:val="center"/>
    </w:pPr>
    <w:rPr>
      <w:rFonts w:ascii="宋体" w:hAnsi="Courier New" w:eastAsia="仿宋_GB2312" w:cs="Times New Roman"/>
      <w:kern w:val="2"/>
      <w:sz w:val="24"/>
      <w:lang w:val="en-US" w:eastAsia="zh-CN" w:bidi="ar-SA"/>
    </w:rPr>
  </w:style>
  <w:style w:type="paragraph" w:styleId="36">
    <w:name w:val="No Spacing"/>
    <w:autoRedefine/>
    <w:qFormat/>
    <w:uiPriority w:val="0"/>
    <w:pPr>
      <w:widowControl w:val="0"/>
      <w:jc w:val="center"/>
    </w:pPr>
    <w:rPr>
      <w:rFonts w:ascii="宋体" w:hAnsi="Courier New" w:eastAsia="仿宋_GB2312" w:cs="Times New Roman"/>
      <w:kern w:val="2"/>
      <w:sz w:val="24"/>
      <w:lang w:val="en-US" w:eastAsia="zh-CN" w:bidi="ar-SA"/>
    </w:rPr>
  </w:style>
  <w:style w:type="table" w:customStyle="1" w:styleId="37">
    <w:name w:val="Table Normal"/>
    <w:autoRedefine/>
    <w:semiHidden/>
    <w:unhideWhenUsed/>
    <w:qFormat/>
    <w:uiPriority w:val="0"/>
    <w:tblPr>
      <w:tblCellMar>
        <w:top w:w="0" w:type="dxa"/>
        <w:left w:w="0" w:type="dxa"/>
        <w:bottom w:w="0" w:type="dxa"/>
        <w:right w:w="0" w:type="dxa"/>
      </w:tblCellMar>
    </w:tblPr>
  </w:style>
  <w:style w:type="paragraph" w:customStyle="1" w:styleId="38">
    <w:name w:val="表格文字"/>
    <w:basedOn w:val="1"/>
    <w:autoRedefine/>
    <w:qFormat/>
    <w:uiPriority w:val="0"/>
    <w:pPr>
      <w:jc w:val="center"/>
    </w:pPr>
    <w:rPr>
      <w:rFonts w:ascii="仿宋_GB2312" w:hAnsi="Arial Black" w:eastAsia="仿宋_GB2312"/>
      <w:kern w:val="44"/>
      <w:sz w:val="24"/>
      <w:szCs w:val="20"/>
    </w:rPr>
  </w:style>
  <w:style w:type="paragraph" w:customStyle="1" w:styleId="39">
    <w:name w:val="报告书 正文"/>
    <w:autoRedefine/>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40">
    <w:name w:val="图表"/>
    <w:basedOn w:val="41"/>
    <w:autoRedefine/>
    <w:qFormat/>
    <w:uiPriority w:val="0"/>
    <w:rPr>
      <w:color w:val="000000"/>
      <w:sz w:val="21"/>
      <w:szCs w:val="21"/>
    </w:rPr>
  </w:style>
  <w:style w:type="paragraph" w:customStyle="1" w:styleId="41">
    <w:name w:val="表格"/>
    <w:basedOn w:val="1"/>
    <w:next w:val="1"/>
    <w:autoRedefine/>
    <w:qFormat/>
    <w:uiPriority w:val="0"/>
    <w:pPr>
      <w:jc w:val="center"/>
    </w:pPr>
    <w:rPr>
      <w:sz w:val="24"/>
    </w:rPr>
  </w:style>
  <w:style w:type="paragraph" w:customStyle="1" w:styleId="42">
    <w:name w:val="No Spacing1"/>
    <w:autoRedefine/>
    <w:qFormat/>
    <w:uiPriority w:val="0"/>
    <w:pPr>
      <w:widowControl w:val="0"/>
      <w:jc w:val="center"/>
    </w:pPr>
    <w:rPr>
      <w:rFonts w:ascii="宋体" w:hAnsi="Courier New" w:eastAsia="仿宋_GB2312" w:cs="Times New Roman"/>
      <w:kern w:val="2"/>
      <w:sz w:val="24"/>
      <w:lang w:val="en-US" w:eastAsia="zh-CN" w:bidi="ar-SA"/>
    </w:rPr>
  </w:style>
  <w:style w:type="paragraph" w:customStyle="1" w:styleId="43">
    <w:name w:val="Table Paragraph"/>
    <w:basedOn w:val="1"/>
    <w:qFormat/>
    <w:uiPriority w:val="1"/>
    <w:pPr>
      <w:jc w:val="left"/>
    </w:pPr>
    <w:rPr>
      <w:rFonts w:ascii="Calibri" w:hAnsi="Calibri"/>
      <w:kern w:val="0"/>
      <w:sz w:val="22"/>
      <w:szCs w:val="22"/>
      <w:lang w:eastAsia="en-US"/>
    </w:rPr>
  </w:style>
  <w:style w:type="paragraph" w:customStyle="1" w:styleId="44">
    <w:name w:val="正文首行缩进 21"/>
    <w:basedOn w:val="13"/>
    <w:next w:val="45"/>
    <w:autoRedefine/>
    <w:unhideWhenUsed/>
    <w:qFormat/>
    <w:uiPriority w:val="0"/>
    <w:pPr>
      <w:spacing w:after="120"/>
      <w:ind w:left="420" w:leftChars="200" w:firstLine="420"/>
    </w:pPr>
  </w:style>
  <w:style w:type="paragraph" w:customStyle="1" w:styleId="45">
    <w:name w:val="正文首行缩进1"/>
    <w:basedOn w:val="11"/>
    <w:next w:val="1"/>
    <w:autoRedefine/>
    <w:qFormat/>
    <w:uiPriority w:val="0"/>
    <w:pPr>
      <w:spacing w:after="120"/>
      <w:ind w:firstLine="420" w:firstLineChars="100"/>
    </w:pPr>
  </w:style>
  <w:style w:type="paragraph" w:customStyle="1" w:styleId="46">
    <w:name w:val="常用正文样式"/>
    <w:basedOn w:val="1"/>
    <w:autoRedefine/>
    <w:qFormat/>
    <w:uiPriority w:val="0"/>
    <w:pPr>
      <w:spacing w:line="360" w:lineRule="auto"/>
      <w:ind w:firstLine="480" w:firstLineChars="200"/>
    </w:pPr>
    <w:rPr>
      <w:rFonts w:ascii="宋体" w:hAnsi="宋体" w:eastAsia="仿宋_GB2312" w:cs="宋体"/>
      <w:bCs/>
      <w:kern w:val="28"/>
      <w:sz w:val="24"/>
    </w:rPr>
  </w:style>
  <w:style w:type="character" w:customStyle="1" w:styleId="47">
    <w:name w:val="font91"/>
    <w:basedOn w:val="26"/>
    <w:autoRedefine/>
    <w:qFormat/>
    <w:uiPriority w:val="0"/>
    <w:rPr>
      <w:rFonts w:hint="default" w:ascii="Times New Roman" w:hAnsi="Times New Roman" w:cs="Times New Roman"/>
      <w:color w:val="0000FF"/>
      <w:sz w:val="21"/>
      <w:szCs w:val="21"/>
      <w:u w:val="none"/>
      <w:vertAlign w:val="superscript"/>
    </w:rPr>
  </w:style>
  <w:style w:type="character" w:customStyle="1" w:styleId="48">
    <w:name w:val="font71"/>
    <w:basedOn w:val="26"/>
    <w:autoRedefine/>
    <w:qFormat/>
    <w:uiPriority w:val="0"/>
    <w:rPr>
      <w:rFonts w:hint="eastAsia" w:ascii="宋体" w:hAnsi="宋体" w:eastAsia="宋体" w:cs="宋体"/>
      <w:color w:val="000000"/>
      <w:sz w:val="20"/>
      <w:szCs w:val="20"/>
      <w:u w:val="none"/>
    </w:rPr>
  </w:style>
  <w:style w:type="paragraph" w:customStyle="1" w:styleId="49">
    <w:name w:val="1 正文"/>
    <w:basedOn w:val="1"/>
    <w:autoRedefine/>
    <w:qFormat/>
    <w:uiPriority w:val="0"/>
    <w:pPr>
      <w:adjustRightInd w:val="0"/>
      <w:snapToGrid w:val="0"/>
      <w:spacing w:line="360" w:lineRule="auto"/>
      <w:ind w:firstLine="200" w:firstLineChars="200"/>
    </w:pPr>
    <w:rPr>
      <w:kern w:val="0"/>
      <w:sz w:val="24"/>
      <w:szCs w:val="20"/>
    </w:rPr>
  </w:style>
  <w:style w:type="paragraph" w:customStyle="1" w:styleId="50">
    <w:name w:val="样式11"/>
    <w:basedOn w:val="1"/>
    <w:qFormat/>
    <w:uiPriority w:val="0"/>
    <w:pPr>
      <w:adjustRightInd w:val="0"/>
      <w:snapToGrid w:val="0"/>
      <w:spacing w:line="360" w:lineRule="auto"/>
      <w:ind w:firstLine="420" w:firstLineChars="200"/>
    </w:pPr>
    <w:rPr>
      <w:szCs w:val="21"/>
    </w:rPr>
  </w:style>
  <w:style w:type="character" w:customStyle="1" w:styleId="51">
    <w:name w:val="font51"/>
    <w:basedOn w:val="26"/>
    <w:autoRedefine/>
    <w:qFormat/>
    <w:uiPriority w:val="0"/>
    <w:rPr>
      <w:rFonts w:hint="default" w:ascii="Times New Roman" w:hAnsi="Times New Roman" w:cs="Times New Roman"/>
      <w:b/>
      <w:color w:val="000000"/>
      <w:sz w:val="18"/>
      <w:szCs w:val="18"/>
      <w:u w:val="none"/>
    </w:rPr>
  </w:style>
  <w:style w:type="paragraph" w:customStyle="1" w:styleId="52">
    <w:name w:val="1表格"/>
    <w:basedOn w:val="1"/>
    <w:autoRedefine/>
    <w:qFormat/>
    <w:uiPriority w:val="0"/>
    <w:pPr>
      <w:adjustRightInd w:val="0"/>
      <w:snapToGrid w:val="0"/>
      <w:jc w:val="center"/>
    </w:pPr>
    <w:rPr>
      <w:spacing w:val="4"/>
      <w:kern w:val="0"/>
      <w:sz w:val="20"/>
    </w:rPr>
  </w:style>
  <w:style w:type="paragraph" w:customStyle="1" w:styleId="53">
    <w:name w:val="表格首行"/>
    <w:basedOn w:val="54"/>
    <w:autoRedefine/>
    <w:qFormat/>
    <w:uiPriority w:val="0"/>
    <w:pPr>
      <w:widowControl/>
      <w:overflowPunct w:val="0"/>
      <w:textAlignment w:val="baseline"/>
    </w:pPr>
    <w:rPr>
      <w:rFonts w:eastAsia="仿宋"/>
      <w:kern w:val="0"/>
      <w:sz w:val="24"/>
      <w:szCs w:val="20"/>
    </w:rPr>
  </w:style>
  <w:style w:type="paragraph" w:customStyle="1" w:styleId="54">
    <w:name w:val="表格内容"/>
    <w:basedOn w:val="1"/>
    <w:autoRedefine/>
    <w:qFormat/>
    <w:uiPriority w:val="0"/>
    <w:pPr>
      <w:overflowPunct w:val="0"/>
      <w:spacing w:before="40" w:after="60" w:line="200" w:lineRule="atLeast"/>
      <w:textAlignment w:val="baseline"/>
    </w:pPr>
    <w:rPr>
      <w:rFonts w:ascii="Arial" w:hAnsi="Arial" w:eastAsia="仿宋_GB2312"/>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emf"/><Relationship Id="rId24" Type="http://schemas.openxmlformats.org/officeDocument/2006/relationships/oleObject" Target="embeddings/oleObject9.bin"/><Relationship Id="rId23" Type="http://schemas.openxmlformats.org/officeDocument/2006/relationships/image" Target="media/image7.emf"/><Relationship Id="rId22" Type="http://schemas.openxmlformats.org/officeDocument/2006/relationships/oleObject" Target="embeddings/oleObject8.bin"/><Relationship Id="rId21" Type="http://schemas.openxmlformats.org/officeDocument/2006/relationships/image" Target="media/image6.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17622</Words>
  <Characters>18755</Characters>
  <Lines>1</Lines>
  <Paragraphs>1</Paragraphs>
  <TotalTime>2</TotalTime>
  <ScaleCrop>false</ScaleCrop>
  <LinksUpToDate>false</LinksUpToDate>
  <CharactersWithSpaces>18911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2025-03-05T07:09:00Z</dcterms:created>
  <dc:creator>Administrator</dc:creator>
  <cp:lastModifiedBy>spring peach</cp:lastModifiedBy>
  <cp:lastPrinted>2025-06-09T09:26:00Z</cp:lastPrinted>
  <dcterms:modified xsi:type="dcterms:W3CDTF">2025-07-04T08:02:23Z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eyJoZGlkIjoiNzJmMmY4NzJlMTZlMGQ0MDI5N2M1NzY3MjJlZDdhZDUiLCJ1c2VySWQiOiI0MDYwODI5ODUifQ==</vt:lpwstr>
  </property>
  <property fmtid="{D5CDD505-2E9C-101B-9397-08002B2CF9AE}" pid="4" name="ICV">
    <vt:lpwstr>EBF3DAACBBF4465F8B90397BC630F000_13</vt:lpwstr>
  </property>
</Properties>
</file>